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600"/>
        <w:jc w:val="center"/>
      </w:pPr>
      <w:r>
        <w:drawing>
          <wp:inline distT="0" distB="0" distL="0" distR="0">
            <wp:extent cx="171450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0222E"/>
          <w:sz w:val="48"/>
          <w:szCs w:val="48"/>
        </w:rPr>
        <w:t xml:space="preserve">GROWTHMASTER SOLUTIONS CONSULTANCY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A8C8C"/>
          <w:sz w:val="24"/>
          <w:szCs w:val="24"/>
        </w:rPr>
        <w:t xml:space="preserve">Empowering Business Success</w:t>
      </w:r>
    </w:p>
    <w:p>
      <w:pPr>
        <w:spacing w:after="80"/>
        <w:jc w:val="center"/>
      </w:pPr>
      <w:r>
        <w:rPr>
          <w:rFonts w:ascii="Arial" w:cs="Arial" w:eastAsia="Arial" w:hAnsi="Arial"/>
          <w:color w:val="F35236"/>
          <w:sz w:val="32"/>
          <w:szCs w:val="32"/>
        </w:rPr>
        <w:t xml:space="preserve">Website Requirements &amp; Feature Documentation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7A8C8C"/>
          <w:sz w:val="22"/>
          <w:szCs w:val="22"/>
        </w:rPr>
        <w:t xml:space="preserve">Django MVT + HTMX + Tailwind CSS  |  Version 1.2  |  June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F35236"/>
          <w:sz w:val="19"/>
          <w:szCs w:val="19"/>
        </w:rPr>
        <w:t xml:space="preserve">Updated: logo &amp; brand colours applied | Tailwind CSS confirmed | email via .env SMTP</w:t>
      </w:r>
    </w:p>
    <w:p>
      <w:pPr>
        <w:pBdr>
          <w:bottom w:val="single" w:color="F35236" w:sz="8" w:space="1"/>
        </w:pBdr>
        <w:spacing w:after="600" w:before="160"/>
        <w:jc w:val="center"/>
      </w:pPr>
      <w:r>
        <w:rPr>
          <w:rFonts w:ascii="Arial" w:cs="Arial" w:eastAsia="Arial" w:hAnsi="Arial"/>
          <w:i/>
          <w:iCs/>
          <w:color w:val="7A8C8C"/>
          <w:sz w:val="20"/>
          <w:szCs w:val="20"/>
        </w:rPr>
        <w:t xml:space="preserve">Prepared by: Rufaro E. Mutepfa  |  Classification: Internal</w:t>
      </w:r>
    </w:p>
    <w:p>
      <w:pPr>
        <w:pStyle w:val="Heading1"/>
        <w:pBdr>
          <w:bottom w:val="single" w:color="F3523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222E"/>
          <w:sz w:val="38"/>
          <w:szCs w:val="38"/>
        </w:rPr>
        <w:t xml:space="preserve">1. Brand Colour Palette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colours are extracted directly from the GrowthMaster logo and must be used consistently across the website UI, Tailwind CSS configuration, and all print materials.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Token</w:t>
            </w:r>
          </w:p>
        </w:tc>
        <w:tc>
          <w:tcPr>
            <w:tcW w:type="dxa" w:w="3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Dark Navy</w:t>
            </w:r>
          </w:p>
        </w:tc>
        <w:tc>
          <w:tcPr>
            <w:tcW w:type="dxa" w:w="2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#10222E</w:t>
            </w:r>
          </w:p>
        </w:tc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13921"/>
                <w:sz w:val="19"/>
                <w:szCs w:val="19"/>
              </w:rPr>
              <w:t xml:space="preserve">brand-navy</w:t>
            </w:r>
          </w:p>
        </w:tc>
        <w:tc>
          <w:tcPr>
            <w:tcW w:type="dxa" w:w="3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background (dark mode), navbar, footer, section banners</w:t>
            </w:r>
          </w:p>
        </w:tc>
      </w:tr>
      <w:tr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Coral Red</w:t>
            </w:r>
          </w:p>
        </w:tc>
        <w:tc>
          <w:tcPr>
            <w:tcW w:type="dxa" w:w="2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352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#F35236</w:t>
            </w:r>
          </w:p>
        </w:tc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13921"/>
                <w:sz w:val="19"/>
                <w:szCs w:val="19"/>
              </w:rPr>
              <w:t xml:space="preserve">brand-red</w:t>
            </w:r>
          </w:p>
        </w:tc>
        <w:tc>
          <w:tcPr>
            <w:tcW w:type="dxa" w:w="3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CTA buttons, headings, active states, hover accents</w:t>
            </w:r>
          </w:p>
        </w:tc>
      </w:tr>
      <w:tr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Dark Red</w:t>
            </w:r>
          </w:p>
        </w:tc>
        <w:tc>
          <w:tcPr>
            <w:tcW w:type="dxa" w:w="2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B13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#B13921</w:t>
            </w:r>
          </w:p>
        </w:tc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13921"/>
                <w:sz w:val="19"/>
                <w:szCs w:val="19"/>
              </w:rPr>
              <w:t xml:space="preserve">brand-darkred</w:t>
            </w:r>
          </w:p>
        </w:tc>
        <w:tc>
          <w:tcPr>
            <w:tcW w:type="dxa" w:w="3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headings, pressed/focus button states, borders</w:t>
            </w:r>
          </w:p>
        </w:tc>
      </w:tr>
      <w:tr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Cream / Ivory</w:t>
            </w:r>
          </w:p>
        </w:tc>
        <w:tc>
          <w:tcPr>
            <w:tcW w:type="dxa" w:w="2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222E"/>
                <w:sz w:val="20"/>
                <w:szCs w:val="20"/>
              </w:rPr>
              <w:t xml:space="preserve">#FFF3D9</w:t>
            </w:r>
          </w:p>
        </w:tc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13921"/>
                <w:sz w:val="19"/>
                <w:szCs w:val="19"/>
              </w:rPr>
              <w:t xml:space="preserve">brand-cream</w:t>
            </w:r>
          </w:p>
        </w:tc>
        <w:tc>
          <w:tcPr>
            <w:tcW w:type="dxa" w:w="3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backgrounds, highlight rows, callout boxes</w:t>
            </w:r>
          </w:p>
        </w:tc>
      </w:tr>
      <w:tr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Off-White</w:t>
            </w:r>
          </w:p>
        </w:tc>
        <w:tc>
          <w:tcPr>
            <w:tcW w:type="dxa" w:w="2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222E"/>
                <w:sz w:val="20"/>
                <w:szCs w:val="20"/>
              </w:rPr>
              <w:t xml:space="preserve">#FDF8F4</w:t>
            </w:r>
          </w:p>
        </w:tc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13921"/>
                <w:sz w:val="19"/>
                <w:szCs w:val="19"/>
              </w:rPr>
              <w:t xml:space="preserve">brand-offwhite</w:t>
            </w:r>
          </w:p>
        </w:tc>
        <w:tc>
          <w:tcPr>
            <w:tcW w:type="dxa" w:w="3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body background, alternating table rows</w:t>
            </w:r>
          </w:p>
        </w:tc>
      </w:tr>
      <w:tr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Muted Teal</w:t>
            </w:r>
          </w:p>
        </w:tc>
        <w:tc>
          <w:tcPr>
            <w:tcW w:type="dxa" w:w="2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B9C9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222E"/>
                <w:sz w:val="20"/>
                <w:szCs w:val="20"/>
              </w:rPr>
              <w:t xml:space="preserve">#B9C9C9</w:t>
            </w:r>
          </w:p>
        </w:tc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13921"/>
                <w:sz w:val="19"/>
                <w:szCs w:val="19"/>
              </w:rPr>
              <w:t xml:space="preserve">brand-muted</w:t>
            </w:r>
          </w:p>
        </w:tc>
        <w:tc>
          <w:tcPr>
            <w:tcW w:type="dxa" w:w="3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Subheadings, captions, secondary text, footer text</w:t>
            </w:r>
          </w:p>
        </w:tc>
      </w:tr>
      <w:tr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222E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13921"/>
                <w:sz w:val="19"/>
                <w:szCs w:val="19"/>
              </w:rPr>
              <w:t xml:space="preserve">white</w:t>
            </w:r>
          </w:p>
        </w:tc>
        <w:tc>
          <w:tcPr>
            <w:tcW w:type="dxa" w:w="3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text on dark, form inputs, clean card surfaces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F35236" w:sz="1"/>
              <w:left w:val="single" w:color="F35236" w:sz="12"/>
              <w:bottom w:val="single" w:color="F35236" w:sz="1"/>
              <w:right w:val="single" w:color="F35236" w:sz="1"/>
            </w:tcBorders>
            <w:shd w:fill="FFF3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5236"/>
                <w:sz w:val="20"/>
                <w:szCs w:val="20"/>
              </w:rPr>
              <w:t xml:space="preserve">Tailwind Config</w:t>
            </w:r>
          </w:p>
        </w:tc>
        <w:tc>
          <w:tcPr>
            <w:tcW w:type="dxa" w:w="7526"/>
            <w:tcBorders>
              <w:top w:val="single" w:color="F35236" w:sz="1"/>
              <w:left w:val="single" w:color="F35236" w:sz="1"/>
              <w:bottom w:val="single" w:color="F35236" w:sz="1"/>
              <w:right w:val="single" w:color="F35236" w:sz="1"/>
            </w:tcBorders>
            <w:shd w:fill="FDF8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all brand tokens to tailwind.config.js under theme.extend.colors so they are available as utility classes: bg-brand-navy, text-brand-red, border-brand-cream, etc.</w:t>
            </w:r>
          </w:p>
        </w:tc>
      </w:tr>
    </w:tbl>
    <w:p>
      <w:pPr>
        <w:pBdr>
          <w:bottom w:val="single" w:color="E0D0C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3523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222E"/>
          <w:sz w:val="38"/>
          <w:szCs w:val="38"/>
        </w:rPr>
        <w:t xml:space="preserve">2. Project Overview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GrowthMaster Solutions Consultancy requires a professional corporate website that reflects the brand identity visible in the logo: a confident dark navy foundation accented by energetic coral-red tones and warm cream highlights.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stack is Django MVT (Model-View-Template) with HTMX for dynamic interactions and Tailwind CSS for all styling. This combination delivers a fast, maintainable site without a heavy JavaScript build pipeline.</w:t>
      </w:r>
    </w:p>
    <w:p>
      <w:pPr>
        <w:pBdr>
          <w:bottom w:val="single" w:color="E0D0C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3523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222E"/>
          <w:sz w:val="38"/>
          <w:szCs w:val="38"/>
        </w:rPr>
        <w:t xml:space="preserve">3. Company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GrowthMaster Solutions Consultancy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Tagline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Empowering Business Success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Industry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Consultancy — Strategy, Projects, Research &amp; Funding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SMEs, NGOs, Trusts, Investors, Entrepreneurs (Zimbabwe &amp; region)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Website Purpose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Corporate presence, service showcase, lead generation, email marketing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Django 5.x MVT · HTMX · Tailwind CSS · PostgreSQL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Email Server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Configured via .env (EMAIL_HOST, EMAIL_PORT, EMAIL_HOST_USER, EMAIL_HOST_PASSWORD, DEFAULT_FROM_EMAIL)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Hosting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VPS or AWS EC2 — Gunicorn + Nginx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1.2 — June 2026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Branches / Address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Murewa Branch — Bokoto Mini Complex, Office Room FF6  |  Harare Branch — Suite C3A, Centre 171, Strathaven, Avondale West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Phone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0718 515 221 / 0775 222 468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Email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growthmaster1@outlook.com</w:t>
            </w:r>
          </w:p>
        </w:tc>
      </w:tr>
    </w:tbl>
    <w:p>
      <w:pPr>
        <w:pBdr>
          <w:bottom w:val="single" w:color="E0D0C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3523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222E"/>
          <w:sz w:val="38"/>
          <w:szCs w:val="38"/>
        </w:rPr>
        <w:t xml:space="preserve">4. Services Catalogue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service categories and items are stored in the database and managed via /manage/. Each must be displayed on the public website with consistent brand-styled cards.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4.1  Strategy &amp; Investment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Idea Development &amp;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Company / NGO / Trust Registrations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ZIMRA Returns &amp; Tax Clearances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Partnership Memorandum of Understanding (MOU)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Strategy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Investment Operations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Turnaround &amp; Restructuring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 Entry &amp; Expansion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Investment Appraisal &amp; Due Diligence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Strategic Planning Workshops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Operational Efficiency Reviews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4.2  Projects &amp; Feasibility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 Feasibility Studies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Feasibility Studies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Plans &amp; Proposals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Baseline Surveys &amp; Market 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Design &amp; Logical Frameworks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Financial Modeling &amp; Projections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4.3  Research &amp; Funding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Funding Proposal Writing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Research &amp; Data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Grant Identification &amp; Application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Impact Assessment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Stakeholder Analysis</w:t>
      </w:r>
    </w:p>
    <w:p>
      <w:pPr>
        <w:pBdr>
          <w:bottom w:val="single" w:color="E0D0C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3523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222E"/>
          <w:sz w:val="38"/>
          <w:szCs w:val="38"/>
        </w:rPr>
        <w:t xml:space="preserve">5. Site Architecture &amp; Page Map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site is split into two zones: the Public Zone (all visitors) and the Management Portal (/manage — staff only, never linked publicly).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5.1  Public Zone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Django View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HomeView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Hero, service highlights, portfolio teaser, CTA, subscribe form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/about/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AboutView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 story, mission, values, team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/services/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ServicesListView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categories with HTMX anchor navigation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/services/&lt;slug&gt;/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ServiceDetailView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detail page + Enquire Now button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/portfolio/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PortfolioView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Videos, photos, social embeds — filterable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/contact/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ContactView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form (HTMX) + WhatsApp chatbox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5.2  Management Portal  (/manage)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B13921" w:sz="1"/>
              <w:left w:val="single" w:color="B13921" w:sz="12"/>
              <w:bottom w:val="single" w:color="B13921" w:sz="1"/>
              <w:right w:val="single" w:color="B13921" w:sz="1"/>
            </w:tcBorders>
            <w:shd w:fill="FFF3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⚠  Not Public</w:t>
            </w:r>
          </w:p>
        </w:tc>
        <w:tc>
          <w:tcPr>
            <w:tcW w:type="dxa" w:w="7526"/>
            <w:tcBorders>
              <w:top w:val="single" w:color="B13921" w:sz="1"/>
              <w:left w:val="single" w:color="B13921" w:sz="1"/>
              <w:bottom w:val="single" w:color="B13921" w:sz="1"/>
              <w:right w:val="single" w:color="B13921" w:sz="1"/>
            </w:tcBorders>
            <w:shd w:fill="FDF8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/manage portal has NO link in the public navigation, footer, sitemap, or robots.txt. It returns 404 to unauthenticated users. Access is by direct URL only, protected by @login_required.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B13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B13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Django View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B13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/manage/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ManageDashboard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 overview: subscribers, enquiries, campaigns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/manage/portfolio/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PortfolioManager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Upload/edit/delete videos, photos, social embeds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/manage/subscribers/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SubscriberManager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list, filter, export CSV, manage opt-outs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/manage/email/compose/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EmailCompose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Rich text email composer, send to subscriber list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/manage/email/sent/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EmailSentLog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History of all sent campaigns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/manage/email/analytics/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EmailAnalytics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rates, CTR, unsubscribes, charts per campaign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/manage/enquiries/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EnquiryManager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View/respond to contact form submissions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/manage/settings/</w:t>
            </w:r>
          </w:p>
        </w:tc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SiteSettings</w:t>
            </w:r>
          </w:p>
        </w:tc>
        <w:tc>
          <w:tcPr>
            <w:tcW w:type="dxa" w:w="4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contact info, social links, WhatsApp number</w:t>
            </w:r>
          </w:p>
        </w:tc>
      </w:tr>
    </w:tbl>
    <w:p>
      <w:pPr>
        <w:pBdr>
          <w:bottom w:val="single" w:color="E0D0C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3523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222E"/>
          <w:sz w:val="38"/>
          <w:szCs w:val="38"/>
        </w:rPr>
        <w:t xml:space="preserve">6. Feature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6.1  Homepage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B13921"/>
          <w:sz w:val="22"/>
          <w:szCs w:val="22"/>
        </w:rPr>
        <w:t xml:space="preserve">Hero Section</w:t>
      </w:r>
    </w:p>
    <w:p>
      <w:pPr>
        <w:spacing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Full-width banner — dark navy background (#10222E), coral-red CTA button ('Get a Free Consultation'), tagline 'Empowering Business Success' in cream. Subtle dot-pattern background matching the logo.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B13921"/>
          <w:sz w:val="22"/>
          <w:szCs w:val="22"/>
        </w:rPr>
        <w:t xml:space="preserve">Service Highlights</w:t>
      </w:r>
    </w:p>
    <w:p>
      <w:pPr>
        <w:spacing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 cards in brand-cream (#FFF3D9) with coral-red icons, short descriptions, and 'Read More' links to /services/.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B13921"/>
          <w:sz w:val="22"/>
          <w:szCs w:val="22"/>
        </w:rPr>
        <w:t xml:space="preserve">About Snapshot</w:t>
      </w:r>
    </w:p>
    <w:p>
      <w:pPr>
        <w:spacing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Brief company introduction with a 'Learn More' link to /about/.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B13921"/>
          <w:sz w:val="22"/>
          <w:szCs w:val="22"/>
        </w:rPr>
        <w:t xml:space="preserve">Why Choose Us</w:t>
      </w:r>
    </w:p>
    <w:p>
      <w:pPr>
        <w:spacing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3–4 icon+text tiles on a warm off-white background.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B13921"/>
          <w:sz w:val="22"/>
          <w:szCs w:val="22"/>
        </w:rPr>
        <w:t xml:space="preserve">Portfolio Teaser</w:t>
      </w:r>
    </w:p>
    <w:p>
      <w:pPr>
        <w:spacing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 featured portfolio items (video/photo/social) with a 'View All' link to /portfolio/.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B13921"/>
          <w:sz w:val="22"/>
          <w:szCs w:val="22"/>
        </w:rPr>
        <w:t xml:space="preserve">CTA Banner</w:t>
      </w:r>
    </w:p>
    <w:p>
      <w:pPr>
        <w:spacing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Full-width navy banner with coral-red button linking to /contact/.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B13921"/>
          <w:sz w:val="22"/>
          <w:szCs w:val="22"/>
        </w:rPr>
        <w:t xml:space="preserve">Subscribe Form</w:t>
      </w:r>
    </w:p>
    <w:p>
      <w:pPr>
        <w:spacing w:after="10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Inline HTMX subscription form in the footer — first name + email.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6.2  Services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Category grouping with HTMX-powered tab navigation (no page reload) — active tab styled with coral-red underline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card: brand-cream background, coral-red icon, title, description, 'Read More'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 detail: full description, deliverables list, engagement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'Enquire Now' button pre-fills the contact form's Service dropdown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6.3  Portfolio  (Public)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Supports three content types, all filterable via HTMX tab/filter strip without page reload.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35236"/>
          <w:sz w:val="23"/>
          <w:szCs w:val="23"/>
        </w:rPr>
        <w:t xml:space="preserve">Videos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Embedded YouTube / Vimeo or self-hosted MP4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Title, description, category tag, thumbnail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Inline player on click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35236"/>
          <w:sz w:val="23"/>
          <w:szCs w:val="23"/>
        </w:rPr>
        <w:t xml:space="preserve">Photos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Masonry / responsive grid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Lightbox on click (enlarge + caption)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Batch upload supported via /manage/portfolio/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35236"/>
          <w:sz w:val="23"/>
          <w:szCs w:val="23"/>
        </w:rPr>
        <w:t xml:space="preserve">Social Media Embeds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Paste embed code from Instagram, LinkedIn, Facebook, or X (Twitter)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Renders in a branded card container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Added/removed via /manage/portfolio/ — no code deploy needed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35236"/>
          <w:sz w:val="23"/>
          <w:szCs w:val="23"/>
        </w:rPr>
        <w:t xml:space="preserve">Organisation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items tagged by category: Strategy · Projects · Research · Events · General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Filter by content type and category — HTMX partial reload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Lazy-load additional items on scroll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6.4  Contact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Fields: Full Name, Email, Phone (optional), Service of Interest (dropdown),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HTMX inline submit — success/error message without full page reload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Submission stored in DB + email notification to admin inbox (via .env SMTP)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floating button on ALL public pages — links to WhatsApp Business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Phone, email, and physical address displayed with brand icons — Murewa Branch: Bokoto Mini Complex, Office Room FF6; Harare Branch: Suite C3A, Centre 171, Strathaven, Avondale West; Tel: 0718 515 221 / 0775 222 468; Email: growthmaster1@outlook.com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6.5  Email Subscription  (Public)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Inline form in footer and contact page: First Name +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HTMX submit — instant confirmation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Unsubscribe link in every outgoing email (legal compliance)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Subscriber stored in DB with timestamp and status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6.6  Global UI &amp;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Sticky navbar — dark navy bg, logo left, links right, coral-red active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Hamburger menu on mobile (Tailwind responsive breakpoints)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Footer — navy background, cream text, social icons, quick links, subscribe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floating chat button — fixed bottom-right on all public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HTMX partial updates for all interactive elements (forms, filters, tabs)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link to /manage/ anywhere in public UI</w:t>
      </w:r>
    </w:p>
    <w:p>
      <w:pPr>
        <w:pBdr>
          <w:bottom w:val="single" w:color="E0D0C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3523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222E"/>
          <w:sz w:val="38"/>
          <w:szCs w:val="38"/>
        </w:rPr>
        <w:t xml:space="preserve">7. /manage — Staff Management Portal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B13921" w:sz="1"/>
              <w:left w:val="single" w:color="B13921" w:sz="12"/>
              <w:bottom w:val="single" w:color="B13921" w:sz="1"/>
              <w:right w:val="single" w:color="B13921" w:sz="1"/>
            </w:tcBorders>
            <w:shd w:fill="FFF3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Security Requirement</w:t>
            </w:r>
          </w:p>
        </w:tc>
        <w:tc>
          <w:tcPr>
            <w:tcW w:type="dxa" w:w="7526"/>
            <w:tcBorders>
              <w:top w:val="single" w:color="B13921" w:sz="1"/>
              <w:left w:val="single" w:color="B13921" w:sz="1"/>
              <w:bottom w:val="single" w:color="B13921" w:sz="1"/>
              <w:right w:val="single" w:color="B13921" w:sz="1"/>
            </w:tcBorders>
            <w:shd w:fill="FDF8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in public nav, footer, sitemap.xml, or robots.txt. Returns 404 (not 403) to unauthenticated requests. HTTPS mandatory. Session timeout: 30 minutes.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7.1  Dashboard  (/manage/)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Summary cards: total subscribers, new enquiries today, campaigns sent this month, portfolio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actions: Add Portfolio Item, Compose Email, View Enquiries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Recent activity feed (HTMX auto-refresh): last 5 enquiries, last 3 campaigns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7.2  Portfolio Manager  (/manage/portfolio/)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35236"/>
          <w:sz w:val="23"/>
          <w:szCs w:val="23"/>
        </w:rPr>
        <w:t xml:space="preserve">Videos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Add: paste YouTube/Vimeo URL or upload MP4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title, description, category, featured flag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Preview embedded player before publishing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Enable / disable without deleting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35236"/>
          <w:sz w:val="23"/>
          <w:szCs w:val="23"/>
        </w:rPr>
        <w:t xml:space="preserve">Photos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Single or batch image upload (JPEG, PNG, WebP)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alt text, caption, category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Drag-and-drop reorder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Delete or archive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35236"/>
          <w:sz w:val="23"/>
          <w:szCs w:val="23"/>
        </w:rPr>
        <w:t xml:space="preserve">Social Embeds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Paste platform embed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Label: platform, date, optional caption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Preview render before publishing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Reorder or remove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7.3  Subscriber Manager  (/manage/subscribers/)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list: name, email, subscribed date, status (active / unsubscribed)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Search, filter by status or date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 inactive, view unsubscribe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to CSV (full list or filtered)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7.4  Email Broadcast  (/manage/email/)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35236"/>
          <w:sz w:val="23"/>
          <w:szCs w:val="23"/>
        </w:rPr>
        <w:t xml:space="preserve">Compose &amp; Send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Rich text composer: subject, body, optional image/banner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Desktop + mobile preview before sending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Choose recipients: all subscribers or filtered segment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Schedule send or send immediately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Confirmation step before broadcast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35236"/>
          <w:sz w:val="23"/>
          <w:szCs w:val="23"/>
        </w:rPr>
        <w:t xml:space="preserve">Email Analytics  (/manage/email/analytics/)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Per-campaign dashboard: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sent, delivered, bounced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rate (%) — 1×1 pixel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Click-through rate (%) — redirected link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Unsubscribes per campaign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 + line charts comparing campaigns over time (HTMX charts)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analytics to 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F35236" w:sz="1"/>
              <w:left w:val="single" w:color="F35236" w:sz="12"/>
              <w:bottom w:val="single" w:color="F35236" w:sz="1"/>
              <w:right w:val="single" w:color="F35236" w:sz="1"/>
            </w:tcBorders>
            <w:shd w:fill="FFF3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5236"/>
                <w:sz w:val="20"/>
                <w:szCs w:val="20"/>
              </w:rPr>
              <w:t xml:space="preserve">Phase 1 Tracking</w:t>
            </w:r>
          </w:p>
        </w:tc>
        <w:tc>
          <w:tcPr>
            <w:tcW w:type="dxa" w:w="7526"/>
            <w:tcBorders>
              <w:top w:val="single" w:color="F35236" w:sz="1"/>
              <w:left w:val="single" w:color="F35236" w:sz="1"/>
              <w:bottom w:val="single" w:color="F35236" w:sz="1"/>
              <w:right w:val="single" w:color="F35236" w:sz="1"/>
            </w:tcBorders>
            <w:shd w:fill="FDF8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and click tracking implemented in-house via Django pixel/redirect middleware. SendGrid / Mailchimp integration is a planned Phase 2 upgrade for advanced analytics.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7.5  Enquiry Manager  (/manage/enquiries/)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Table: name, email, service, date, status (New / In Progress / Resolved)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to view full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Reply by email directly from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by status, service, date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to CSV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7.6  Site Settings  (/manage/settings/)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Company phone, email, physical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Business number (auto-updates the floating chat widget sitewide)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media profile URLs: LinkedIn, Instagram, Facebook, 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Company logo and favicon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Footer text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7.7  Access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@login_required on every /manage/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Staff accounts created by superuser only — no self-registration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 404 to unauthenticated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timeout: 30 minutes of inactivity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HTTPS enforced in production (SECURE_SSL_REDIRECT = True in settings.py)</w:t>
      </w:r>
    </w:p>
    <w:p>
      <w:pPr>
        <w:pBdr>
          <w:bottom w:val="single" w:color="E0D0C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3523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222E"/>
          <w:sz w:val="38"/>
          <w:szCs w:val="38"/>
        </w:rPr>
        <w:t xml:space="preserve">8. Tailwind CSS + HTMX Implementation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8.1  Tailwind Configuration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Tailwind CSS is configured via tailwind.config.js at the project root. Brand colours are registered as custom tokens under theme.extend.colors so they are available as standard utility classes throughout all templates.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bg-brand-navy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#10222E</w:t>
            </w:r>
          </w:p>
        </w:tc>
        <w:tc>
          <w:tcPr>
            <w:tcW w:type="dxa" w:w="4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Navbar, footer, hero section, section banners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bg-brand-red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352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#F35236</w:t>
            </w:r>
          </w:p>
        </w:tc>
        <w:tc>
          <w:tcPr>
            <w:tcW w:type="dxa" w:w="4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button background, hover states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bg-brand-darkred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B13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#B13921</w:t>
            </w:r>
          </w:p>
        </w:tc>
        <w:tc>
          <w:tcPr>
            <w:tcW w:type="dxa" w:w="4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 pressed/focus, secondary borders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bg-brand-cream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222E"/>
                <w:sz w:val="19"/>
                <w:szCs w:val="19"/>
              </w:rPr>
              <w:t xml:space="preserve">#FFF3D9</w:t>
            </w:r>
          </w:p>
        </w:tc>
        <w:tc>
          <w:tcPr>
            <w:tcW w:type="dxa" w:w="4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cards, callout boxes, table rows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bg-brand-offwhite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222E"/>
                <w:sz w:val="19"/>
                <w:szCs w:val="19"/>
              </w:rPr>
              <w:t xml:space="preserve">#FDF8F4</w:t>
            </w:r>
          </w:p>
        </w:tc>
        <w:tc>
          <w:tcPr>
            <w:tcW w:type="dxa" w:w="4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body background, alternating rows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text-brand-navy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#10222E</w:t>
            </w:r>
          </w:p>
        </w:tc>
        <w:tc>
          <w:tcPr>
            <w:tcW w:type="dxa" w:w="4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headings on light backgrounds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text-brand-red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352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#F35236</w:t>
            </w:r>
          </w:p>
        </w:tc>
        <w:tc>
          <w:tcPr>
            <w:tcW w:type="dxa" w:w="4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Links, active nav, icon accents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text-brand-muted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B9C9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222E"/>
                <w:sz w:val="19"/>
                <w:szCs w:val="19"/>
              </w:rPr>
              <w:t xml:space="preserve">#B9C9C9</w:t>
            </w:r>
          </w:p>
        </w:tc>
        <w:tc>
          <w:tcPr>
            <w:tcW w:type="dxa" w:w="4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Captions, sub-labels, footer secondary text</w:t>
            </w:r>
          </w:p>
        </w:tc>
      </w:tr>
      <w:tr>
        <w:tc>
          <w:tcPr>
            <w:tcW w:type="dxa" w:w="22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border-brand-red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352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#F35236</w:t>
            </w:r>
          </w:p>
        </w:tc>
        <w:tc>
          <w:tcPr>
            <w:tcW w:type="dxa" w:w="4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focus rings, card hover borders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8.2  HTMX Usage Points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HTMX handles all dynamic interactions — no separate JS framework required. Each hx-* attribute is applied directly in Django 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Contact form submission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hx-post, hx-target — inline validation and success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Email subscribe form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hx-post, hx-swap — instant confirmation banner in footer and contact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Portfolio filter tabs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hx-get, hx-target — filter by content type/category, partial re-render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Portfolio lazy load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hx-get, hx-trigger='revealed' — load more items on scroll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Service tab navigation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hx-get, hx-push-url — tab switch without full reload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Enquiry status update (/manage)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hx-patch, hx-swap — mark resolved inline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Analytics chart refresh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hx-get, hx-trigger='every 60s' — auto-refresh campaign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Dashboard activity feed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hx-get, hx-trigger='load, every 120s' — live recent activity</w:t>
      </w:r>
    </w:p>
    <w:p>
      <w:pPr>
        <w:pBdr>
          <w:bottom w:val="single" w:color="E0D0C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3523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222E"/>
          <w:sz w:val="38"/>
          <w:szCs w:val="38"/>
        </w:rPr>
        <w:t xml:space="preserve">9. Email Server Configuration  (.env)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email credentials are stored in the .env file and loaded via python-decouple or django-environ. No credentials are hardcoded in settings.py or committed to version control.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EMAIL_HOST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222E"/>
                <w:sz w:val="19"/>
                <w:szCs w:val="19"/>
              </w:rPr>
              <w:t xml:space="preserve">smtp.gmail.com</w:t>
            </w:r>
          </w:p>
        </w:tc>
        <w:tc>
          <w:tcPr>
            <w:tcW w:type="dxa" w:w="3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 server hostname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EMAIL_PORT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222E"/>
                <w:sz w:val="19"/>
                <w:szCs w:val="19"/>
              </w:rPr>
              <w:t xml:space="preserve">587</w:t>
            </w:r>
          </w:p>
        </w:tc>
        <w:tc>
          <w:tcPr>
            <w:tcW w:type="dxa" w:w="3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 port (587 for TLS, 465 for SSL)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EMAIL_USE_TLS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222E"/>
                <w:sz w:val="19"/>
                <w:szCs w:val="19"/>
              </w:rPr>
              <w:t xml:space="preserve">True</w:t>
            </w:r>
          </w:p>
        </w:tc>
        <w:tc>
          <w:tcPr>
            <w:tcW w:type="dxa" w:w="3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TLS encryption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EMAIL_USE_SSL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222E"/>
                <w:sz w:val="19"/>
                <w:szCs w:val="19"/>
              </w:rPr>
              <w:t xml:space="preserve">False</w:t>
            </w:r>
          </w:p>
        </w:tc>
        <w:tc>
          <w:tcPr>
            <w:tcW w:type="dxa" w:w="3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True if using port 465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EMAIL_HOST_USER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222E"/>
                <w:sz w:val="19"/>
                <w:szCs w:val="19"/>
              </w:rPr>
              <w:t xml:space="preserve">noreply@growthmaster.zw</w:t>
            </w:r>
          </w:p>
        </w:tc>
        <w:tc>
          <w:tcPr>
            <w:tcW w:type="dxa" w:w="3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Sending email address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EMAIL_HOST_PASSWORD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222E"/>
                <w:sz w:val="19"/>
                <w:szCs w:val="19"/>
              </w:rPr>
              <w:t xml:space="preserve">your-app-password</w:t>
            </w:r>
          </w:p>
        </w:tc>
        <w:tc>
          <w:tcPr>
            <w:tcW w:type="dxa" w:w="3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 password or app-specific password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DEFAULT_FROM_EMAIL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222E"/>
                <w:sz w:val="19"/>
                <w:szCs w:val="19"/>
              </w:rPr>
              <w:t xml:space="preserve">GrowthMaster &lt;noreply@growthmaster.zw&gt;</w:t>
            </w:r>
          </w:p>
        </w:tc>
        <w:tc>
          <w:tcPr>
            <w:tcW w:type="dxa" w:w="3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 in sent emails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13921"/>
                <w:sz w:val="19"/>
                <w:szCs w:val="19"/>
              </w:rPr>
              <w:t xml:space="preserve">ADMIN_EMAIL</w:t>
            </w:r>
          </w:p>
        </w:tc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222E"/>
                <w:sz w:val="19"/>
                <w:szCs w:val="19"/>
              </w:rPr>
              <w:t xml:space="preserve">admin@growthmaster.zw</w:t>
            </w:r>
          </w:p>
        </w:tc>
        <w:tc>
          <w:tcPr>
            <w:tcW w:type="dxa" w:w="36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contact form notifications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F35236" w:sz="1"/>
              <w:left w:val="single" w:color="F35236" w:sz="12"/>
              <w:bottom w:val="single" w:color="F35236" w:sz="1"/>
              <w:right w:val="single" w:color="F35236" w:sz="1"/>
            </w:tcBorders>
            <w:shd w:fill="FFF3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5236"/>
                <w:sz w:val="20"/>
                <w:szCs w:val="20"/>
              </w:rPr>
              <w:t xml:space="preserve">.env Rule</w:t>
            </w:r>
          </w:p>
        </w:tc>
        <w:tc>
          <w:tcPr>
            <w:tcW w:type="dxa" w:w="7526"/>
            <w:tcBorders>
              <w:top w:val="single" w:color="F35236" w:sz="1"/>
              <w:left w:val="single" w:color="F35236" w:sz="1"/>
              <w:bottom w:val="single" w:color="F35236" w:sz="1"/>
              <w:right w:val="single" w:color="F35236" w:sz="1"/>
            </w:tcBorders>
            <w:shd w:fill="FDF8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.env file must be listed in .gitignore. A .env.example file with placeholder values is committed to the repo for reference. Never commit real credentials.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Django settings.py reads these variables as:</w:t>
      </w:r>
    </w:p>
    <w:p>
      <w:pPr>
        <w:shd w:fill="10222E" w:val="clear"/>
        <w:spacing w:after="80" w:before="80"/>
        <w:ind w:left="720"/>
      </w:pPr>
      <w:r>
        <w:rPr>
          <w:rFonts w:ascii="Courier New" w:cs="Courier New" w:eastAsia="Courier New" w:hAnsi="Courier New"/>
          <w:color w:val="FFF3D9"/>
          <w:sz w:val="19"/>
          <w:szCs w:val="19"/>
        </w:rPr>
        <w:t xml:space="preserve">EMAIL_BACKEND = 'django.core.mail.backends.smtp.EmailBackend'</w:t>
      </w:r>
    </w:p>
    <w:p>
      <w:pPr>
        <w:pBdr>
          <w:bottom w:val="single" w:color="E0D0C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3523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222E"/>
          <w:sz w:val="38"/>
          <w:szCs w:val="38"/>
        </w:rPr>
        <w:t xml:space="preserve">10.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10.1  Stack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Backend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Django 5.x — MVT pattern, class-based views, Django ORM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Dynamic UI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HTMX — hx-get, hx-post, hx-target, hx-swap, hx-trigger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Styling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 (CDN for dev; PostCSS/purge for production)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(production) / SQLite (development)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Email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Django SMTP backend — credentials via .env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filesystem (dev) / AWS S3 or Cloudinary (prod)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Gunicorn + Nginx — VPS or AWS EC2</w:t>
            </w:r>
          </w:p>
        </w:tc>
      </w:tr>
      <w:tr>
        <w:tc>
          <w:tcPr>
            <w:tcW w:type="dxa" w:w="26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4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/ GitHub — .env in .gitignore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B13921"/>
          <w:sz w:val="28"/>
          <w:szCs w:val="28"/>
        </w:rPr>
        <w:t xml:space="preserve">10.2  Django App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core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Base templates, homepage view, site settings model, global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services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Service + Category models, list/detail views, slug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portfolio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PortfolioItem model (type: video/photo/social), gallery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contacts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Enquiry model, HTMX contact form, .env SMTP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subscribers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Subscriber model, HTMX subscribe/unsubscribe, list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email_broadcast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Campaign model, compose/send, pixel+redirect tracking,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manage_portal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All /manage/ views — @login_required, staff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13921"/>
          <w:sz w:val="20"/>
          <w:szCs w:val="20"/>
        </w:rPr>
        <w:t xml:space="preserve">accounts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Staff login/logout — no public registration</w:t>
      </w:r>
    </w:p>
    <w:p>
      <w:pPr>
        <w:pBdr>
          <w:bottom w:val="single" w:color="E0D0C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3523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222E"/>
          <w:sz w:val="38"/>
          <w:szCs w:val="38"/>
        </w:rPr>
        <w:t xml:space="preserve">11. Feature Priority Matrix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Must Have = Phase 1 launch  |  Should Have = Phase 1 if time allows  |  Could Have = Phase 2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Homepage (Hero + CTA + Teaser)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Brand-styled hero, service cards, portfolio teaser, subscribe form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Services List &amp; Detail Pages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categories, HTMX tabs, Enquire Now prefill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Contact Form (HTMX)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Inline submit, .env SMTP notification, DB storage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WhatsApp Chat Widget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Floating button all public pages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Email Subscription Form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HTMX, DB storage, unsubscribe link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Portfolio — Videos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Embedded/self-hosted, filterable by category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Portfolio — Photos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Masonry grid, lightbox, categories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Portfolio — Social Embeds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Paste Instagram/LinkedIn/Facebook/X embed code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/manage Dashboard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Subscriber count, enquiries, campaigns summary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/manage Portfolio Manager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Upload/edit/delete all content types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/manage Subscriber Manager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View, filter, export CSV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/manage Email Compose &amp; Send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Rich text, schedule, send via .env SMTP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/manage Enquiry Manager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View, respond, filter, export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/manage Site Settings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info, social links, WhatsApp number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Email Analytics Dashboard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rate, CTR, unsubscribes, charts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6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Email Scheduling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 campaign to send at future date/time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6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Tailwind Brand Theme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tailwind.config.js with all brand tokens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13921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Portfolio Case Studies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Detailed project write-up pages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Social Media Live Feed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latest-posts widget on portfolio page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Online Training Module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E-learning — requires course material first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Client Portal / Login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Authenticated client area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SendGrid / Mailchimp Integration</w:t>
            </w:r>
          </w:p>
        </w:tc>
        <w:tc>
          <w:tcPr>
            <w:tcW w:type="dxa" w:w="4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Advanced analytics, A/B testing, deliverability</w:t>
            </w:r>
          </w:p>
        </w:tc>
        <w:tc>
          <w:tcPr>
            <w:tcW w:type="dxa" w:w="2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Could Have</w:t>
            </w:r>
          </w:p>
        </w:tc>
      </w:tr>
    </w:tbl>
    <w:p>
      <w:pPr>
        <w:pBdr>
          <w:bottom w:val="single" w:color="E0D0C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3523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222E"/>
          <w:sz w:val="38"/>
          <w:szCs w:val="38"/>
        </w:rPr>
        <w:t xml:space="preserve">12.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Performance: page load under 3 seconds; Tailwind purge reduces CSS to &lt;10 KB in production; lazy load for all 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Responsiveness: Tailwind responsive breakpoints (sm, md, lg, xl) — tested on mobile, tablet,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SEO: Django meta tags per page, clean slug URLs, structured service pages; /manage excluded from sitemap.xml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Security: CSRF on all forms, HTTPS (SECURE_SSL_REDIRECT), .env secrets, /manage returns 404 to anonymous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Accessibility: semantic HTML5, Tailwind sr-only for screen readers, alt text on all images, keyboard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 Consistency: all UI components use brand-navy, brand-red, brand-cream, brand-offwhite tokens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Browser Support: Chrome, Firefox, Safari, Edge — latest 2 versions</w:t>
      </w:r>
    </w:p>
    <w:p>
      <w:pPr>
        <w:pBdr>
          <w:bottom w:val="single" w:color="E0D0C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3523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222E"/>
          <w:sz w:val="38"/>
          <w:szCs w:val="38"/>
        </w:rPr>
        <w:t xml:space="preserve">13. Future Phase Features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Architecture is modular — all items below can be added as new Django apps without a platform rebuild.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Online Training Module</w:t>
            </w:r>
          </w:p>
        </w:tc>
        <w:tc>
          <w:tcPr>
            <w:tcW w:type="dxa" w:w="6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Physical training currently offered. Online delivery requires course material. A training Django app will be added when ready.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E-Learning / Video Courses</w:t>
            </w:r>
          </w:p>
        </w:tc>
        <w:tc>
          <w:tcPr>
            <w:tcW w:type="dxa" w:w="6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Self-paced courses with progress tracking. Requires Cloudinary or S3 for video hosting.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6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Authenticated client area: track project progress, download reports, communicate with consultants.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Portfolio Case Studies</w:t>
            </w:r>
          </w:p>
        </w:tc>
        <w:tc>
          <w:tcPr>
            <w:tcW w:type="dxa" w:w="6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Full-page write-ups: problem, approach, outcome. New Django model, no rebuild needed.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Social Media Live Feed</w:t>
            </w:r>
          </w:p>
        </w:tc>
        <w:tc>
          <w:tcPr>
            <w:tcW w:type="dxa" w:w="6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latest-posts widget pulled via Instagram/LinkedIn API.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SendGrid / Mailchimp</w:t>
            </w:r>
          </w:p>
        </w:tc>
        <w:tc>
          <w:tcPr>
            <w:tcW w:type="dxa" w:w="6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 upgrade from in-house SMTP broadcast for A/B testing and advanced analytics.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Multilingual Support</w:t>
            </w:r>
          </w:p>
        </w:tc>
        <w:tc>
          <w:tcPr>
            <w:tcW w:type="dxa" w:w="6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Shona / Ndebele via Django i18n. Tailwind RTL support if needed.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Blog / News Section</w:t>
            </w:r>
          </w:p>
        </w:tc>
        <w:tc>
          <w:tcPr>
            <w:tcW w:type="dxa" w:w="62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D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required for Phase 1. Can be enabled as a new Django app.</w:t>
            </w:r>
          </w:p>
        </w:tc>
      </w:tr>
    </w:tbl>
    <w:p>
      <w:pPr>
        <w:pBdr>
          <w:bottom w:val="single" w:color="E0D0C8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F3523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222E"/>
          <w:sz w:val="38"/>
          <w:szCs w:val="38"/>
        </w:rPr>
        <w:t xml:space="preserve">14. Review &amp; Sign-Off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parties should review and sign below before development begins. Changes after sign-off are treated as formal change requests.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&amp; Signature</w:t>
            </w:r>
          </w:p>
        </w:tc>
        <w:tc>
          <w:tcPr>
            <w:tcW w:type="dxa" w:w="30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022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Client (GrowthMaster)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Ruvimbo  ________________________</w:t>
            </w:r>
          </w:p>
        </w:tc>
        <w:tc>
          <w:tcPr>
            <w:tcW w:type="dxa" w:w="30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3D9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222E"/>
                <w:sz w:val="20"/>
                <w:szCs w:val="20"/>
              </w:rPr>
              <w:t xml:space="preserve">Developer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Rufaro E. Mutepfa  ________________________</w:t>
            </w:r>
          </w:p>
        </w:tc>
        <w:tc>
          <w:tcPr>
            <w:tcW w:type="dxa" w:w="3026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F35236" w:sz="1"/>
              <w:left w:val="single" w:color="F35236" w:sz="12"/>
              <w:bottom w:val="single" w:color="F35236" w:sz="1"/>
              <w:right w:val="single" w:color="F35236" w:sz="1"/>
            </w:tcBorders>
            <w:shd w:fill="FFF3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5236"/>
                <w:sz w:val="20"/>
                <w:szCs w:val="20"/>
              </w:rPr>
              <w:t xml:space="preserve">Amendments</w:t>
            </w:r>
          </w:p>
        </w:tc>
        <w:tc>
          <w:tcPr>
            <w:tcW w:type="dxa" w:w="7526"/>
            <w:tcBorders>
              <w:top w:val="single" w:color="F35236" w:sz="1"/>
              <w:left w:val="single" w:color="F35236" w:sz="1"/>
              <w:bottom w:val="single" w:color="F35236" w:sz="1"/>
              <w:right w:val="single" w:color="F35236" w:sz="1"/>
            </w:tcBorders>
            <w:shd w:fill="FDF8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any agreed changes here before signing. Additional scope after sign-off will be treated as change requests.</w:t>
            </w:r>
          </w:p>
        </w:tc>
      </w:tr>
    </w:tbl>
    <w:p>
      <w:pPr>
        <w:spacing w:before="320"/>
        <w:jc w:val="center"/>
      </w:pPr>
      <w:r>
        <w:rPr>
          <w:rFonts w:ascii="Arial" w:cs="Arial" w:eastAsia="Arial" w:hAnsi="Arial"/>
          <w:i/>
          <w:iCs/>
          <w:color w:val="7A8C8C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5236" w:sz="4" w:space="2"/>
      </w:pBdr>
      <w:spacing w:before="80"/>
      <w:jc w:val="right"/>
    </w:pPr>
    <w:r>
      <w:rPr>
        <w:rFonts w:ascii="Arial" w:cs="Arial" w:eastAsia="Arial" w:hAnsi="Arial"/>
        <w:color w:val="7A8C8C"/>
        <w:sz w:val="17"/>
        <w:szCs w:val="17"/>
      </w:rPr>
      <w:t xml:space="preserve">Empowering Business Success  |  Page </w:t>
    </w:r>
    <w:r>
      <w:rPr>
        <w:rFonts w:ascii="Arial" w:cs="Arial" w:eastAsia="Arial" w:hAnsi="Arial"/>
        <w:color w:val="F3523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C8C"/>
        <w:sz w:val="17"/>
        <w:szCs w:val="17"/>
      </w:rPr>
      <w:t xml:space="preserve"> of </w:t>
    </w:r>
    <w:r>
      <w:rPr>
        <w:rFonts w:ascii="Arial" w:cs="Arial" w:eastAsia="Arial" w:hAnsi="Arial"/>
        <w:color w:val="F3523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800"/>
      <w:gridCol w:w="7226"/>
    </w:tblGrid>
    <w:tr>
      <w:tc>
        <w:tcPr>
          <w:tcW w:type="dxa" w:w="18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40"/>
            <w:left w:type="dxa" w:w="0"/>
            <w:bottom w:type="dxa" w:w="40"/>
            <w:right w:type="dxa" w:w="200"/>
          </w:tcMar>
        </w:tcPr>
        <w:p>
          <w:r>
            <w:drawing>
              <wp:inline distT="0" distB="0" distL="0" distR="0">
                <wp:extent cx="952500" cy="800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26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10222E"/>
              <w:sz w:val="20"/>
              <w:szCs w:val="20"/>
            </w:rPr>
            <w:t xml:space="preserve">GROWTHMASTER SOLUTIONS CONSULTANCY</w:t>
          </w:r>
        </w:p>
        <w:p>
          <w:pPr>
            <w:pBdr>
              <w:bottom w:val="single" w:color="F35236" w:sz="4" w:space="2"/>
            </w:pBdr>
            <w:spacing w:after="0"/>
          </w:pPr>
          <w:r>
            <w:rPr>
              <w:rFonts w:ascii="Arial" w:cs="Arial" w:eastAsia="Arial" w:hAnsi="Arial"/>
              <w:color w:val="7A8C8C"/>
              <w:sz w:val="16"/>
              <w:szCs w:val="16"/>
            </w:rPr>
            <w:t xml:space="preserve">Website Requirements &amp; Feature Documentation  |  v1.2  |  June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0222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B139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F3523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0431e0a088ee3168f969843c4bfa2818bf785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90431e0a088ee3168f969843c4bfa2818bf785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2026-06-11T12:32:17.868Z</dcterms:created>
  <dcterms:modified xsi:type="dcterms:W3CDTF">2026-06-11T12:32:17.869Z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