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4B2780" w14:textId="600C8955" w:rsidR="00B8626C" w:rsidRPr="00A54690" w:rsidRDefault="00A54690" w:rsidP="00A54690">
      <w:pPr>
        <w:jc w:val="center"/>
        <w:rPr>
          <w:b/>
          <w:i/>
          <w:sz w:val="40"/>
          <w:szCs w:val="40"/>
          <w:u w:val="single"/>
        </w:rPr>
      </w:pPr>
      <w:r w:rsidRPr="00A54690">
        <w:rPr>
          <w:b/>
          <w:i/>
          <w:sz w:val="40"/>
          <w:szCs w:val="40"/>
          <w:u w:val="single"/>
        </w:rPr>
        <w:t xml:space="preserve">VSR </w:t>
      </w:r>
      <w:r w:rsidR="00B142D5">
        <w:rPr>
          <w:b/>
          <w:i/>
          <w:sz w:val="40"/>
          <w:szCs w:val="40"/>
          <w:u w:val="single"/>
        </w:rPr>
        <w:t>e</w:t>
      </w:r>
      <w:r w:rsidRPr="00A54690">
        <w:rPr>
          <w:b/>
          <w:i/>
          <w:sz w:val="40"/>
          <w:szCs w:val="40"/>
          <w:u w:val="single"/>
        </w:rPr>
        <w:t>Case Generator Worksheet</w:t>
      </w:r>
    </w:p>
    <w:tbl>
      <w:tblPr>
        <w:tblStyle w:val="LightShading-Accent1"/>
        <w:tblW w:w="9558" w:type="dxa"/>
        <w:tblLook w:val="04A0" w:firstRow="1" w:lastRow="0" w:firstColumn="1" w:lastColumn="0" w:noHBand="0" w:noVBand="1"/>
      </w:tblPr>
      <w:tblGrid>
        <w:gridCol w:w="2178"/>
        <w:gridCol w:w="7380"/>
      </w:tblGrid>
      <w:tr w:rsidR="005627D4" w14:paraId="594B2783" w14:textId="77777777" w:rsidTr="005627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594B2781" w14:textId="77777777" w:rsidR="005627D4" w:rsidRDefault="00B97023">
            <w:r>
              <w:t>Sequence</w:t>
            </w:r>
          </w:p>
        </w:tc>
        <w:tc>
          <w:tcPr>
            <w:tcW w:w="7380" w:type="dxa"/>
          </w:tcPr>
          <w:p w14:paraId="594B2782" w14:textId="2F12962D" w:rsidR="005627D4" w:rsidRPr="00916FEF" w:rsidRDefault="00B142D5" w:rsidP="00854D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Non-Original</w:t>
            </w:r>
          </w:p>
        </w:tc>
      </w:tr>
      <w:tr w:rsidR="005627D4" w14:paraId="594B2786" w14:textId="77777777" w:rsidTr="005627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594B2784" w14:textId="77777777" w:rsidR="005627D4" w:rsidRDefault="005627D4">
            <w:r>
              <w:t>Name</w:t>
            </w:r>
          </w:p>
        </w:tc>
        <w:tc>
          <w:tcPr>
            <w:tcW w:w="7380" w:type="dxa"/>
          </w:tcPr>
          <w:p w14:paraId="594B2785" w14:textId="77777777" w:rsidR="005627D4" w:rsidRPr="00916FEF" w:rsidRDefault="00925A36" w:rsidP="00854D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LUDLUM, Gary</w:t>
            </w:r>
          </w:p>
        </w:tc>
      </w:tr>
      <w:tr w:rsidR="005627D4" w14:paraId="594B2789" w14:textId="77777777" w:rsidTr="005627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594B2787" w14:textId="77777777" w:rsidR="005627D4" w:rsidRDefault="005627D4">
            <w:r>
              <w:t>Claim #:</w:t>
            </w:r>
          </w:p>
        </w:tc>
        <w:tc>
          <w:tcPr>
            <w:tcW w:w="7380" w:type="dxa"/>
          </w:tcPr>
          <w:p w14:paraId="594B2788" w14:textId="77777777" w:rsidR="005627D4" w:rsidRPr="00916FEF" w:rsidRDefault="00925A36" w:rsidP="00854D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6Y27XX00</w:t>
            </w:r>
          </w:p>
        </w:tc>
      </w:tr>
      <w:tr w:rsidR="005627D4" w14:paraId="594B278C" w14:textId="77777777" w:rsidTr="005627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594B278A" w14:textId="77777777" w:rsidR="005627D4" w:rsidRDefault="005627D4">
            <w:r>
              <w:t>Branch of Service</w:t>
            </w:r>
          </w:p>
        </w:tc>
        <w:tc>
          <w:tcPr>
            <w:tcW w:w="7380" w:type="dxa"/>
          </w:tcPr>
          <w:p w14:paraId="594B278B" w14:textId="77777777" w:rsidR="005627D4" w:rsidRPr="00916FEF" w:rsidRDefault="00E84D05" w:rsidP="00854D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Navy</w:t>
            </w:r>
          </w:p>
        </w:tc>
      </w:tr>
      <w:tr w:rsidR="005627D4" w14:paraId="594B278F" w14:textId="77777777" w:rsidTr="005627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594B278D" w14:textId="77777777" w:rsidR="005627D4" w:rsidRDefault="005627D4">
            <w:r>
              <w:t>Period of Service</w:t>
            </w:r>
          </w:p>
        </w:tc>
        <w:tc>
          <w:tcPr>
            <w:tcW w:w="7380" w:type="dxa"/>
          </w:tcPr>
          <w:p w14:paraId="594B278E" w14:textId="77777777" w:rsidR="005627D4" w:rsidRPr="00916FEF" w:rsidRDefault="00E84D05" w:rsidP="00854D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06/10/1973 – 06/09/1976</w:t>
            </w:r>
          </w:p>
        </w:tc>
      </w:tr>
      <w:tr w:rsidR="005627D4" w14:paraId="594B2792" w14:textId="77777777" w:rsidTr="005627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594B2790" w14:textId="77777777" w:rsidR="005627D4" w:rsidRDefault="005627D4">
            <w:r>
              <w:t>Type of Claim</w:t>
            </w:r>
          </w:p>
        </w:tc>
        <w:tc>
          <w:tcPr>
            <w:tcW w:w="7380" w:type="dxa"/>
          </w:tcPr>
          <w:p w14:paraId="594B2791" w14:textId="2EF490F9" w:rsidR="005627D4" w:rsidRPr="00916FEF" w:rsidRDefault="00B37781" w:rsidP="00854D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020</w:t>
            </w:r>
            <w:r w:rsidR="00B142D5">
              <w:rPr>
                <w:b/>
              </w:rPr>
              <w:t>;</w:t>
            </w:r>
            <w:r>
              <w:rPr>
                <w:b/>
              </w:rPr>
              <w:t xml:space="preserve"> New</w:t>
            </w:r>
          </w:p>
        </w:tc>
      </w:tr>
      <w:tr w:rsidR="005627D4" w14:paraId="594B2795" w14:textId="77777777" w:rsidTr="005627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594B2793" w14:textId="77777777" w:rsidR="005627D4" w:rsidRDefault="005627D4">
            <w:r>
              <w:t>Contentions</w:t>
            </w:r>
          </w:p>
        </w:tc>
        <w:tc>
          <w:tcPr>
            <w:tcW w:w="7380" w:type="dxa"/>
          </w:tcPr>
          <w:p w14:paraId="594B2794" w14:textId="4F72C943" w:rsidR="005627D4" w:rsidRPr="00916FEF" w:rsidRDefault="00B37781" w:rsidP="00854D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New – </w:t>
            </w:r>
            <w:r w:rsidR="000F7AAF">
              <w:rPr>
                <w:b/>
              </w:rPr>
              <w:t>left wrist arthritis</w:t>
            </w:r>
            <w:r w:rsidR="002D0C24">
              <w:rPr>
                <w:b/>
              </w:rPr>
              <w:t xml:space="preserve"> with pain and stiffness</w:t>
            </w:r>
          </w:p>
        </w:tc>
      </w:tr>
      <w:tr w:rsidR="005627D4" w14:paraId="594B2798" w14:textId="77777777" w:rsidTr="005627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594B2796" w14:textId="77777777" w:rsidR="005627D4" w:rsidRDefault="005627D4">
            <w:r>
              <w:t>FDC Y/N</w:t>
            </w:r>
          </w:p>
        </w:tc>
        <w:tc>
          <w:tcPr>
            <w:tcW w:w="7380" w:type="dxa"/>
          </w:tcPr>
          <w:p w14:paraId="594B2797" w14:textId="5509FA2B" w:rsidR="005627D4" w:rsidRPr="00916FEF" w:rsidRDefault="00816A62" w:rsidP="00854D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5627D4" w14:paraId="594B279B" w14:textId="77777777" w:rsidTr="005627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594B2799" w14:textId="77777777" w:rsidR="005627D4" w:rsidRDefault="005627D4">
            <w:r>
              <w:t>FDC Exclusion Y/N</w:t>
            </w:r>
          </w:p>
        </w:tc>
        <w:tc>
          <w:tcPr>
            <w:tcW w:w="7380" w:type="dxa"/>
          </w:tcPr>
          <w:p w14:paraId="594B279A" w14:textId="341336BD" w:rsidR="005627D4" w:rsidRPr="00916FEF" w:rsidRDefault="005052FA" w:rsidP="00854D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Y</w:t>
            </w:r>
          </w:p>
        </w:tc>
      </w:tr>
    </w:tbl>
    <w:p w14:paraId="594B279C" w14:textId="77777777" w:rsidR="00B0316C" w:rsidRDefault="00B0316C"/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2752"/>
        <w:gridCol w:w="1511"/>
        <w:gridCol w:w="5097"/>
      </w:tblGrid>
      <w:tr w:rsidR="00176748" w14:paraId="594B27A0" w14:textId="77777777" w:rsidTr="001830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594B279D" w14:textId="77777777" w:rsidR="00176748" w:rsidRDefault="00176748" w:rsidP="00021DAB">
            <w:r>
              <w:t>VA Forms and Revision Date</w:t>
            </w:r>
          </w:p>
        </w:tc>
        <w:tc>
          <w:tcPr>
            <w:tcW w:w="1511" w:type="dxa"/>
          </w:tcPr>
          <w:p w14:paraId="594B279E" w14:textId="77777777" w:rsidR="00176748" w:rsidRDefault="001767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Revision Date</w:t>
            </w:r>
          </w:p>
        </w:tc>
        <w:tc>
          <w:tcPr>
            <w:tcW w:w="5097" w:type="dxa"/>
          </w:tcPr>
          <w:p w14:paraId="594B279F" w14:textId="77777777" w:rsidR="00176748" w:rsidRDefault="001767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Required: Y/N and Details</w:t>
            </w:r>
          </w:p>
        </w:tc>
      </w:tr>
      <w:tr w:rsidR="00B60DDB" w14:paraId="594B27A4" w14:textId="77777777" w:rsidTr="001830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594B27A1" w14:textId="77777777" w:rsidR="00B60DDB" w:rsidRDefault="00B60DDB">
            <w:r>
              <w:t xml:space="preserve">VA Form 21-526EZ     </w:t>
            </w:r>
          </w:p>
        </w:tc>
        <w:tc>
          <w:tcPr>
            <w:tcW w:w="1511" w:type="dxa"/>
          </w:tcPr>
          <w:p w14:paraId="594B27A2" w14:textId="776A7593" w:rsidR="00B60DDB" w:rsidRPr="00C37B73" w:rsidRDefault="00B142D5" w:rsidP="005462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09/2019</w:t>
            </w:r>
          </w:p>
        </w:tc>
        <w:tc>
          <w:tcPr>
            <w:tcW w:w="5097" w:type="dxa"/>
          </w:tcPr>
          <w:p w14:paraId="594B27A3" w14:textId="768446CA" w:rsidR="00B60DDB" w:rsidRPr="00916FEF" w:rsidRDefault="00816A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B60DDB" w14:paraId="594B27B0" w14:textId="77777777" w:rsidTr="001830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594B27AD" w14:textId="77777777" w:rsidR="00B60DDB" w:rsidRDefault="00B60DDB">
            <w:r>
              <w:t>VA Form 21-22</w:t>
            </w:r>
          </w:p>
        </w:tc>
        <w:tc>
          <w:tcPr>
            <w:tcW w:w="1511" w:type="dxa"/>
          </w:tcPr>
          <w:p w14:paraId="594B27AE" w14:textId="4A2D6F6E" w:rsidR="00B60DDB" w:rsidRPr="00C37B73" w:rsidRDefault="00B142D5" w:rsidP="005462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 w:rsidR="00FC6636">
              <w:t>2/2019</w:t>
            </w:r>
          </w:p>
        </w:tc>
        <w:tc>
          <w:tcPr>
            <w:tcW w:w="5097" w:type="dxa"/>
          </w:tcPr>
          <w:p w14:paraId="594B27AF" w14:textId="2D5F2264" w:rsidR="00B60DDB" w:rsidRPr="00916FEF" w:rsidRDefault="00B60DDB" w:rsidP="002A0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Y – DAV with access plus CADD</w:t>
            </w:r>
            <w:r w:rsidR="00BA4E6C">
              <w:rPr>
                <w:b/>
              </w:rPr>
              <w:t xml:space="preserve"> (083)</w:t>
            </w:r>
          </w:p>
        </w:tc>
      </w:tr>
      <w:tr w:rsidR="00B60DDB" w14:paraId="594B27B4" w14:textId="77777777" w:rsidTr="001830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594B27B1" w14:textId="77777777" w:rsidR="00B60DDB" w:rsidRDefault="00B60DDB">
            <w:r>
              <w:t xml:space="preserve">VA Form 21-4138 </w:t>
            </w:r>
          </w:p>
        </w:tc>
        <w:tc>
          <w:tcPr>
            <w:tcW w:w="1511" w:type="dxa"/>
          </w:tcPr>
          <w:p w14:paraId="594B27B2" w14:textId="1A2F4DE3" w:rsidR="00B60DDB" w:rsidRPr="00C37B73" w:rsidRDefault="00063708" w:rsidP="005462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06/2021</w:t>
            </w:r>
          </w:p>
        </w:tc>
        <w:tc>
          <w:tcPr>
            <w:tcW w:w="5097" w:type="dxa"/>
          </w:tcPr>
          <w:p w14:paraId="594B27B3" w14:textId="019FF5B3" w:rsidR="00B60DDB" w:rsidRPr="00916FEF" w:rsidRDefault="00B60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B60DDB" w14:paraId="594B27B8" w14:textId="77777777" w:rsidTr="001830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594B27B5" w14:textId="77777777" w:rsidR="00B60DDB" w:rsidRDefault="00B60DDB">
            <w:r>
              <w:t xml:space="preserve">VA Form 21-0966 </w:t>
            </w:r>
          </w:p>
        </w:tc>
        <w:tc>
          <w:tcPr>
            <w:tcW w:w="1511" w:type="dxa"/>
          </w:tcPr>
          <w:p w14:paraId="594B27B6" w14:textId="23CBC8C5" w:rsidR="00B60DDB" w:rsidRPr="00C37B73" w:rsidRDefault="00063708" w:rsidP="005462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08/2018</w:t>
            </w:r>
          </w:p>
        </w:tc>
        <w:tc>
          <w:tcPr>
            <w:tcW w:w="5097" w:type="dxa"/>
          </w:tcPr>
          <w:p w14:paraId="594B27B7" w14:textId="77777777" w:rsidR="00B60DDB" w:rsidRPr="00916FEF" w:rsidRDefault="00B60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B60DDB" w14:paraId="594B27BC" w14:textId="77777777" w:rsidTr="001830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594B27B9" w14:textId="77777777" w:rsidR="00B60DDB" w:rsidRDefault="00B60DDB">
            <w:r>
              <w:t>VA Form 21-686c</w:t>
            </w:r>
          </w:p>
        </w:tc>
        <w:tc>
          <w:tcPr>
            <w:tcW w:w="1511" w:type="dxa"/>
          </w:tcPr>
          <w:p w14:paraId="594B27BA" w14:textId="5BE1F618" w:rsidR="00B60DDB" w:rsidRPr="00C37B73" w:rsidRDefault="00063708" w:rsidP="005462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09/2018</w:t>
            </w:r>
          </w:p>
        </w:tc>
        <w:tc>
          <w:tcPr>
            <w:tcW w:w="5097" w:type="dxa"/>
          </w:tcPr>
          <w:p w14:paraId="594B27BB" w14:textId="77777777" w:rsidR="00B60DDB" w:rsidRPr="00916FEF" w:rsidRDefault="00B60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B60DDB" w14:paraId="594B27C0" w14:textId="77777777" w:rsidTr="001830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594B27BD" w14:textId="77777777" w:rsidR="00B60DDB" w:rsidRDefault="00B60DDB">
            <w:r>
              <w:t xml:space="preserve">VA Form 21-674 </w:t>
            </w:r>
          </w:p>
        </w:tc>
        <w:tc>
          <w:tcPr>
            <w:tcW w:w="1511" w:type="dxa"/>
          </w:tcPr>
          <w:p w14:paraId="594B27BE" w14:textId="23F08DB0" w:rsidR="00B60DDB" w:rsidRPr="00C37B73" w:rsidRDefault="00D71133" w:rsidP="005462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06/2018</w:t>
            </w:r>
          </w:p>
        </w:tc>
        <w:tc>
          <w:tcPr>
            <w:tcW w:w="5097" w:type="dxa"/>
          </w:tcPr>
          <w:p w14:paraId="594B27BF" w14:textId="77777777" w:rsidR="00B60DDB" w:rsidRPr="00916FEF" w:rsidRDefault="00B60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B60DDB" w14:paraId="594B27C4" w14:textId="77777777" w:rsidTr="001830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594B27C1" w14:textId="77777777" w:rsidR="00B60DDB" w:rsidRDefault="00B60DDB">
            <w:r>
              <w:t xml:space="preserve">VA Form 21-0538 </w:t>
            </w:r>
          </w:p>
        </w:tc>
        <w:tc>
          <w:tcPr>
            <w:tcW w:w="1511" w:type="dxa"/>
          </w:tcPr>
          <w:p w14:paraId="594B27C2" w14:textId="06AAF055" w:rsidR="00B60DDB" w:rsidRPr="00C37B73" w:rsidRDefault="00063708" w:rsidP="005462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02/2021</w:t>
            </w:r>
          </w:p>
        </w:tc>
        <w:tc>
          <w:tcPr>
            <w:tcW w:w="5097" w:type="dxa"/>
          </w:tcPr>
          <w:p w14:paraId="594B27C3" w14:textId="77777777" w:rsidR="00B60DDB" w:rsidRPr="00916FEF" w:rsidRDefault="00B60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B60DDB" w14:paraId="594B27C8" w14:textId="77777777" w:rsidTr="001830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594B27C5" w14:textId="77777777" w:rsidR="00B60DDB" w:rsidRDefault="00B60DDB">
            <w:r>
              <w:t xml:space="preserve">VA Form 21-0781 </w:t>
            </w:r>
          </w:p>
        </w:tc>
        <w:tc>
          <w:tcPr>
            <w:tcW w:w="1511" w:type="dxa"/>
          </w:tcPr>
          <w:p w14:paraId="594B27C6" w14:textId="77777777" w:rsidR="00B60DDB" w:rsidRPr="00C37B73" w:rsidRDefault="00B60DDB" w:rsidP="005462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7B73">
              <w:t>07/2017</w:t>
            </w:r>
          </w:p>
        </w:tc>
        <w:tc>
          <w:tcPr>
            <w:tcW w:w="5097" w:type="dxa"/>
          </w:tcPr>
          <w:p w14:paraId="594B27C7" w14:textId="77777777" w:rsidR="00B60DDB" w:rsidRPr="00916FEF" w:rsidRDefault="00B60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B60DDB" w14:paraId="594B27CC" w14:textId="77777777" w:rsidTr="001830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594B27C9" w14:textId="77777777" w:rsidR="00B60DDB" w:rsidRDefault="00B60DDB">
            <w:r>
              <w:t xml:space="preserve">VA Form 21-0781a </w:t>
            </w:r>
          </w:p>
        </w:tc>
        <w:tc>
          <w:tcPr>
            <w:tcW w:w="1511" w:type="dxa"/>
          </w:tcPr>
          <w:p w14:paraId="594B27CA" w14:textId="77777777" w:rsidR="00B60DDB" w:rsidRPr="00C37B73" w:rsidRDefault="00B60DDB" w:rsidP="005462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37B73">
              <w:t>07/2017</w:t>
            </w:r>
          </w:p>
        </w:tc>
        <w:tc>
          <w:tcPr>
            <w:tcW w:w="5097" w:type="dxa"/>
          </w:tcPr>
          <w:p w14:paraId="594B27CB" w14:textId="77777777" w:rsidR="00B60DDB" w:rsidRPr="00916FEF" w:rsidRDefault="00B60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176748" w14:paraId="594B27D0" w14:textId="77777777" w:rsidTr="001830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594B27CD" w14:textId="77777777" w:rsidR="00176748" w:rsidRDefault="00176748">
            <w:r>
              <w:t>Standard 5103 Letter</w:t>
            </w:r>
          </w:p>
        </w:tc>
        <w:tc>
          <w:tcPr>
            <w:tcW w:w="1511" w:type="dxa"/>
          </w:tcPr>
          <w:p w14:paraId="594B27CE" w14:textId="77777777" w:rsidR="00176748" w:rsidRDefault="00176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97" w:type="dxa"/>
          </w:tcPr>
          <w:p w14:paraId="594B27CF" w14:textId="48A2240E" w:rsidR="00176748" w:rsidRPr="00916FEF" w:rsidRDefault="00176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176748" w14:paraId="594B27D4" w14:textId="77777777" w:rsidTr="001830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594B27D1" w14:textId="77777777" w:rsidR="00176748" w:rsidRDefault="00176748" w:rsidP="00BC4D58">
            <w:r>
              <w:t>3101</w:t>
            </w:r>
          </w:p>
        </w:tc>
        <w:tc>
          <w:tcPr>
            <w:tcW w:w="1511" w:type="dxa"/>
          </w:tcPr>
          <w:p w14:paraId="594B27D2" w14:textId="77777777" w:rsidR="00176748" w:rsidRDefault="00176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97" w:type="dxa"/>
          </w:tcPr>
          <w:p w14:paraId="594B27D3" w14:textId="77777777" w:rsidR="00176748" w:rsidRPr="00916FEF" w:rsidRDefault="00176748" w:rsidP="00A968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176748" w14:paraId="594B27D8" w14:textId="77777777" w:rsidTr="001830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594B27D5" w14:textId="77777777" w:rsidR="00176748" w:rsidRDefault="00176748" w:rsidP="00BC4D58">
            <w:r>
              <w:t>BIRLS SHARE Screen</w:t>
            </w:r>
          </w:p>
        </w:tc>
        <w:tc>
          <w:tcPr>
            <w:tcW w:w="1511" w:type="dxa"/>
          </w:tcPr>
          <w:p w14:paraId="594B27D6" w14:textId="77777777" w:rsidR="00176748" w:rsidRDefault="00176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97" w:type="dxa"/>
          </w:tcPr>
          <w:p w14:paraId="594B27D7" w14:textId="77777777" w:rsidR="00176748" w:rsidRPr="00916FEF" w:rsidRDefault="00176748" w:rsidP="00A96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176748" w14:paraId="594B27DC" w14:textId="77777777" w:rsidTr="001830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594B27D9" w14:textId="77777777" w:rsidR="00176748" w:rsidRDefault="00176748" w:rsidP="00BC4D58">
            <w:r>
              <w:t>Rating Decision</w:t>
            </w:r>
          </w:p>
        </w:tc>
        <w:tc>
          <w:tcPr>
            <w:tcW w:w="1511" w:type="dxa"/>
          </w:tcPr>
          <w:p w14:paraId="594B27DA" w14:textId="77777777" w:rsidR="00176748" w:rsidRDefault="00176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97" w:type="dxa"/>
          </w:tcPr>
          <w:p w14:paraId="594B27DB" w14:textId="4C189F82" w:rsidR="00176748" w:rsidRPr="00916FEF" w:rsidRDefault="00B37781" w:rsidP="00A968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Y, </w:t>
            </w:r>
            <w:r w:rsidR="00E64ABA">
              <w:rPr>
                <w:b/>
              </w:rPr>
              <w:t>20</w:t>
            </w:r>
            <w:r>
              <w:rPr>
                <w:b/>
              </w:rPr>
              <w:t>% R shoulder</w:t>
            </w:r>
          </w:p>
        </w:tc>
      </w:tr>
      <w:tr w:rsidR="00176748" w14:paraId="594B27E0" w14:textId="77777777" w:rsidTr="001830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594B27DD" w14:textId="77777777" w:rsidR="00176748" w:rsidRDefault="00176748">
            <w:r>
              <w:t>CAPRI Records</w:t>
            </w:r>
          </w:p>
        </w:tc>
        <w:tc>
          <w:tcPr>
            <w:tcW w:w="1511" w:type="dxa"/>
          </w:tcPr>
          <w:p w14:paraId="594B27DE" w14:textId="77777777" w:rsidR="00176748" w:rsidRDefault="00176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97" w:type="dxa"/>
          </w:tcPr>
          <w:p w14:paraId="594B27DF" w14:textId="17F57311" w:rsidR="00176748" w:rsidRPr="00916FEF" w:rsidRDefault="008A287F" w:rsidP="00A96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162E93" w14:paraId="594B27E4" w14:textId="77777777" w:rsidTr="001830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594B27E1" w14:textId="77777777" w:rsidR="00162E93" w:rsidRDefault="00162E93">
            <w:r>
              <w:t>ERB/ERRA</w:t>
            </w:r>
          </w:p>
        </w:tc>
        <w:tc>
          <w:tcPr>
            <w:tcW w:w="1511" w:type="dxa"/>
          </w:tcPr>
          <w:p w14:paraId="594B27E2" w14:textId="77777777" w:rsidR="00162E93" w:rsidRDefault="00162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97" w:type="dxa"/>
          </w:tcPr>
          <w:p w14:paraId="594B27E3" w14:textId="6027D19E" w:rsidR="00162E93" w:rsidRPr="00916FEF" w:rsidRDefault="00162E93" w:rsidP="00A968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162E93" w14:paraId="594B27E8" w14:textId="77777777" w:rsidTr="001830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594B27E5" w14:textId="77777777" w:rsidR="00162E93" w:rsidRDefault="00162E93">
            <w:r>
              <w:t>DBQ</w:t>
            </w:r>
          </w:p>
        </w:tc>
        <w:tc>
          <w:tcPr>
            <w:tcW w:w="1511" w:type="dxa"/>
          </w:tcPr>
          <w:p w14:paraId="594B27E6" w14:textId="77777777" w:rsidR="00162E93" w:rsidRDefault="00162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97" w:type="dxa"/>
          </w:tcPr>
          <w:p w14:paraId="594B27E7" w14:textId="77777777" w:rsidR="00162E93" w:rsidRPr="00916FEF" w:rsidRDefault="00162E93" w:rsidP="00A96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</w:tbl>
    <w:p w14:paraId="594B27E9" w14:textId="77777777" w:rsidR="00176748" w:rsidRDefault="00176748"/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2765"/>
        <w:gridCol w:w="6595"/>
      </w:tblGrid>
      <w:tr w:rsidR="005627D4" w14:paraId="594B27EC" w14:textId="77777777" w:rsidTr="005627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14:paraId="594B27EA" w14:textId="77777777" w:rsidR="005627D4" w:rsidRDefault="005627D4">
            <w:r>
              <w:br w:type="page"/>
              <w:t>Supporting Documents</w:t>
            </w:r>
          </w:p>
        </w:tc>
        <w:tc>
          <w:tcPr>
            <w:tcW w:w="6750" w:type="dxa"/>
          </w:tcPr>
          <w:p w14:paraId="594B27EB" w14:textId="77777777" w:rsidR="005627D4" w:rsidRDefault="005627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 Y/N</w:t>
            </w:r>
          </w:p>
        </w:tc>
      </w:tr>
      <w:tr w:rsidR="005627D4" w14:paraId="594B27EF" w14:textId="77777777" w:rsidTr="005627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14:paraId="594B27ED" w14:textId="77777777" w:rsidR="005627D4" w:rsidRDefault="005627D4">
            <w:r>
              <w:t>DD214</w:t>
            </w:r>
          </w:p>
        </w:tc>
        <w:tc>
          <w:tcPr>
            <w:tcW w:w="6750" w:type="dxa"/>
          </w:tcPr>
          <w:p w14:paraId="594B27EE" w14:textId="67AC222E" w:rsidR="005627D4" w:rsidRPr="005627D4" w:rsidRDefault="00B377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5627D4" w14:paraId="594B27F2" w14:textId="77777777" w:rsidTr="005627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14:paraId="594B27F0" w14:textId="77777777" w:rsidR="005627D4" w:rsidRDefault="005627D4">
            <w:r>
              <w:t>Private Medical Records</w:t>
            </w:r>
          </w:p>
        </w:tc>
        <w:tc>
          <w:tcPr>
            <w:tcW w:w="6750" w:type="dxa"/>
          </w:tcPr>
          <w:p w14:paraId="594B27F1" w14:textId="77777777" w:rsidR="005627D4" w:rsidRPr="005627D4" w:rsidRDefault="005627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5627D4" w14:paraId="594B27F5" w14:textId="77777777" w:rsidTr="005627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14:paraId="594B27F3" w14:textId="77777777" w:rsidR="005627D4" w:rsidRDefault="005627D4">
            <w:r>
              <w:t>SF88 Entrance Exam</w:t>
            </w:r>
          </w:p>
        </w:tc>
        <w:tc>
          <w:tcPr>
            <w:tcW w:w="6750" w:type="dxa"/>
          </w:tcPr>
          <w:p w14:paraId="594B27F4" w14:textId="77777777" w:rsidR="005627D4" w:rsidRPr="005627D4" w:rsidRDefault="005627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5627D4" w14:paraId="594B27F8" w14:textId="77777777" w:rsidTr="005627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14:paraId="594B27F6" w14:textId="77777777" w:rsidR="005627D4" w:rsidRDefault="005627D4">
            <w:r>
              <w:t>SF88 Separation Exam</w:t>
            </w:r>
          </w:p>
        </w:tc>
        <w:tc>
          <w:tcPr>
            <w:tcW w:w="6750" w:type="dxa"/>
          </w:tcPr>
          <w:p w14:paraId="594B27F7" w14:textId="77777777" w:rsidR="005627D4" w:rsidRPr="005627D4" w:rsidRDefault="005627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5627D4" w14:paraId="594B27FB" w14:textId="77777777" w:rsidTr="005627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14:paraId="594B27F9" w14:textId="77777777" w:rsidR="005627D4" w:rsidRDefault="005627D4">
            <w:r>
              <w:t>Service Treatment Records</w:t>
            </w:r>
          </w:p>
        </w:tc>
        <w:tc>
          <w:tcPr>
            <w:tcW w:w="6750" w:type="dxa"/>
          </w:tcPr>
          <w:p w14:paraId="594B27FA" w14:textId="70A1742B" w:rsidR="005627D4" w:rsidRPr="005627D4" w:rsidRDefault="00B377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Y, treatment and complaints of right shoulder, </w:t>
            </w:r>
            <w:r w:rsidR="00E64ABA">
              <w:rPr>
                <w:b/>
              </w:rPr>
              <w:t xml:space="preserve">No treatment or complaints </w:t>
            </w:r>
            <w:r w:rsidR="00E54FCF">
              <w:rPr>
                <w:b/>
              </w:rPr>
              <w:t xml:space="preserve">of </w:t>
            </w:r>
            <w:r w:rsidR="000F7AAF">
              <w:rPr>
                <w:b/>
              </w:rPr>
              <w:t>left wrist injury or arthritis</w:t>
            </w:r>
          </w:p>
        </w:tc>
      </w:tr>
      <w:tr w:rsidR="005627D4" w14:paraId="594B27FE" w14:textId="77777777" w:rsidTr="005627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14:paraId="594B27FC" w14:textId="77777777" w:rsidR="005627D4" w:rsidRDefault="005627D4">
            <w:r>
              <w:t>Personnel Records</w:t>
            </w:r>
          </w:p>
        </w:tc>
        <w:tc>
          <w:tcPr>
            <w:tcW w:w="6750" w:type="dxa"/>
          </w:tcPr>
          <w:p w14:paraId="594B27FD" w14:textId="77777777" w:rsidR="005627D4" w:rsidRPr="005627D4" w:rsidRDefault="005627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5627D4" w14:paraId="594B2801" w14:textId="77777777" w:rsidTr="005627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14:paraId="594B27FF" w14:textId="77777777" w:rsidR="005627D4" w:rsidRDefault="005627D4">
            <w:r>
              <w:t>DOMA first request letter</w:t>
            </w:r>
          </w:p>
        </w:tc>
        <w:tc>
          <w:tcPr>
            <w:tcW w:w="6750" w:type="dxa"/>
          </w:tcPr>
          <w:p w14:paraId="594B2800" w14:textId="77777777" w:rsidR="005627D4" w:rsidRPr="005627D4" w:rsidRDefault="005627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5627D4" w14:paraId="594B2804" w14:textId="77777777" w:rsidTr="005627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14:paraId="594B2802" w14:textId="77777777" w:rsidR="005627D4" w:rsidRDefault="005627D4">
            <w:r>
              <w:t>DOMA final letter</w:t>
            </w:r>
          </w:p>
        </w:tc>
        <w:tc>
          <w:tcPr>
            <w:tcW w:w="6750" w:type="dxa"/>
          </w:tcPr>
          <w:p w14:paraId="594B2803" w14:textId="77777777" w:rsidR="005627D4" w:rsidRPr="005627D4" w:rsidRDefault="005627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</w:tbl>
    <w:p w14:paraId="594B2805" w14:textId="77777777" w:rsidR="00F32ACA" w:rsidRDefault="00F32ACA"/>
    <w:p w14:paraId="594B2806" w14:textId="77777777" w:rsidR="00F32ACA" w:rsidRDefault="00F32ACA"/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9360"/>
      </w:tblGrid>
      <w:tr w:rsidR="00331FF9" w14:paraId="594B2808" w14:textId="77777777" w:rsidTr="00331F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14:paraId="594B2807" w14:textId="77777777" w:rsidR="00331FF9" w:rsidRDefault="00331FF9">
            <w:r>
              <w:lastRenderedPageBreak/>
              <w:t>Scenario Comments</w:t>
            </w:r>
          </w:p>
        </w:tc>
      </w:tr>
      <w:tr w:rsidR="00331FF9" w14:paraId="594B285F" w14:textId="77777777" w:rsidTr="00331F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tbl>
            <w:tblPr>
              <w:tblStyle w:val="LightShading-Accent1"/>
              <w:tblW w:w="0" w:type="auto"/>
              <w:tblLook w:val="04A0" w:firstRow="1" w:lastRow="0" w:firstColumn="1" w:lastColumn="0" w:noHBand="0" w:noVBand="1"/>
            </w:tblPr>
            <w:tblGrid>
              <w:gridCol w:w="9144"/>
            </w:tblGrid>
            <w:tr w:rsidR="003F2F90" w14:paraId="594B285B" w14:textId="77777777" w:rsidTr="004369B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576" w:type="dxa"/>
                </w:tcPr>
                <w:p w14:paraId="594B2809" w14:textId="77777777" w:rsidR="003F2F90" w:rsidRDefault="003F2F90" w:rsidP="004369B2"/>
                <w:p w14:paraId="594B280A" w14:textId="77777777" w:rsidR="003F2F90" w:rsidRPr="004A4B92" w:rsidRDefault="003F2F90" w:rsidP="004369B2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b w:val="0"/>
                    </w:rPr>
                  </w:pPr>
                  <w:r w:rsidRPr="004A4B92">
                    <w:rPr>
                      <w:b w:val="0"/>
                    </w:rPr>
                    <w:t>Upload all documents for this scenario to the VBMS eCase</w:t>
                  </w:r>
                </w:p>
                <w:p w14:paraId="594B280B" w14:textId="77777777" w:rsidR="003F2F90" w:rsidRPr="004A4B92" w:rsidRDefault="003F2F90" w:rsidP="004369B2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b w:val="0"/>
                    </w:rPr>
                  </w:pPr>
                  <w:r w:rsidRPr="004A4B92">
                    <w:rPr>
                      <w:b w:val="0"/>
                    </w:rPr>
                    <w:t xml:space="preserve">Properly Label and establish date of receipt </w:t>
                  </w:r>
                </w:p>
                <w:p w14:paraId="594B280C" w14:textId="77777777" w:rsidR="003F2F90" w:rsidRPr="004A4B92" w:rsidRDefault="003F2F90" w:rsidP="004369B2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b w:val="0"/>
                    </w:rPr>
                  </w:pPr>
                  <w:r w:rsidRPr="004A4B92">
                    <w:rPr>
                      <w:b w:val="0"/>
                    </w:rPr>
                    <w:t>Associating all documents to correct EP</w:t>
                  </w:r>
                </w:p>
                <w:p w14:paraId="594B280D" w14:textId="0F4E044E" w:rsidR="003F2F90" w:rsidRPr="00A923B8" w:rsidRDefault="003F2F90" w:rsidP="004369B2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b w:val="0"/>
                    </w:rPr>
                  </w:pPr>
                  <w:r w:rsidRPr="00A923B8">
                    <w:rPr>
                      <w:b w:val="0"/>
                    </w:rPr>
                    <w:t>Bookmark medical and dependency documents (</w:t>
                  </w:r>
                  <w:r w:rsidR="00816A62">
                    <w:rPr>
                      <w:b w:val="0"/>
                    </w:rPr>
                    <w:t>if appropriate</w:t>
                  </w:r>
                  <w:r w:rsidRPr="00A923B8">
                    <w:rPr>
                      <w:b w:val="0"/>
                    </w:rPr>
                    <w:t>)</w:t>
                  </w:r>
                </w:p>
                <w:p w14:paraId="594B280E" w14:textId="77777777" w:rsidR="003F2F90" w:rsidRPr="00A923B8" w:rsidRDefault="003F2F90" w:rsidP="004369B2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b w:val="0"/>
                    </w:rPr>
                  </w:pPr>
                  <w:r w:rsidRPr="00A923B8">
                    <w:rPr>
                      <w:b w:val="0"/>
                    </w:rPr>
                    <w:t xml:space="preserve">Update subject line </w:t>
                  </w:r>
                </w:p>
                <w:p w14:paraId="7F70B855" w14:textId="77777777" w:rsidR="00816A62" w:rsidRPr="00816A62" w:rsidRDefault="00816A62" w:rsidP="00816A62">
                  <w:pPr>
                    <w:ind w:left="1440"/>
                    <w:rPr>
                      <w:b w:val="0"/>
                    </w:rPr>
                  </w:pPr>
                  <w:r w:rsidRPr="00816A62">
                    <w:rPr>
                      <w:b w:val="0"/>
                    </w:rPr>
                    <w:t>Subject: VA Form 21-526EZ with additional documents</w:t>
                  </w:r>
                </w:p>
                <w:p w14:paraId="225C9C34" w14:textId="77777777" w:rsidR="00816A62" w:rsidRPr="00816A62" w:rsidRDefault="00816A62" w:rsidP="00816A62">
                  <w:pPr>
                    <w:ind w:left="1440"/>
                    <w:rPr>
                      <w:b w:val="0"/>
                      <w:bCs w:val="0"/>
                    </w:rPr>
                  </w:pPr>
                  <w:r w:rsidRPr="00816A62">
                    <w:rPr>
                      <w:b w:val="0"/>
                    </w:rPr>
                    <w:t>Category – Type: Applications – Original Claim: VA 21-526EZ, Fully Developed Claim (Compensation)</w:t>
                  </w:r>
                </w:p>
                <w:p w14:paraId="55E12C2A" w14:textId="77777777" w:rsidR="00816A62" w:rsidRPr="00816A62" w:rsidRDefault="00816A62" w:rsidP="00816A62">
                  <w:pPr>
                    <w:ind w:left="1440"/>
                    <w:rPr>
                      <w:b w:val="0"/>
                      <w:bCs w:val="0"/>
                    </w:rPr>
                  </w:pPr>
                  <w:r w:rsidRPr="00816A62">
                    <w:rPr>
                      <w:b w:val="0"/>
                    </w:rPr>
                    <w:t>Content Source: VBMS</w:t>
                  </w:r>
                </w:p>
                <w:p w14:paraId="3A6826B8" w14:textId="77777777" w:rsidR="00816A62" w:rsidRPr="00816A62" w:rsidRDefault="00816A62" w:rsidP="00816A62">
                  <w:pPr>
                    <w:ind w:left="1440"/>
                    <w:rPr>
                      <w:b w:val="0"/>
                      <w:bCs w:val="0"/>
                    </w:rPr>
                  </w:pPr>
                  <w:r w:rsidRPr="00816A62">
                    <w:rPr>
                      <w:b w:val="0"/>
                    </w:rPr>
                    <w:t>Date of Receipt – date of receipt on the 21-526EZ</w:t>
                  </w:r>
                </w:p>
                <w:p w14:paraId="594B2811" w14:textId="77777777" w:rsidR="003F2F90" w:rsidRPr="00A923B8" w:rsidRDefault="003F2F90" w:rsidP="004369B2">
                  <w:pPr>
                    <w:pStyle w:val="ListParagraph"/>
                    <w:ind w:left="1485"/>
                    <w:rPr>
                      <w:b w:val="0"/>
                    </w:rPr>
                  </w:pPr>
                </w:p>
                <w:p w14:paraId="594B2812" w14:textId="2E98474F" w:rsidR="003F2F90" w:rsidRDefault="003F2F90" w:rsidP="004369B2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b w:val="0"/>
                    </w:rPr>
                  </w:pPr>
                  <w:r w:rsidRPr="00A923B8">
                    <w:rPr>
                      <w:b w:val="0"/>
                    </w:rPr>
                    <w:t xml:space="preserve">CEST EP </w:t>
                  </w:r>
                  <w:r>
                    <w:rPr>
                      <w:b w:val="0"/>
                    </w:rPr>
                    <w:t>020N</w:t>
                  </w:r>
                  <w:r w:rsidR="00FC6636">
                    <w:rPr>
                      <w:b w:val="0"/>
                    </w:rPr>
                    <w:t>EW</w:t>
                  </w:r>
                  <w:r>
                    <w:rPr>
                      <w:b w:val="0"/>
                    </w:rPr>
                    <w:t xml:space="preserve"> – New</w:t>
                  </w:r>
                </w:p>
                <w:p w14:paraId="594B2813" w14:textId="77777777" w:rsidR="003F2F90" w:rsidRPr="00A923B8" w:rsidRDefault="003F2F90" w:rsidP="004369B2">
                  <w:pPr>
                    <w:pStyle w:val="ListParagraph"/>
                    <w:ind w:left="765"/>
                    <w:rPr>
                      <w:b w:val="0"/>
                    </w:rPr>
                  </w:pPr>
                  <w:r w:rsidRPr="00A923B8">
                    <w:rPr>
                      <w:b w:val="0"/>
                    </w:rPr>
                    <w:t>Input Contentions:</w:t>
                  </w:r>
                </w:p>
                <w:p w14:paraId="594B2814" w14:textId="77777777" w:rsidR="003F2F90" w:rsidRPr="00411594" w:rsidRDefault="003F2F90" w:rsidP="004369B2">
                  <w:pPr>
                    <w:pStyle w:val="ListParagraph"/>
                    <w:ind w:left="765"/>
                    <w:rPr>
                      <w:b w:val="0"/>
                      <w:bCs w:val="0"/>
                    </w:rPr>
                  </w:pPr>
                </w:p>
                <w:tbl>
                  <w:tblPr>
                    <w:tblStyle w:val="TableGrid"/>
                    <w:tblW w:w="0" w:type="auto"/>
                    <w:tblInd w:w="765" w:type="dxa"/>
                    <w:tblLook w:val="04A0" w:firstRow="1" w:lastRow="0" w:firstColumn="1" w:lastColumn="0" w:noHBand="0" w:noVBand="1"/>
                  </w:tblPr>
                  <w:tblGrid>
                    <w:gridCol w:w="4072"/>
                  </w:tblGrid>
                  <w:tr w:rsidR="008A287F" w14:paraId="594B2821" w14:textId="77777777" w:rsidTr="005052FA">
                    <w:tc>
                      <w:tcPr>
                        <w:tcW w:w="4072" w:type="dxa"/>
                      </w:tcPr>
                      <w:p w14:paraId="594B2815" w14:textId="10366A31" w:rsidR="008A287F" w:rsidRPr="00CC30E2" w:rsidRDefault="008A287F" w:rsidP="004369B2">
                        <w:pPr>
                          <w:rPr>
                            <w:color w:val="1F497D" w:themeColor="text2"/>
                          </w:rPr>
                        </w:pPr>
                        <w:r w:rsidRPr="00CC30E2">
                          <w:rPr>
                            <w:color w:val="1F497D" w:themeColor="text2"/>
                          </w:rPr>
                          <w:t>Contention:</w:t>
                        </w:r>
                        <w:r>
                          <w:rPr>
                            <w:color w:val="1F497D" w:themeColor="text2"/>
                          </w:rPr>
                          <w:t xml:space="preserve"> </w:t>
                        </w:r>
                        <w:r w:rsidR="000F7AAF">
                          <w:rPr>
                            <w:color w:val="1F497D" w:themeColor="text2"/>
                          </w:rPr>
                          <w:t>Left Wrist Arthritis</w:t>
                        </w:r>
                        <w:r w:rsidR="00306FE4">
                          <w:rPr>
                            <w:color w:val="1F497D" w:themeColor="text2"/>
                          </w:rPr>
                          <w:t xml:space="preserve"> with </w:t>
                        </w:r>
                        <w:r w:rsidR="00CE64F5">
                          <w:rPr>
                            <w:color w:val="1F497D" w:themeColor="text2"/>
                          </w:rPr>
                          <w:t>P</w:t>
                        </w:r>
                        <w:r w:rsidR="00306FE4">
                          <w:rPr>
                            <w:color w:val="1F497D" w:themeColor="text2"/>
                          </w:rPr>
                          <w:t xml:space="preserve">ain and </w:t>
                        </w:r>
                        <w:r w:rsidR="00CE64F5">
                          <w:rPr>
                            <w:color w:val="1F497D" w:themeColor="text2"/>
                          </w:rPr>
                          <w:t>S</w:t>
                        </w:r>
                        <w:r w:rsidR="00306FE4">
                          <w:rPr>
                            <w:color w:val="1F497D" w:themeColor="text2"/>
                          </w:rPr>
                          <w:t>tiffness</w:t>
                        </w:r>
                        <w:r w:rsidRPr="00CC30E2">
                          <w:rPr>
                            <w:color w:val="1F497D" w:themeColor="text2"/>
                          </w:rPr>
                          <w:t xml:space="preserve">                             </w:t>
                        </w:r>
                        <w:r w:rsidRPr="00CC30E2">
                          <w:rPr>
                            <w:color w:val="1F497D" w:themeColor="text2"/>
                          </w:rPr>
                          <w:tab/>
                          <w:t xml:space="preserve">                 </w:t>
                        </w:r>
                      </w:p>
                      <w:p w14:paraId="594B2816" w14:textId="2670A007" w:rsidR="008A287F" w:rsidRDefault="008A287F" w:rsidP="004369B2">
                        <w:pPr>
                          <w:rPr>
                            <w:color w:val="1F497D" w:themeColor="text2"/>
                          </w:rPr>
                        </w:pPr>
                        <w:r w:rsidRPr="00CC30E2">
                          <w:rPr>
                            <w:color w:val="1F497D" w:themeColor="text2"/>
                          </w:rPr>
                          <w:t>Classification:</w:t>
                        </w:r>
                        <w:r>
                          <w:rPr>
                            <w:color w:val="1F497D" w:themeColor="text2"/>
                          </w:rPr>
                          <w:t xml:space="preserve">  Musculoskeletal </w:t>
                        </w:r>
                        <w:r w:rsidR="00AB1E52">
                          <w:rPr>
                            <w:color w:val="1F497D" w:themeColor="text2"/>
                          </w:rPr>
                          <w:t>–</w:t>
                        </w:r>
                        <w:r>
                          <w:rPr>
                            <w:color w:val="1F497D" w:themeColor="text2"/>
                          </w:rPr>
                          <w:t xml:space="preserve"> </w:t>
                        </w:r>
                        <w:r w:rsidR="00FC1081">
                          <w:rPr>
                            <w:color w:val="1F497D" w:themeColor="text2"/>
                          </w:rPr>
                          <w:t>Wrist</w:t>
                        </w:r>
                        <w:r w:rsidR="00AB1E52">
                          <w:rPr>
                            <w:color w:val="1F497D" w:themeColor="text2"/>
                          </w:rPr>
                          <w:t xml:space="preserve"> </w:t>
                        </w:r>
                      </w:p>
                      <w:p w14:paraId="594B2817" w14:textId="77777777" w:rsidR="008A287F" w:rsidRPr="00CC30E2" w:rsidRDefault="008A287F" w:rsidP="004369B2">
                        <w:pPr>
                          <w:rPr>
                            <w:color w:val="1F497D" w:themeColor="text2"/>
                          </w:rPr>
                        </w:pPr>
                        <w:r w:rsidRPr="00CC30E2">
                          <w:rPr>
                            <w:color w:val="1F497D" w:themeColor="text2"/>
                          </w:rPr>
                          <w:t>Date of Contention: (DOC)</w:t>
                        </w:r>
                      </w:p>
                      <w:p w14:paraId="594B2818" w14:textId="77777777" w:rsidR="008A287F" w:rsidRPr="00CC30E2" w:rsidRDefault="008A287F" w:rsidP="004369B2">
                        <w:pPr>
                          <w:rPr>
                            <w:color w:val="1F497D" w:themeColor="text2"/>
                          </w:rPr>
                        </w:pPr>
                        <w:r w:rsidRPr="00CC30E2">
                          <w:rPr>
                            <w:color w:val="1F497D" w:themeColor="text2"/>
                          </w:rPr>
                          <w:t>Verified: Yes</w:t>
                        </w:r>
                        <w:r w:rsidRPr="00CC30E2">
                          <w:rPr>
                            <w:color w:val="1F497D" w:themeColor="text2"/>
                          </w:rPr>
                          <w:tab/>
                        </w:r>
                        <w:r w:rsidRPr="00CC30E2">
                          <w:rPr>
                            <w:color w:val="1F497D" w:themeColor="text2"/>
                          </w:rPr>
                          <w:tab/>
                        </w:r>
                        <w:r w:rsidRPr="00CC30E2">
                          <w:rPr>
                            <w:color w:val="1F497D" w:themeColor="text2"/>
                          </w:rPr>
                          <w:tab/>
                        </w:r>
                        <w:r w:rsidRPr="00CC30E2">
                          <w:rPr>
                            <w:color w:val="1F497D" w:themeColor="text2"/>
                          </w:rPr>
                          <w:tab/>
                          <w:t xml:space="preserve">              Type: </w:t>
                        </w:r>
                        <w:r>
                          <w:rPr>
                            <w:color w:val="1F497D" w:themeColor="text2"/>
                          </w:rPr>
                          <w:t>New</w:t>
                        </w:r>
                      </w:p>
                      <w:p w14:paraId="594B2819" w14:textId="77777777" w:rsidR="008A287F" w:rsidRPr="00CC30E2" w:rsidRDefault="008A287F" w:rsidP="004369B2">
                        <w:pPr>
                          <w:rPr>
                            <w:color w:val="1F497D" w:themeColor="text2"/>
                          </w:rPr>
                        </w:pPr>
                        <w:r w:rsidRPr="00CC30E2">
                          <w:rPr>
                            <w:color w:val="1F497D" w:themeColor="text2"/>
                          </w:rPr>
                          <w:t xml:space="preserve">Medical: </w:t>
                        </w:r>
                        <w:r w:rsidRPr="003F2F90">
                          <w:rPr>
                            <w:color w:val="1F497D" w:themeColor="text2"/>
                          </w:rPr>
                          <w:t>Yes</w:t>
                        </w:r>
                      </w:p>
                      <w:p w14:paraId="594B281A" w14:textId="61990FD4" w:rsidR="008A287F" w:rsidRPr="00CC30E2" w:rsidRDefault="008A287F" w:rsidP="002A006E">
                        <w:pPr>
                          <w:rPr>
                            <w:color w:val="1F497D" w:themeColor="text2"/>
                          </w:rPr>
                        </w:pPr>
                        <w:r w:rsidRPr="00CC30E2">
                          <w:rPr>
                            <w:color w:val="1F497D" w:themeColor="text2"/>
                          </w:rPr>
                          <w:t>Special Issue:</w:t>
                        </w:r>
                        <w:r w:rsidR="00AB1E52">
                          <w:rPr>
                            <w:color w:val="1F497D" w:themeColor="text2"/>
                          </w:rPr>
                          <w:t xml:space="preserve"> </w:t>
                        </w:r>
                        <w:r>
                          <w:rPr>
                            <w:color w:val="1F497D" w:themeColor="text2"/>
                          </w:rPr>
                          <w:t>Local Mentor Review</w:t>
                        </w:r>
                        <w:r w:rsidR="009B0899">
                          <w:rPr>
                            <w:color w:val="1F497D" w:themeColor="text2"/>
                          </w:rPr>
                          <w:t>, Fully Developed Claim</w:t>
                        </w:r>
                      </w:p>
                    </w:tc>
                  </w:tr>
                </w:tbl>
                <w:p w14:paraId="038130F6" w14:textId="77777777" w:rsidR="008A287F" w:rsidRPr="008A287F" w:rsidRDefault="008A287F" w:rsidP="005052FA">
                  <w:pPr>
                    <w:pStyle w:val="ListParagraph"/>
                    <w:ind w:left="765"/>
                  </w:pPr>
                </w:p>
                <w:p w14:paraId="52F0FBBC" w14:textId="2A2C42ED" w:rsidR="000C4918" w:rsidRPr="00CE64F5" w:rsidRDefault="008D4295" w:rsidP="002A006E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b w:val="0"/>
                    </w:rPr>
                  </w:pPr>
                  <w:r>
                    <w:rPr>
                      <w:b w:val="0"/>
                    </w:rPr>
                    <w:t xml:space="preserve">Discuss with the trainees that no notification, service treatment record, personnel record, Federal and/or non-Federal record development is required.  </w:t>
                  </w:r>
                </w:p>
                <w:p w14:paraId="5FB176BE" w14:textId="77E591BA" w:rsidR="000C4918" w:rsidRPr="00CE64F5" w:rsidRDefault="000C4918" w:rsidP="000C4918">
                  <w:pPr>
                    <w:pStyle w:val="ListParagraph"/>
                    <w:numPr>
                      <w:ilvl w:val="1"/>
                      <w:numId w:val="1"/>
                    </w:numPr>
                    <w:rPr>
                      <w:b w:val="0"/>
                    </w:rPr>
                  </w:pPr>
                  <w:r>
                    <w:rPr>
                      <w:b w:val="0"/>
                    </w:rPr>
                    <w:t xml:space="preserve">Notification: </w:t>
                  </w:r>
                  <w:r w:rsidR="008D4295">
                    <w:rPr>
                      <w:b w:val="0"/>
                    </w:rPr>
                    <w:t xml:space="preserve">The VA Form 21-526EZ satisfies notification requirements.  </w:t>
                  </w:r>
                </w:p>
                <w:p w14:paraId="50C13E0E" w14:textId="6E218CDB" w:rsidR="000C4918" w:rsidRPr="00CE64F5" w:rsidRDefault="000C4918" w:rsidP="000C4918">
                  <w:pPr>
                    <w:pStyle w:val="ListParagraph"/>
                    <w:numPr>
                      <w:ilvl w:val="1"/>
                      <w:numId w:val="1"/>
                    </w:numPr>
                    <w:rPr>
                      <w:b w:val="0"/>
                    </w:rPr>
                  </w:pPr>
                  <w:r>
                    <w:rPr>
                      <w:b w:val="0"/>
                    </w:rPr>
                    <w:t xml:space="preserve">STRS/OMPF: </w:t>
                  </w:r>
                  <w:r w:rsidR="008D4295">
                    <w:rPr>
                      <w:b w:val="0"/>
                    </w:rPr>
                    <w:t>All STRs are of record.</w:t>
                  </w:r>
                  <w:r>
                    <w:rPr>
                      <w:b w:val="0"/>
                    </w:rPr>
                    <w:t xml:space="preserve">  Personnel records development is not required.  </w:t>
                  </w:r>
                </w:p>
                <w:p w14:paraId="7ED5AD90" w14:textId="209D197C" w:rsidR="000C4918" w:rsidRPr="00CE64F5" w:rsidRDefault="000C4918" w:rsidP="000C4918">
                  <w:pPr>
                    <w:pStyle w:val="ListParagraph"/>
                    <w:numPr>
                      <w:ilvl w:val="1"/>
                      <w:numId w:val="1"/>
                    </w:numPr>
                    <w:rPr>
                      <w:b w:val="0"/>
                    </w:rPr>
                  </w:pPr>
                  <w:r>
                    <w:rPr>
                      <w:b w:val="0"/>
                    </w:rPr>
                    <w:t xml:space="preserve">Federal/Non-Federal Records: The Veteran does not indicate the existence of any relevant Federal or Non-Federal records.  A CAPRI Enterprise search does not indicate any relevant treatment.  </w:t>
                  </w:r>
                  <w:r w:rsidR="00306FE4">
                    <w:rPr>
                      <w:b w:val="0"/>
                    </w:rPr>
                    <w:t>No development is required.</w:t>
                  </w:r>
                </w:p>
                <w:p w14:paraId="4FC32919" w14:textId="0F9897F4" w:rsidR="000C4918" w:rsidRPr="00CE64F5" w:rsidRDefault="000C4918" w:rsidP="000C4918">
                  <w:pPr>
                    <w:pStyle w:val="ListParagraph"/>
                    <w:numPr>
                      <w:ilvl w:val="1"/>
                      <w:numId w:val="1"/>
                    </w:numPr>
                    <w:rPr>
                      <w:b w:val="0"/>
                    </w:rPr>
                  </w:pPr>
                  <w:r>
                    <w:rPr>
                      <w:b w:val="0"/>
                    </w:rPr>
                    <w:t>Exams and Medical Opinions</w:t>
                  </w:r>
                  <w:r w:rsidR="00C57F21">
                    <w:rPr>
                      <w:b w:val="0"/>
                    </w:rPr>
                    <w:t xml:space="preserve"> are not warranted on a direct and presumptive basis:</w:t>
                  </w:r>
                </w:p>
                <w:p w14:paraId="5A9AA984" w14:textId="77777777" w:rsidR="00306FE4" w:rsidRPr="00CE64F5" w:rsidRDefault="000C4918" w:rsidP="000C4918">
                  <w:pPr>
                    <w:pStyle w:val="ListParagraph"/>
                    <w:numPr>
                      <w:ilvl w:val="2"/>
                      <w:numId w:val="1"/>
                    </w:numPr>
                    <w:rPr>
                      <w:b w:val="0"/>
                    </w:rPr>
                  </w:pPr>
                  <w:r>
                    <w:rPr>
                      <w:b w:val="0"/>
                    </w:rPr>
                    <w:t xml:space="preserve">Direct basis: </w:t>
                  </w:r>
                </w:p>
                <w:p w14:paraId="3ACB6121" w14:textId="00B16B16" w:rsidR="00306FE4" w:rsidRPr="00CE64F5" w:rsidRDefault="00306FE4" w:rsidP="00306FE4">
                  <w:pPr>
                    <w:pStyle w:val="ListParagraph"/>
                    <w:numPr>
                      <w:ilvl w:val="3"/>
                      <w:numId w:val="1"/>
                    </w:numPr>
                    <w:rPr>
                      <w:b w:val="0"/>
                    </w:rPr>
                  </w:pPr>
                  <w:r>
                    <w:rPr>
                      <w:b w:val="0"/>
                    </w:rPr>
                    <w:t>Element 1</w:t>
                  </w:r>
                  <w:r w:rsidR="000C4918">
                    <w:rPr>
                      <w:b w:val="0"/>
                    </w:rPr>
                    <w:t xml:space="preserve"> </w:t>
                  </w:r>
                  <w:r>
                    <w:rPr>
                      <w:b w:val="0"/>
                    </w:rPr>
                    <w:t xml:space="preserve">is met – </w:t>
                  </w:r>
                  <w:r w:rsidR="00C57F21">
                    <w:rPr>
                      <w:b w:val="0"/>
                    </w:rPr>
                    <w:t>While there is no</w:t>
                  </w:r>
                  <w:r>
                    <w:rPr>
                      <w:b w:val="0"/>
                    </w:rPr>
                    <w:t xml:space="preserve"> </w:t>
                  </w:r>
                  <w:r w:rsidR="00C57F21">
                    <w:rPr>
                      <w:b w:val="0"/>
                    </w:rPr>
                    <w:t xml:space="preserve">medical </w:t>
                  </w:r>
                  <w:r>
                    <w:rPr>
                      <w:b w:val="0"/>
                    </w:rPr>
                    <w:t>evidence to support a diagnosis of arthritis</w:t>
                  </w:r>
                  <w:r w:rsidR="00C57F21">
                    <w:rPr>
                      <w:b w:val="0"/>
                    </w:rPr>
                    <w:t xml:space="preserve">, it is </w:t>
                  </w:r>
                  <w:r>
                    <w:rPr>
                      <w:b w:val="0"/>
                    </w:rPr>
                    <w:t xml:space="preserve">met by the competent lay evidence (statement of the pain and swelling symptoms).  </w:t>
                  </w:r>
                </w:p>
                <w:p w14:paraId="45C63123" w14:textId="198BF2CE" w:rsidR="000C4918" w:rsidRPr="00CE64F5" w:rsidRDefault="00306FE4" w:rsidP="00306FE4">
                  <w:pPr>
                    <w:pStyle w:val="ListParagraph"/>
                    <w:numPr>
                      <w:ilvl w:val="3"/>
                      <w:numId w:val="1"/>
                    </w:numPr>
                    <w:rPr>
                      <w:b w:val="0"/>
                    </w:rPr>
                  </w:pPr>
                  <w:r>
                    <w:rPr>
                      <w:b w:val="0"/>
                    </w:rPr>
                    <w:t xml:space="preserve">Element 2 is not met – A </w:t>
                  </w:r>
                  <w:r w:rsidR="000C4918">
                    <w:rPr>
                      <w:b w:val="0"/>
                    </w:rPr>
                    <w:t>review of the STRs do not indicate any event, injury, or disease related to the currently claimed left wrist arthritis.</w:t>
                  </w:r>
                  <w:r w:rsidR="004D3C2C">
                    <w:rPr>
                      <w:b w:val="0"/>
                    </w:rPr>
                    <w:t xml:space="preserve">  There is also no credible lay statement of record that of this disability occurring from an in-service event, injury or disease that is consistent with the circumstances of their service.</w:t>
                  </w:r>
                </w:p>
                <w:p w14:paraId="2ACB63AF" w14:textId="26EF1EEE" w:rsidR="00306FE4" w:rsidRPr="00CE64F5" w:rsidRDefault="00306FE4" w:rsidP="00CE64F5">
                  <w:pPr>
                    <w:pStyle w:val="ListParagraph"/>
                    <w:numPr>
                      <w:ilvl w:val="3"/>
                      <w:numId w:val="1"/>
                    </w:numPr>
                    <w:rPr>
                      <w:b w:val="0"/>
                    </w:rPr>
                  </w:pPr>
                  <w:r>
                    <w:rPr>
                      <w:b w:val="0"/>
                    </w:rPr>
                    <w:t>Element 3 is not met</w:t>
                  </w:r>
                  <w:r w:rsidR="004D3C2C">
                    <w:rPr>
                      <w:b w:val="0"/>
                    </w:rPr>
                    <w:t xml:space="preserve"> – A review of all documents do not show a statement or medical records supporting an indication of association.</w:t>
                  </w:r>
                </w:p>
                <w:p w14:paraId="64231445" w14:textId="66D298C9" w:rsidR="008D4295" w:rsidRPr="00CE64F5" w:rsidRDefault="000C4918" w:rsidP="000C4918">
                  <w:pPr>
                    <w:pStyle w:val="ListParagraph"/>
                    <w:numPr>
                      <w:ilvl w:val="2"/>
                      <w:numId w:val="1"/>
                    </w:numPr>
                    <w:rPr>
                      <w:b w:val="0"/>
                    </w:rPr>
                  </w:pPr>
                  <w:r>
                    <w:rPr>
                      <w:b w:val="0"/>
                    </w:rPr>
                    <w:t>Presumptive basis: Discuss that arthritis is listed as a chronic presumptive condition under 38 CFR 3.309(a)</w:t>
                  </w:r>
                  <w:r w:rsidR="004D3C2C">
                    <w:rPr>
                      <w:b w:val="0"/>
                    </w:rPr>
                    <w:t xml:space="preserve"> and should be considered for examination if there is evidence showing arthritis manifested to a degree of 10 percent or more within one year from </w:t>
                  </w:r>
                  <w:r w:rsidR="004D3C2C">
                    <w:rPr>
                      <w:b w:val="0"/>
                    </w:rPr>
                    <w:lastRenderedPageBreak/>
                    <w:t xml:space="preserve">the date of separation (38 CFR 3.307(a)(3)).  </w:t>
                  </w:r>
                  <w:proofErr w:type="gramStart"/>
                  <w:r w:rsidR="004D3C2C">
                    <w:rPr>
                      <w:b w:val="0"/>
                    </w:rPr>
                    <w:t xml:space="preserve">See </w:t>
                  </w:r>
                  <w:r w:rsidR="006F1706">
                    <w:rPr>
                      <w:b w:val="0"/>
                    </w:rPr>
                    <w:t xml:space="preserve"> M</w:t>
                  </w:r>
                  <w:proofErr w:type="gramEnd"/>
                  <w:r w:rsidR="006F1706">
                    <w:rPr>
                      <w:b w:val="0"/>
                    </w:rPr>
                    <w:t>21-1 IV.i.1.B.1.f -Presumptive SC Claims</w:t>
                  </w:r>
                  <w:r w:rsidR="004D3C2C">
                    <w:rPr>
                      <w:b w:val="0"/>
                    </w:rPr>
                    <w:t>.</w:t>
                  </w:r>
                </w:p>
                <w:p w14:paraId="4F3E6112" w14:textId="1073A763" w:rsidR="008D4295" w:rsidRPr="00CE64F5" w:rsidRDefault="009865DE" w:rsidP="009865DE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b w:val="0"/>
                    </w:rPr>
                  </w:pPr>
                  <w:r>
                    <w:rPr>
                      <w:b w:val="0"/>
                    </w:rPr>
                    <w:t>Trainee will need to follow the steps to change the claim status to Ready for Decision, update the claim-level suspense reason and date.</w:t>
                  </w:r>
                </w:p>
                <w:p w14:paraId="57CAB2F3" w14:textId="73E8025E" w:rsidR="009865DE" w:rsidRPr="00CE64F5" w:rsidRDefault="00A6298A" w:rsidP="009865DE">
                  <w:pPr>
                    <w:pStyle w:val="ListParagraph"/>
                    <w:numPr>
                      <w:ilvl w:val="1"/>
                      <w:numId w:val="1"/>
                    </w:numPr>
                    <w:rPr>
                      <w:b w:val="0"/>
                    </w:rPr>
                  </w:pPr>
                  <w:r>
                    <w:rPr>
                      <w:b w:val="0"/>
                    </w:rPr>
                    <w:t>Assign the claim to themselves through “Go to Work Item” and “</w:t>
                  </w:r>
                  <w:r w:rsidR="009865DE">
                    <w:rPr>
                      <w:b w:val="0"/>
                    </w:rPr>
                    <w:t xml:space="preserve">Assign </w:t>
                  </w:r>
                  <w:r>
                    <w:rPr>
                      <w:b w:val="0"/>
                    </w:rPr>
                    <w:t>to me”</w:t>
                  </w:r>
                  <w:r w:rsidR="00325A47">
                    <w:rPr>
                      <w:b w:val="0"/>
                    </w:rPr>
                    <w:t xml:space="preserve"> </w:t>
                  </w:r>
                </w:p>
                <w:p w14:paraId="26AFBC1F" w14:textId="6C35E05E" w:rsidR="00A6298A" w:rsidRPr="00CE64F5" w:rsidRDefault="00A6298A" w:rsidP="009865DE">
                  <w:pPr>
                    <w:pStyle w:val="ListParagraph"/>
                    <w:numPr>
                      <w:ilvl w:val="1"/>
                      <w:numId w:val="1"/>
                    </w:numPr>
                    <w:rPr>
                      <w:b w:val="0"/>
                    </w:rPr>
                  </w:pPr>
                  <w:r>
                    <w:rPr>
                      <w:b w:val="0"/>
                    </w:rPr>
                    <w:t xml:space="preserve">Remove the Local Mentor Review special issue to avoid </w:t>
                  </w:r>
                  <w:r w:rsidR="00CE64F5">
                    <w:rPr>
                      <w:b w:val="0"/>
                    </w:rPr>
                    <w:t>National Work Queue routing issues.</w:t>
                  </w:r>
                </w:p>
                <w:p w14:paraId="69ED5ED2" w14:textId="6E3D750F" w:rsidR="00CE64F5" w:rsidRPr="00CE64F5" w:rsidRDefault="00CE64F5" w:rsidP="009865DE">
                  <w:pPr>
                    <w:pStyle w:val="ListParagraph"/>
                    <w:numPr>
                      <w:ilvl w:val="1"/>
                      <w:numId w:val="1"/>
                    </w:numPr>
                    <w:rPr>
                      <w:b w:val="0"/>
                    </w:rPr>
                  </w:pPr>
                  <w:r>
                    <w:rPr>
                      <w:b w:val="0"/>
                    </w:rPr>
                    <w:t>Select the “Complete” button (Complete Work Item)</w:t>
                  </w:r>
                </w:p>
                <w:p w14:paraId="46C0BC75" w14:textId="74463C2C" w:rsidR="00CE64F5" w:rsidRPr="00CE64F5" w:rsidRDefault="00CE64F5" w:rsidP="00CE64F5">
                  <w:pPr>
                    <w:pStyle w:val="ListParagraph"/>
                    <w:numPr>
                      <w:ilvl w:val="2"/>
                      <w:numId w:val="1"/>
                    </w:numPr>
                    <w:rPr>
                      <w:b w:val="0"/>
                    </w:rPr>
                  </w:pPr>
                  <w:r>
                    <w:rPr>
                      <w:b w:val="0"/>
                    </w:rPr>
                    <w:t xml:space="preserve">Select </w:t>
                  </w:r>
                  <w:r w:rsidR="00B80672">
                    <w:rPr>
                      <w:b w:val="0"/>
                    </w:rPr>
                    <w:t xml:space="preserve">the </w:t>
                  </w:r>
                  <w:r>
                    <w:rPr>
                      <w:b w:val="0"/>
                    </w:rPr>
                    <w:t xml:space="preserve">Claim </w:t>
                  </w:r>
                  <w:r w:rsidR="00B80672">
                    <w:rPr>
                      <w:b w:val="0"/>
                    </w:rPr>
                    <w:t>S</w:t>
                  </w:r>
                  <w:r>
                    <w:rPr>
                      <w:b w:val="0"/>
                    </w:rPr>
                    <w:t>tate of “</w:t>
                  </w:r>
                  <w:proofErr w:type="spellStart"/>
                  <w:r>
                    <w:rPr>
                      <w:b w:val="0"/>
                    </w:rPr>
                    <w:t>Ready_For_Decision</w:t>
                  </w:r>
                  <w:proofErr w:type="spellEnd"/>
                  <w:r>
                    <w:rPr>
                      <w:b w:val="0"/>
                    </w:rPr>
                    <w:t>”</w:t>
                  </w:r>
                </w:p>
                <w:p w14:paraId="65A6B3FC" w14:textId="557E3A05" w:rsidR="00CE64F5" w:rsidRPr="00CE64F5" w:rsidRDefault="00CE64F5" w:rsidP="00CE64F5">
                  <w:pPr>
                    <w:pStyle w:val="ListParagraph"/>
                    <w:numPr>
                      <w:ilvl w:val="2"/>
                      <w:numId w:val="1"/>
                    </w:numPr>
                    <w:rPr>
                      <w:b w:val="0"/>
                    </w:rPr>
                  </w:pPr>
                  <w:r>
                    <w:rPr>
                      <w:b w:val="0"/>
                    </w:rPr>
                    <w:t>Enter the Permanent Note: Exam review complete</w:t>
                  </w:r>
                  <w:r w:rsidR="00B80672">
                    <w:rPr>
                      <w:b w:val="0"/>
                    </w:rPr>
                    <w:t xml:space="preserve"> for all issues</w:t>
                  </w:r>
                  <w:r>
                    <w:rPr>
                      <w:b w:val="0"/>
                    </w:rPr>
                    <w:t>.</w:t>
                  </w:r>
                  <w:r w:rsidR="00B80672">
                    <w:rPr>
                      <w:b w:val="0"/>
                    </w:rPr>
                    <w:t xml:space="preserve">  Exam not </w:t>
                  </w:r>
                  <w:r w:rsidR="00581A5C">
                    <w:rPr>
                      <w:b w:val="0"/>
                    </w:rPr>
                    <w:t xml:space="preserve">warranted </w:t>
                  </w:r>
                  <w:r w:rsidR="00B80672">
                    <w:rPr>
                      <w:b w:val="0"/>
                    </w:rPr>
                    <w:t xml:space="preserve">for left wrist arthritis - STRs negative and no nexus.  Current symptoms of pain and stiffness only.  No evidence of arthritis manifesting within one year of separation for an exam on a presumptive basis.  CAPRI enterprise search </w:t>
                  </w:r>
                  <w:r w:rsidR="0098398F">
                    <w:rPr>
                      <w:b w:val="0"/>
                    </w:rPr>
                    <w:t>negative of</w:t>
                  </w:r>
                  <w:r w:rsidR="00B80672">
                    <w:rPr>
                      <w:b w:val="0"/>
                    </w:rPr>
                    <w:t xml:space="preserve"> VAMC treatment.  Claim is ready for decision.</w:t>
                  </w:r>
                </w:p>
                <w:p w14:paraId="59EB2127" w14:textId="77777777" w:rsidR="008A287F" w:rsidRPr="008A287F" w:rsidRDefault="008A287F" w:rsidP="005052FA"/>
                <w:p w14:paraId="594B2837" w14:textId="77777777" w:rsidR="003F2F90" w:rsidRDefault="003F2F90" w:rsidP="004369B2">
                  <w:r>
                    <w:t>References:</w:t>
                  </w:r>
                </w:p>
                <w:p w14:paraId="594B2838" w14:textId="77777777" w:rsidR="003F2F90" w:rsidRDefault="003F2F90" w:rsidP="004369B2"/>
                <w:tbl>
                  <w:tblPr>
                    <w:tblStyle w:val="TableGrid"/>
                    <w:tblW w:w="8978" w:type="dxa"/>
                    <w:tblLook w:val="04A0" w:firstRow="1" w:lastRow="0" w:firstColumn="1" w:lastColumn="0" w:noHBand="0" w:noVBand="1"/>
                  </w:tblPr>
                  <w:tblGrid>
                    <w:gridCol w:w="984"/>
                    <w:gridCol w:w="2639"/>
                    <w:gridCol w:w="5355"/>
                  </w:tblGrid>
                  <w:tr w:rsidR="003F2F90" w14:paraId="594B283C" w14:textId="77777777" w:rsidTr="004A3EC1">
                    <w:trPr>
                      <w:trHeight w:val="283"/>
                    </w:trPr>
                    <w:tc>
                      <w:tcPr>
                        <w:tcW w:w="936" w:type="dxa"/>
                        <w:vAlign w:val="center"/>
                      </w:tcPr>
                      <w:p w14:paraId="594B2839" w14:textId="77777777" w:rsidR="003F2F90" w:rsidRPr="001574E6" w:rsidRDefault="003F2F90" w:rsidP="004369B2">
                        <w:pPr>
                          <w:jc w:val="center"/>
                          <w:rPr>
                            <w:color w:val="365F91" w:themeColor="accent1" w:themeShade="BF"/>
                          </w:rPr>
                        </w:pPr>
                        <w:r w:rsidRPr="001574E6">
                          <w:rPr>
                            <w:color w:val="365F91" w:themeColor="accent1" w:themeShade="BF"/>
                          </w:rPr>
                          <w:t>Scenario</w:t>
                        </w:r>
                      </w:p>
                    </w:tc>
                    <w:tc>
                      <w:tcPr>
                        <w:tcW w:w="2652" w:type="dxa"/>
                      </w:tcPr>
                      <w:p w14:paraId="594B283A" w14:textId="77777777" w:rsidR="003F2F90" w:rsidRPr="001574E6" w:rsidRDefault="003F2F90" w:rsidP="004369B2">
                        <w:pPr>
                          <w:rPr>
                            <w:color w:val="365F91" w:themeColor="accent1" w:themeShade="BF"/>
                          </w:rPr>
                        </w:pPr>
                        <w:r w:rsidRPr="001574E6">
                          <w:rPr>
                            <w:color w:val="365F91" w:themeColor="accent1" w:themeShade="BF"/>
                          </w:rPr>
                          <w:t>Reference</w:t>
                        </w:r>
                      </w:p>
                    </w:tc>
                    <w:tc>
                      <w:tcPr>
                        <w:tcW w:w="5390" w:type="dxa"/>
                      </w:tcPr>
                      <w:p w14:paraId="594B283B" w14:textId="77777777" w:rsidR="003F2F90" w:rsidRPr="001574E6" w:rsidRDefault="003F2F90" w:rsidP="004369B2">
                        <w:pPr>
                          <w:rPr>
                            <w:color w:val="365F91" w:themeColor="accent1" w:themeShade="BF"/>
                          </w:rPr>
                        </w:pPr>
                        <w:r w:rsidRPr="001574E6">
                          <w:rPr>
                            <w:color w:val="365F91" w:themeColor="accent1" w:themeShade="BF"/>
                          </w:rPr>
                          <w:t>Title</w:t>
                        </w:r>
                      </w:p>
                    </w:tc>
                  </w:tr>
                  <w:tr w:rsidR="00FC6636" w14:paraId="594B2840" w14:textId="77777777" w:rsidTr="004A3EC1">
                    <w:trPr>
                      <w:trHeight w:val="268"/>
                    </w:trPr>
                    <w:tc>
                      <w:tcPr>
                        <w:tcW w:w="936" w:type="dxa"/>
                        <w:vAlign w:val="center"/>
                      </w:tcPr>
                      <w:p w14:paraId="594B283D" w14:textId="77777777" w:rsidR="00FC6636" w:rsidRPr="001574E6" w:rsidRDefault="00FC6636" w:rsidP="00FC6636">
                        <w:pPr>
                          <w:jc w:val="center"/>
                          <w:rPr>
                            <w:color w:val="365F91" w:themeColor="accent1" w:themeShade="BF"/>
                          </w:rPr>
                        </w:pPr>
                        <w:r>
                          <w:rPr>
                            <w:color w:val="365F91" w:themeColor="accent1" w:themeShade="BF"/>
                          </w:rPr>
                          <w:t>2-5</w:t>
                        </w:r>
                      </w:p>
                    </w:tc>
                    <w:tc>
                      <w:tcPr>
                        <w:tcW w:w="2652" w:type="dxa"/>
                      </w:tcPr>
                      <w:p w14:paraId="594B283E" w14:textId="0776D0E7" w:rsidR="00FC6636" w:rsidRPr="001574E6" w:rsidRDefault="00AB7B09" w:rsidP="00FC6636">
                        <w:pPr>
                          <w:rPr>
                            <w:color w:val="365F91" w:themeColor="accent1" w:themeShade="BF"/>
                          </w:rPr>
                        </w:pPr>
                        <w:r>
                          <w:rPr>
                            <w:color w:val="365F91" w:themeColor="accent1" w:themeShade="BF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5390" w:type="dxa"/>
                      </w:tcPr>
                      <w:p w14:paraId="594B283F" w14:textId="7438DDCB" w:rsidR="00FC6636" w:rsidRPr="001574E6" w:rsidRDefault="006B4F4F" w:rsidP="00FC6636">
                        <w:pPr>
                          <w:rPr>
                            <w:color w:val="365F91" w:themeColor="accent1" w:themeShade="BF"/>
                          </w:rPr>
                        </w:pPr>
                        <w:r>
                          <w:rPr>
                            <w:color w:val="365F91" w:themeColor="accent1" w:themeShade="BF"/>
                          </w:rPr>
                          <w:t xml:space="preserve"> Folder</w:t>
                        </w:r>
                        <w:r w:rsidR="00FC6636" w:rsidRPr="00682300">
                          <w:rPr>
                            <w:color w:val="365F91" w:themeColor="accent1" w:themeShade="BF"/>
                          </w:rPr>
                          <w:t xml:space="preserve"> Maintenance</w:t>
                        </w:r>
                      </w:p>
                    </w:tc>
                  </w:tr>
                  <w:tr w:rsidR="003F2F90" w14:paraId="594B2851" w14:textId="77777777" w:rsidTr="004A3EC1">
                    <w:trPr>
                      <w:trHeight w:val="1687"/>
                    </w:trPr>
                    <w:tc>
                      <w:tcPr>
                        <w:tcW w:w="936" w:type="dxa"/>
                        <w:vAlign w:val="center"/>
                      </w:tcPr>
                      <w:p w14:paraId="594B2841" w14:textId="7C66108B" w:rsidR="003F2F90" w:rsidRPr="00285787" w:rsidRDefault="003F2F90" w:rsidP="004369B2">
                        <w:pPr>
                          <w:jc w:val="center"/>
                          <w:rPr>
                            <w:color w:val="365F91" w:themeColor="accent1" w:themeShade="BF"/>
                          </w:rPr>
                        </w:pPr>
                        <w:r w:rsidRPr="00285787">
                          <w:rPr>
                            <w:color w:val="365F91" w:themeColor="accent1" w:themeShade="BF"/>
                          </w:rPr>
                          <w:t>6</w:t>
                        </w:r>
                      </w:p>
                    </w:tc>
                    <w:tc>
                      <w:tcPr>
                        <w:tcW w:w="2652" w:type="dxa"/>
                      </w:tcPr>
                      <w:p w14:paraId="594B2842" w14:textId="0B0C3B94" w:rsidR="003F2F90" w:rsidRPr="003865AE" w:rsidRDefault="006B4F4F" w:rsidP="004369B2">
                        <w:pPr>
                          <w:rPr>
                            <w:rFonts w:cstheme="minorHAnsi"/>
                            <w:color w:val="17365D" w:themeColor="text2" w:themeShade="BF"/>
                          </w:rPr>
                        </w:pPr>
                        <w:r w:rsidRPr="003865AE">
                          <w:rPr>
                            <w:rFonts w:cstheme="minorHAnsi"/>
                            <w:color w:val="17365D" w:themeColor="text2" w:themeShade="BF"/>
                          </w:rPr>
                          <w:t xml:space="preserve"> M21-1 II.iii.</w:t>
                        </w:r>
                        <w:proofErr w:type="gramStart"/>
                        <w:r w:rsidRPr="003865AE">
                          <w:rPr>
                            <w:rFonts w:cstheme="minorHAnsi"/>
                            <w:color w:val="17365D" w:themeColor="text2" w:themeShade="BF"/>
                          </w:rPr>
                          <w:t>3.A</w:t>
                        </w:r>
                        <w:proofErr w:type="gramEnd"/>
                      </w:p>
                      <w:p w14:paraId="25E3332D" w14:textId="59C6579D" w:rsidR="006B4F4F" w:rsidRPr="003865AE" w:rsidRDefault="006B4F4F" w:rsidP="00D50B41">
                        <w:pPr>
                          <w:rPr>
                            <w:rFonts w:cstheme="minorHAnsi"/>
                            <w:color w:val="17365D" w:themeColor="text2" w:themeShade="BF"/>
                          </w:rPr>
                        </w:pPr>
                        <w:r w:rsidRPr="003865AE">
                          <w:rPr>
                            <w:rFonts w:cstheme="minorHAnsi"/>
                            <w:color w:val="17365D" w:themeColor="text2" w:themeShade="BF"/>
                          </w:rPr>
                          <w:t xml:space="preserve"> </w:t>
                        </w:r>
                        <w:r w:rsidRPr="003865AE">
                          <w:rPr>
                            <w:rFonts w:cstheme="minorHAnsi"/>
                            <w:color w:val="17365D" w:themeColor="text2" w:themeShade="BF"/>
                            <w:sz w:val="21"/>
                            <w:szCs w:val="21"/>
                          </w:rPr>
                          <w:t>M21-1 III.i.2.F.2.a</w:t>
                        </w:r>
                      </w:p>
                      <w:p w14:paraId="594B2848" w14:textId="76B8AD74" w:rsidR="00D50B41" w:rsidRPr="003865AE" w:rsidRDefault="00D50B41" w:rsidP="00D50B41">
                        <w:pPr>
                          <w:rPr>
                            <w:rFonts w:cstheme="minorHAnsi"/>
                            <w:color w:val="17365D" w:themeColor="text2" w:themeShade="BF"/>
                          </w:rPr>
                        </w:pPr>
                        <w:r w:rsidRPr="003865AE">
                          <w:rPr>
                            <w:rFonts w:cstheme="minorHAnsi"/>
                            <w:color w:val="17365D" w:themeColor="text2" w:themeShade="BF"/>
                          </w:rPr>
                          <w:t>M21-4 Manual</w:t>
                        </w:r>
                      </w:p>
                      <w:p w14:paraId="5CB940D1" w14:textId="77777777" w:rsidR="00D50B41" w:rsidRPr="003865AE" w:rsidRDefault="00D50B41" w:rsidP="004369B2">
                        <w:pPr>
                          <w:rPr>
                            <w:rFonts w:cstheme="minorHAnsi"/>
                            <w:color w:val="17365D" w:themeColor="text2" w:themeShade="BF"/>
                          </w:rPr>
                        </w:pPr>
                      </w:p>
                      <w:p w14:paraId="5ADAC968" w14:textId="77777777" w:rsidR="0048331D" w:rsidRPr="003865AE" w:rsidRDefault="0048331D" w:rsidP="004369B2">
                        <w:pPr>
                          <w:rPr>
                            <w:rFonts w:cstheme="minorHAnsi"/>
                            <w:color w:val="17365D" w:themeColor="text2" w:themeShade="BF"/>
                          </w:rPr>
                        </w:pPr>
                      </w:p>
                      <w:p w14:paraId="594B2849" w14:textId="61C9238F" w:rsidR="0048331D" w:rsidRPr="003865AE" w:rsidRDefault="0048331D" w:rsidP="004369B2">
                        <w:pPr>
                          <w:rPr>
                            <w:rFonts w:cstheme="minorHAnsi"/>
                            <w:color w:val="17365D" w:themeColor="text2" w:themeShade="BF"/>
                          </w:rPr>
                        </w:pPr>
                      </w:p>
                    </w:tc>
                    <w:tc>
                      <w:tcPr>
                        <w:tcW w:w="5390" w:type="dxa"/>
                      </w:tcPr>
                      <w:p w14:paraId="0A8DFF91" w14:textId="4439001E" w:rsidR="006B4F4F" w:rsidRDefault="003F2F90" w:rsidP="004369B2">
                        <w:pPr>
                          <w:rPr>
                            <w:color w:val="365F91" w:themeColor="accent1" w:themeShade="BF"/>
                          </w:rPr>
                        </w:pPr>
                        <w:r w:rsidRPr="00285787">
                          <w:rPr>
                            <w:color w:val="365F91" w:themeColor="accent1" w:themeShade="BF"/>
                          </w:rPr>
                          <w:t>Claims Establishment</w:t>
                        </w:r>
                      </w:p>
                      <w:p w14:paraId="64B17240" w14:textId="4CFFC0A3" w:rsidR="00D44061" w:rsidRDefault="00D44061" w:rsidP="004369B2">
                        <w:pPr>
                          <w:rPr>
                            <w:color w:val="365F91" w:themeColor="accent1" w:themeShade="BF"/>
                          </w:rPr>
                        </w:pPr>
                        <w:r>
                          <w:rPr>
                            <w:color w:val="365F91" w:themeColor="accent1" w:themeShade="BF"/>
                          </w:rPr>
                          <w:t>Identifying Contentions</w:t>
                        </w:r>
                      </w:p>
                      <w:p w14:paraId="62C0C6A0" w14:textId="31F68DE9" w:rsidR="006B4F4F" w:rsidRPr="008342D0" w:rsidRDefault="008342D0" w:rsidP="00D50B41">
                        <w:pPr>
                          <w:rPr>
                            <w:color w:val="17365D" w:themeColor="text2" w:themeShade="BF"/>
                          </w:rPr>
                        </w:pPr>
                        <w:r>
                          <w:rPr>
                            <w:color w:val="17365D" w:themeColor="text2" w:themeShade="BF"/>
                          </w:rPr>
                          <w:t>A</w:t>
                        </w:r>
                        <w:r w:rsidR="006B4F4F" w:rsidRPr="008342D0">
                          <w:rPr>
                            <w:color w:val="17365D" w:themeColor="text2" w:themeShade="BF"/>
                          </w:rPr>
                          <w:t xml:space="preserve">ppendix A: </w:t>
                        </w:r>
                        <w:r w:rsidR="006B4F4F" w:rsidRPr="008342D0">
                          <w:rPr>
                            <w:rFonts w:ascii="Calibri" w:hAnsi="Calibri" w:cs="Calibri"/>
                            <w:color w:val="17365D" w:themeColor="text2" w:themeShade="BF"/>
                          </w:rPr>
                          <w:t>Regional Office Station Numbers, Payee Codes, and Work-Rate Standards</w:t>
                        </w:r>
                      </w:p>
                      <w:p w14:paraId="594B284E" w14:textId="069CE07C" w:rsidR="00D50B41" w:rsidRDefault="00D50B41" w:rsidP="00D50B41">
                        <w:pPr>
                          <w:rPr>
                            <w:color w:val="365F91" w:themeColor="accent1" w:themeShade="BF"/>
                          </w:rPr>
                        </w:pPr>
                        <w:r>
                          <w:rPr>
                            <w:color w:val="365F91" w:themeColor="accent1" w:themeShade="BF"/>
                          </w:rPr>
                          <w:t xml:space="preserve">Appendix B: </w:t>
                        </w:r>
                        <w:proofErr w:type="gramStart"/>
                        <w:r>
                          <w:rPr>
                            <w:color w:val="365F91" w:themeColor="accent1" w:themeShade="BF"/>
                          </w:rPr>
                          <w:t>End Product</w:t>
                        </w:r>
                        <w:proofErr w:type="gramEnd"/>
                        <w:r>
                          <w:rPr>
                            <w:color w:val="365F91" w:themeColor="accent1" w:themeShade="BF"/>
                          </w:rPr>
                          <w:t xml:space="preserve"> Codes </w:t>
                        </w:r>
                        <w:r w:rsidR="006B4F4F">
                          <w:rPr>
                            <w:color w:val="365F91" w:themeColor="accent1" w:themeShade="BF"/>
                          </w:rPr>
                          <w:t xml:space="preserve"> </w:t>
                        </w:r>
                      </w:p>
                      <w:p w14:paraId="594B284F" w14:textId="5AAEEC40" w:rsidR="00D50B41" w:rsidRDefault="00D50B41" w:rsidP="00D50B41">
                        <w:pPr>
                          <w:rPr>
                            <w:color w:val="365F91" w:themeColor="accent1" w:themeShade="BF"/>
                          </w:rPr>
                        </w:pPr>
                        <w:r>
                          <w:rPr>
                            <w:color w:val="365F91" w:themeColor="accent1" w:themeShade="BF"/>
                          </w:rPr>
                          <w:t xml:space="preserve">Appendix C: Index of Claim </w:t>
                        </w:r>
                        <w:r w:rsidR="006B4F4F">
                          <w:rPr>
                            <w:color w:val="365F91" w:themeColor="accent1" w:themeShade="BF"/>
                          </w:rPr>
                          <w:t>Labels</w:t>
                        </w:r>
                      </w:p>
                      <w:p w14:paraId="097BB96F" w14:textId="77777777" w:rsidR="0048331D" w:rsidRDefault="00D50B41" w:rsidP="00D50B41">
                        <w:pPr>
                          <w:rPr>
                            <w:color w:val="365F91" w:themeColor="accent1" w:themeShade="BF"/>
                          </w:rPr>
                        </w:pPr>
                        <w:r>
                          <w:rPr>
                            <w:color w:val="365F91" w:themeColor="accent1" w:themeShade="BF"/>
                          </w:rPr>
                          <w:t>Appendix D: Index of Claim Stage Indicators</w:t>
                        </w:r>
                      </w:p>
                      <w:p w14:paraId="594B2850" w14:textId="6370ACFD" w:rsidR="006B4F4F" w:rsidRPr="006B4F4F" w:rsidRDefault="006B4F4F" w:rsidP="00D50B41">
                        <w:pPr>
                          <w:rPr>
                            <w:color w:val="365F91" w:themeColor="accent1" w:themeShade="BF"/>
                          </w:rPr>
                        </w:pPr>
                        <w:r w:rsidRPr="008342D0">
                          <w:rPr>
                            <w:color w:val="17365D" w:themeColor="text2" w:themeShade="BF"/>
                          </w:rPr>
                          <w:t xml:space="preserve">Appendix E: </w:t>
                        </w:r>
                        <w:r w:rsidRPr="008342D0">
                          <w:rPr>
                            <w:rFonts w:ascii="Calibri" w:hAnsi="Calibri" w:cs="Calibri"/>
                            <w:color w:val="17365D" w:themeColor="text2" w:themeShade="BF"/>
                          </w:rPr>
                          <w:t>Index of Corporate Flashes and Special Issues</w:t>
                        </w:r>
                      </w:p>
                    </w:tc>
                  </w:tr>
                  <w:tr w:rsidR="003F2F90" w14:paraId="594B2855" w14:textId="77777777" w:rsidTr="004A3EC1">
                    <w:trPr>
                      <w:trHeight w:val="1687"/>
                    </w:trPr>
                    <w:tc>
                      <w:tcPr>
                        <w:tcW w:w="936" w:type="dxa"/>
                        <w:vAlign w:val="center"/>
                      </w:tcPr>
                      <w:p w14:paraId="594B2852" w14:textId="788D43E6" w:rsidR="003F2F90" w:rsidRPr="001574E6" w:rsidRDefault="001F2AF9" w:rsidP="004369B2">
                        <w:pPr>
                          <w:jc w:val="center"/>
                          <w:rPr>
                            <w:color w:val="365F91" w:themeColor="accent1" w:themeShade="BF"/>
                          </w:rPr>
                        </w:pPr>
                        <w:r>
                          <w:rPr>
                            <w:color w:val="365F91" w:themeColor="accent1" w:themeShade="BF"/>
                          </w:rPr>
                          <w:t>7-8</w:t>
                        </w:r>
                      </w:p>
                    </w:tc>
                    <w:tc>
                      <w:tcPr>
                        <w:tcW w:w="2652" w:type="dxa"/>
                      </w:tcPr>
                      <w:p w14:paraId="722B5FFC" w14:textId="79D1C34A" w:rsidR="001F2AF9" w:rsidRPr="003865AE" w:rsidRDefault="00530D15" w:rsidP="005052FA">
                        <w:pPr>
                          <w:rPr>
                            <w:rFonts w:cstheme="minorHAnsi"/>
                            <w:color w:val="17365D" w:themeColor="text2" w:themeShade="BF"/>
                          </w:rPr>
                        </w:pPr>
                        <w:r w:rsidRPr="003865AE">
                          <w:rPr>
                            <w:rFonts w:cstheme="minorHAnsi"/>
                            <w:color w:val="17365D" w:themeColor="text2" w:themeShade="BF"/>
                          </w:rPr>
                          <w:t xml:space="preserve"> M21-1 II.iii.</w:t>
                        </w:r>
                        <w:proofErr w:type="gramStart"/>
                        <w:r w:rsidRPr="003865AE">
                          <w:rPr>
                            <w:rFonts w:cstheme="minorHAnsi"/>
                            <w:color w:val="17365D" w:themeColor="text2" w:themeShade="BF"/>
                          </w:rPr>
                          <w:t>1.C.</w:t>
                        </w:r>
                        <w:proofErr w:type="gramEnd"/>
                        <w:r w:rsidRPr="003865AE">
                          <w:rPr>
                            <w:rFonts w:cstheme="minorHAnsi"/>
                            <w:color w:val="17365D" w:themeColor="text2" w:themeShade="BF"/>
                          </w:rPr>
                          <w:t>2.a</w:t>
                        </w:r>
                        <w:r w:rsidR="001F2AF9" w:rsidRPr="003865AE">
                          <w:rPr>
                            <w:rFonts w:cstheme="minorHAnsi"/>
                            <w:color w:val="17365D" w:themeColor="text2" w:themeShade="BF"/>
                          </w:rPr>
                          <w:t>.</w:t>
                        </w:r>
                      </w:p>
                      <w:p w14:paraId="4FB49332" w14:textId="50B98FE2" w:rsidR="001F2AF9" w:rsidRPr="003865AE" w:rsidRDefault="00530D15" w:rsidP="005052FA">
                        <w:pPr>
                          <w:rPr>
                            <w:rFonts w:cstheme="minorHAnsi"/>
                            <w:color w:val="17365D" w:themeColor="text2" w:themeShade="BF"/>
                          </w:rPr>
                        </w:pPr>
                        <w:r w:rsidRPr="003865AE">
                          <w:rPr>
                            <w:rFonts w:cstheme="minorHAnsi"/>
                            <w:color w:val="17365D" w:themeColor="text2" w:themeShade="BF"/>
                          </w:rPr>
                          <w:t xml:space="preserve"> </w:t>
                        </w:r>
                        <w:r w:rsidRPr="003865AE">
                          <w:rPr>
                            <w:rFonts w:cstheme="minorHAnsi"/>
                            <w:color w:val="17365D" w:themeColor="text2" w:themeShade="BF"/>
                            <w:sz w:val="21"/>
                            <w:szCs w:val="21"/>
                          </w:rPr>
                          <w:t>M21-1 III.i.2.A.1.b</w:t>
                        </w:r>
                      </w:p>
                      <w:p w14:paraId="3F2E2E92" w14:textId="25372CAC" w:rsidR="004A3EC1" w:rsidRPr="003865AE" w:rsidRDefault="008342D0" w:rsidP="005052FA">
                        <w:pPr>
                          <w:rPr>
                            <w:rFonts w:cstheme="minorHAnsi"/>
                            <w:color w:val="17365D" w:themeColor="text2" w:themeShade="BF"/>
                          </w:rPr>
                        </w:pPr>
                        <w:r w:rsidRPr="003865AE">
                          <w:rPr>
                            <w:rFonts w:cstheme="minorHAnsi"/>
                            <w:color w:val="17365D" w:themeColor="text2" w:themeShade="BF"/>
                          </w:rPr>
                          <w:t xml:space="preserve"> </w:t>
                        </w:r>
                        <w:r w:rsidR="000D483D" w:rsidRPr="003865AE">
                          <w:rPr>
                            <w:rFonts w:cstheme="minorHAnsi"/>
                            <w:color w:val="17365D" w:themeColor="text2" w:themeShade="BF"/>
                          </w:rPr>
                          <w:t xml:space="preserve">M21-1 </w:t>
                        </w:r>
                        <w:proofErr w:type="gramStart"/>
                        <w:r w:rsidR="000D483D" w:rsidRPr="003865AE">
                          <w:rPr>
                            <w:rFonts w:cstheme="minorHAnsi"/>
                            <w:color w:val="17365D" w:themeColor="text2" w:themeShade="BF"/>
                          </w:rPr>
                          <w:t>IV,i.</w:t>
                        </w:r>
                        <w:proofErr w:type="gramEnd"/>
                        <w:r w:rsidR="000D483D" w:rsidRPr="003865AE">
                          <w:rPr>
                            <w:rFonts w:cstheme="minorHAnsi"/>
                            <w:color w:val="17365D" w:themeColor="text2" w:themeShade="BF"/>
                          </w:rPr>
                          <w:t>1.B.1.a-c</w:t>
                        </w:r>
                      </w:p>
                      <w:p w14:paraId="396BE16C" w14:textId="45D2C6D4" w:rsidR="004A3EC1" w:rsidRPr="003865AE" w:rsidRDefault="000D483D" w:rsidP="005052FA">
                        <w:pPr>
                          <w:rPr>
                            <w:rFonts w:cstheme="minorHAnsi"/>
                            <w:color w:val="17365D" w:themeColor="text2" w:themeShade="BF"/>
                          </w:rPr>
                        </w:pPr>
                        <w:r w:rsidRPr="003865AE">
                          <w:rPr>
                            <w:rFonts w:cstheme="minorHAnsi"/>
                            <w:color w:val="17365D" w:themeColor="text2" w:themeShade="BF"/>
                          </w:rPr>
                          <w:t xml:space="preserve"> M21-1 IV.i.1.B.1.f</w:t>
                        </w:r>
                      </w:p>
                      <w:p w14:paraId="7BDEB39E" w14:textId="422288CF" w:rsidR="004A3EC1" w:rsidRPr="003865AE" w:rsidRDefault="00710A49" w:rsidP="005052FA">
                        <w:pPr>
                          <w:rPr>
                            <w:rFonts w:cstheme="minorHAnsi"/>
                            <w:color w:val="17365D" w:themeColor="text2" w:themeShade="BF"/>
                          </w:rPr>
                        </w:pPr>
                        <w:r w:rsidRPr="003865AE">
                          <w:rPr>
                            <w:rFonts w:cstheme="minorHAnsi"/>
                            <w:color w:val="17365D" w:themeColor="text2" w:themeShade="BF"/>
                          </w:rPr>
                          <w:t xml:space="preserve"> M21-1 III.i.2.F.3.f</w:t>
                        </w:r>
                      </w:p>
                      <w:p w14:paraId="36C3461D" w14:textId="03E20D07" w:rsidR="004A3EC1" w:rsidRPr="003865AE" w:rsidRDefault="004A3EC1" w:rsidP="005052FA">
                        <w:pPr>
                          <w:rPr>
                            <w:rFonts w:cstheme="minorHAnsi"/>
                            <w:color w:val="17365D" w:themeColor="text2" w:themeShade="BF"/>
                          </w:rPr>
                        </w:pPr>
                        <w:r w:rsidRPr="003865AE">
                          <w:rPr>
                            <w:rFonts w:cstheme="minorHAnsi"/>
                            <w:color w:val="17365D" w:themeColor="text2" w:themeShade="BF"/>
                          </w:rPr>
                          <w:t>M21-1 III.iii.</w:t>
                        </w:r>
                        <w:proofErr w:type="gramStart"/>
                        <w:r w:rsidRPr="003865AE">
                          <w:rPr>
                            <w:rFonts w:cstheme="minorHAnsi"/>
                            <w:color w:val="17365D" w:themeColor="text2" w:themeShade="BF"/>
                          </w:rPr>
                          <w:t>1.F.</w:t>
                        </w:r>
                        <w:proofErr w:type="gramEnd"/>
                        <w:r w:rsidRPr="003865AE">
                          <w:rPr>
                            <w:rFonts w:cstheme="minorHAnsi"/>
                            <w:color w:val="17365D" w:themeColor="text2" w:themeShade="BF"/>
                          </w:rPr>
                          <w:t>4</w:t>
                        </w:r>
                      </w:p>
                      <w:p w14:paraId="404FA651" w14:textId="112CB9C0" w:rsidR="005052FA" w:rsidRPr="003865AE" w:rsidRDefault="005052FA" w:rsidP="005052FA">
                        <w:pPr>
                          <w:rPr>
                            <w:rFonts w:cstheme="minorHAnsi"/>
                            <w:color w:val="17365D" w:themeColor="text2" w:themeShade="BF"/>
                          </w:rPr>
                        </w:pPr>
                        <w:r w:rsidRPr="003865AE">
                          <w:rPr>
                            <w:rFonts w:cstheme="minorHAnsi"/>
                            <w:color w:val="17365D" w:themeColor="text2" w:themeShade="BF"/>
                          </w:rPr>
                          <w:t>M21-1 I.1.C.3.l</w:t>
                        </w:r>
                        <w:r w:rsidR="001F2AF9" w:rsidRPr="003865AE">
                          <w:rPr>
                            <w:rFonts w:cstheme="minorHAnsi"/>
                            <w:color w:val="17365D" w:themeColor="text2" w:themeShade="BF"/>
                          </w:rPr>
                          <w:t>.</w:t>
                        </w:r>
                      </w:p>
                      <w:p w14:paraId="65B576CD" w14:textId="28051417" w:rsidR="003865AE" w:rsidRPr="003865AE" w:rsidRDefault="001213D8" w:rsidP="005052FA">
                        <w:pPr>
                          <w:rPr>
                            <w:rFonts w:cstheme="minorHAnsi"/>
                            <w:color w:val="17365D" w:themeColor="text2" w:themeShade="BF"/>
                          </w:rPr>
                        </w:pPr>
                        <w:r w:rsidRPr="003865AE">
                          <w:rPr>
                            <w:rFonts w:cstheme="minorHAnsi"/>
                            <w:color w:val="17365D" w:themeColor="text2" w:themeShade="BF"/>
                          </w:rPr>
                          <w:t xml:space="preserve"> </w:t>
                        </w:r>
                        <w:r w:rsidR="003865AE" w:rsidRPr="003865AE">
                          <w:rPr>
                            <w:rFonts w:cstheme="minorHAnsi"/>
                            <w:color w:val="17365D" w:themeColor="text2" w:themeShade="BF"/>
                            <w:sz w:val="21"/>
                            <w:szCs w:val="21"/>
                          </w:rPr>
                          <w:t>M21-1 IV.i.1.A.1.e</w:t>
                        </w:r>
                      </w:p>
                      <w:p w14:paraId="41EC04F4" w14:textId="7D9B8BF5" w:rsidR="00A5746D" w:rsidRPr="003865AE" w:rsidRDefault="001213D8" w:rsidP="005052FA">
                        <w:pPr>
                          <w:rPr>
                            <w:rFonts w:cstheme="minorHAnsi"/>
                            <w:color w:val="17365D" w:themeColor="text2" w:themeShade="BF"/>
                          </w:rPr>
                        </w:pPr>
                        <w:r w:rsidRPr="003865AE">
                          <w:rPr>
                            <w:rFonts w:cstheme="minorHAnsi"/>
                            <w:color w:val="17365D" w:themeColor="text2" w:themeShade="BF"/>
                          </w:rPr>
                          <w:t xml:space="preserve">M21-1 III.ii.1.A.2.a </w:t>
                        </w:r>
                      </w:p>
                      <w:p w14:paraId="594B2853" w14:textId="5C9E59E8" w:rsidR="001F2AF9" w:rsidRPr="003865AE" w:rsidRDefault="001213D8" w:rsidP="005052FA">
                        <w:pPr>
                          <w:rPr>
                            <w:rFonts w:cstheme="minorHAnsi"/>
                            <w:color w:val="17365D" w:themeColor="text2" w:themeShade="BF"/>
                          </w:rPr>
                        </w:pPr>
                        <w:r w:rsidRPr="003865AE">
                          <w:rPr>
                            <w:rFonts w:cstheme="minorHAnsi"/>
                            <w:color w:val="17365D" w:themeColor="text2" w:themeShade="BF"/>
                          </w:rPr>
                          <w:t>M21-1 III.ii.</w:t>
                        </w:r>
                        <w:proofErr w:type="gramStart"/>
                        <w:r w:rsidRPr="003865AE">
                          <w:rPr>
                            <w:rFonts w:cstheme="minorHAnsi"/>
                            <w:color w:val="17365D" w:themeColor="text2" w:themeShade="BF"/>
                          </w:rPr>
                          <w:t>1.A.2.g</w:t>
                        </w:r>
                        <w:proofErr w:type="gramEnd"/>
                      </w:p>
                    </w:tc>
                    <w:tc>
                      <w:tcPr>
                        <w:tcW w:w="5390" w:type="dxa"/>
                      </w:tcPr>
                      <w:p w14:paraId="0D13C43A" w14:textId="487B763D" w:rsidR="001F2AF9" w:rsidRDefault="001F2AF9" w:rsidP="005052FA">
                        <w:pPr>
                          <w:rPr>
                            <w:color w:val="365F91" w:themeColor="accent1" w:themeShade="BF"/>
                          </w:rPr>
                        </w:pPr>
                        <w:r>
                          <w:rPr>
                            <w:color w:val="365F91" w:themeColor="accent1" w:themeShade="BF"/>
                          </w:rPr>
                          <w:t>Notification Requirements for a Complete Application</w:t>
                        </w:r>
                      </w:p>
                      <w:p w14:paraId="56611BEB" w14:textId="3065E2BE" w:rsidR="004A3EC1" w:rsidRDefault="001F2AF9" w:rsidP="005052FA">
                        <w:pPr>
                          <w:rPr>
                            <w:color w:val="365F91" w:themeColor="accent1" w:themeShade="BF"/>
                          </w:rPr>
                        </w:pPr>
                        <w:r>
                          <w:rPr>
                            <w:color w:val="365F91" w:themeColor="accent1" w:themeShade="BF"/>
                          </w:rPr>
                          <w:t xml:space="preserve">Who Is Responsible for Obtaining Evidence </w:t>
                        </w:r>
                        <w:proofErr w:type="gramStart"/>
                        <w:r>
                          <w:rPr>
                            <w:color w:val="365F91" w:themeColor="accent1" w:themeShade="BF"/>
                          </w:rPr>
                          <w:t>to</w:t>
                        </w:r>
                        <w:proofErr w:type="gramEnd"/>
                        <w:r>
                          <w:rPr>
                            <w:color w:val="365F91" w:themeColor="accent1" w:themeShade="BF"/>
                          </w:rPr>
                          <w:t xml:space="preserve"> </w:t>
                        </w:r>
                      </w:p>
                      <w:p w14:paraId="02577260" w14:textId="5BCA9B70" w:rsidR="001F2AF9" w:rsidRDefault="004A3EC1" w:rsidP="005052FA">
                        <w:pPr>
                          <w:rPr>
                            <w:color w:val="365F91" w:themeColor="accent1" w:themeShade="BF"/>
                          </w:rPr>
                        </w:pPr>
                        <w:r>
                          <w:rPr>
                            <w:color w:val="365F91" w:themeColor="accent1" w:themeShade="BF"/>
                          </w:rPr>
                          <w:t>Substantiate</w:t>
                        </w:r>
                        <w:r w:rsidR="001F2AF9">
                          <w:rPr>
                            <w:color w:val="365F91" w:themeColor="accent1" w:themeShade="BF"/>
                          </w:rPr>
                          <w:t xml:space="preserve"> </w:t>
                        </w:r>
                        <w:r>
                          <w:rPr>
                            <w:color w:val="365F91" w:themeColor="accent1" w:themeShade="BF"/>
                          </w:rPr>
                          <w:t xml:space="preserve">a </w:t>
                        </w:r>
                        <w:r w:rsidR="001F2AF9">
                          <w:rPr>
                            <w:color w:val="365F91" w:themeColor="accent1" w:themeShade="BF"/>
                          </w:rPr>
                          <w:t>Claim</w:t>
                        </w:r>
                      </w:p>
                      <w:p w14:paraId="06BA0A68" w14:textId="2259D9E5" w:rsidR="004A3EC1" w:rsidRDefault="004A3EC1" w:rsidP="005052FA">
                        <w:pPr>
                          <w:rPr>
                            <w:color w:val="365F91" w:themeColor="accent1" w:themeShade="BF"/>
                          </w:rPr>
                        </w:pPr>
                        <w:r>
                          <w:rPr>
                            <w:color w:val="365F91" w:themeColor="accent1" w:themeShade="BF"/>
                          </w:rPr>
                          <w:t>Reviewing for Elements 1-3</w:t>
                        </w:r>
                      </w:p>
                      <w:p w14:paraId="04437473" w14:textId="2F1F726B" w:rsidR="004A3EC1" w:rsidRDefault="004A3EC1" w:rsidP="005052FA">
                        <w:pPr>
                          <w:rPr>
                            <w:color w:val="365F91" w:themeColor="accent1" w:themeShade="BF"/>
                          </w:rPr>
                        </w:pPr>
                        <w:r>
                          <w:rPr>
                            <w:color w:val="365F91" w:themeColor="accent1" w:themeShade="BF"/>
                          </w:rPr>
                          <w:t>Presumptive SC: When an Examination is Necessary</w:t>
                        </w:r>
                      </w:p>
                      <w:p w14:paraId="705BE9FE" w14:textId="73662662" w:rsidR="004A3EC1" w:rsidRDefault="004A3EC1" w:rsidP="005052FA">
                        <w:pPr>
                          <w:rPr>
                            <w:color w:val="365F91" w:themeColor="accent1" w:themeShade="BF"/>
                          </w:rPr>
                        </w:pPr>
                        <w:r>
                          <w:rPr>
                            <w:color w:val="365F91" w:themeColor="accent1" w:themeShade="BF"/>
                          </w:rPr>
                          <w:t>Determining That a Claim Is Ready for a Decision</w:t>
                        </w:r>
                      </w:p>
                      <w:p w14:paraId="1A37824C" w14:textId="185EE635" w:rsidR="004A3EC1" w:rsidRDefault="004A3EC1" w:rsidP="005052FA">
                        <w:pPr>
                          <w:rPr>
                            <w:color w:val="365F91" w:themeColor="accent1" w:themeShade="BF"/>
                          </w:rPr>
                        </w:pPr>
                        <w:r>
                          <w:rPr>
                            <w:color w:val="365F91" w:themeColor="accent1" w:themeShade="BF"/>
                          </w:rPr>
                          <w:t>Updating Claim Status</w:t>
                        </w:r>
                      </w:p>
                      <w:p w14:paraId="76D66F88" w14:textId="121A68EA" w:rsidR="005052FA" w:rsidRDefault="005052FA" w:rsidP="005052FA">
                        <w:pPr>
                          <w:rPr>
                            <w:color w:val="365F91" w:themeColor="accent1" w:themeShade="BF"/>
                          </w:rPr>
                        </w:pPr>
                        <w:r w:rsidRPr="00285787">
                          <w:rPr>
                            <w:color w:val="365F91" w:themeColor="accent1" w:themeShade="BF"/>
                          </w:rPr>
                          <w:t>Documentation of the Status of Examination Review</w:t>
                        </w:r>
                      </w:p>
                      <w:p w14:paraId="3BD4C215" w14:textId="77777777" w:rsidR="00E64ABA" w:rsidRDefault="005052FA" w:rsidP="005052FA">
                        <w:pPr>
                          <w:rPr>
                            <w:color w:val="365F91" w:themeColor="accent1" w:themeShade="BF"/>
                          </w:rPr>
                        </w:pPr>
                        <w:r>
                          <w:rPr>
                            <w:color w:val="365F91" w:themeColor="accent1" w:themeShade="BF"/>
                          </w:rPr>
                          <w:t>Requirement to Obtain VA Medical Records</w:t>
                        </w:r>
                      </w:p>
                      <w:p w14:paraId="594B2854" w14:textId="3027FC91" w:rsidR="001F2AF9" w:rsidRPr="00CC3DCB" w:rsidRDefault="001F2AF9" w:rsidP="005052FA">
                        <w:pPr>
                          <w:rPr>
                            <w:color w:val="365F91" w:themeColor="accent1" w:themeShade="BF"/>
                          </w:rPr>
                        </w:pPr>
                        <w:r>
                          <w:rPr>
                            <w:color w:val="365F91" w:themeColor="accent1" w:themeShade="BF"/>
                          </w:rPr>
                          <w:t>Conducting an Enterprise Search in CAPRI</w:t>
                        </w:r>
                      </w:p>
                    </w:tc>
                  </w:tr>
                </w:tbl>
                <w:p w14:paraId="594B285A" w14:textId="77777777" w:rsidR="003F2F90" w:rsidRPr="00B23D58" w:rsidRDefault="003F2F90" w:rsidP="004369B2">
                  <w:pPr>
                    <w:pStyle w:val="ListParagraph"/>
                    <w:ind w:left="765"/>
                    <w:rPr>
                      <w:b w:val="0"/>
                      <w:bCs w:val="0"/>
                    </w:rPr>
                  </w:pPr>
                </w:p>
              </w:tc>
            </w:tr>
            <w:tr w:rsidR="00E64ABA" w14:paraId="63ECD206" w14:textId="77777777" w:rsidTr="004369B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576" w:type="dxa"/>
                </w:tcPr>
                <w:p w14:paraId="07B5C901" w14:textId="77777777" w:rsidR="00E64ABA" w:rsidRDefault="00E64ABA" w:rsidP="004369B2"/>
              </w:tc>
            </w:tr>
          </w:tbl>
          <w:p w14:paraId="594B285C" w14:textId="77777777" w:rsidR="003F2F90" w:rsidRDefault="003F2F90" w:rsidP="003F2F90"/>
          <w:p w14:paraId="594B285D" w14:textId="77777777" w:rsidR="00916FEF" w:rsidRDefault="00916FEF" w:rsidP="00916FEF"/>
          <w:p w14:paraId="594B285E" w14:textId="77777777" w:rsidR="00547E6B" w:rsidRPr="00B23D58" w:rsidRDefault="00547E6B" w:rsidP="00B37781">
            <w:pPr>
              <w:pStyle w:val="ListParagraph"/>
              <w:ind w:left="765"/>
              <w:rPr>
                <w:b w:val="0"/>
                <w:bCs w:val="0"/>
              </w:rPr>
            </w:pPr>
          </w:p>
        </w:tc>
      </w:tr>
    </w:tbl>
    <w:p w14:paraId="594B2860" w14:textId="77777777" w:rsidR="00331FF9" w:rsidRDefault="00331FF9"/>
    <w:sectPr w:rsidR="00331F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7E0DE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55B663FB"/>
    <w:multiLevelType w:val="hybridMultilevel"/>
    <w:tmpl w:val="B0E02DE4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" w15:restartNumberingAfterBreak="0">
    <w:nsid w:val="62593DAD"/>
    <w:multiLevelType w:val="hybridMultilevel"/>
    <w:tmpl w:val="9640B44E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" w15:restartNumberingAfterBreak="0">
    <w:nsid w:val="75F75424"/>
    <w:multiLevelType w:val="hybridMultilevel"/>
    <w:tmpl w:val="800A9D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316C"/>
    <w:rsid w:val="00021DAB"/>
    <w:rsid w:val="0002521C"/>
    <w:rsid w:val="00063708"/>
    <w:rsid w:val="000C4918"/>
    <w:rsid w:val="000D483D"/>
    <w:rsid w:val="000F2814"/>
    <w:rsid w:val="000F7AAF"/>
    <w:rsid w:val="001213D8"/>
    <w:rsid w:val="001476B8"/>
    <w:rsid w:val="00162E93"/>
    <w:rsid w:val="00176748"/>
    <w:rsid w:val="00183061"/>
    <w:rsid w:val="001C287D"/>
    <w:rsid w:val="001D7DD2"/>
    <w:rsid w:val="001F2AF9"/>
    <w:rsid w:val="002A006E"/>
    <w:rsid w:val="002D0C24"/>
    <w:rsid w:val="002F51BB"/>
    <w:rsid w:val="00306FE4"/>
    <w:rsid w:val="0032404B"/>
    <w:rsid w:val="00325A47"/>
    <w:rsid w:val="00331FF9"/>
    <w:rsid w:val="00382702"/>
    <w:rsid w:val="003865AE"/>
    <w:rsid w:val="003C6661"/>
    <w:rsid w:val="003F2F90"/>
    <w:rsid w:val="003F4449"/>
    <w:rsid w:val="0048331D"/>
    <w:rsid w:val="004A3EC1"/>
    <w:rsid w:val="004D3C2C"/>
    <w:rsid w:val="005052FA"/>
    <w:rsid w:val="00530A83"/>
    <w:rsid w:val="00530D15"/>
    <w:rsid w:val="00547E6B"/>
    <w:rsid w:val="00550167"/>
    <w:rsid w:val="005627D4"/>
    <w:rsid w:val="00581A5C"/>
    <w:rsid w:val="005C7FA1"/>
    <w:rsid w:val="005E2BBD"/>
    <w:rsid w:val="005E402D"/>
    <w:rsid w:val="00630588"/>
    <w:rsid w:val="00651342"/>
    <w:rsid w:val="006A7779"/>
    <w:rsid w:val="006B4F4F"/>
    <w:rsid w:val="006E6104"/>
    <w:rsid w:val="006F1706"/>
    <w:rsid w:val="00710A49"/>
    <w:rsid w:val="007121F1"/>
    <w:rsid w:val="007841F2"/>
    <w:rsid w:val="007B0A5A"/>
    <w:rsid w:val="00816A62"/>
    <w:rsid w:val="008342D0"/>
    <w:rsid w:val="008472F8"/>
    <w:rsid w:val="008A0C11"/>
    <w:rsid w:val="008A287F"/>
    <w:rsid w:val="008D4295"/>
    <w:rsid w:val="009012FC"/>
    <w:rsid w:val="009129CA"/>
    <w:rsid w:val="00916FEF"/>
    <w:rsid w:val="00925A36"/>
    <w:rsid w:val="00936B26"/>
    <w:rsid w:val="0098398F"/>
    <w:rsid w:val="009865DE"/>
    <w:rsid w:val="009B0899"/>
    <w:rsid w:val="00A32DF5"/>
    <w:rsid w:val="00A54690"/>
    <w:rsid w:val="00A5746D"/>
    <w:rsid w:val="00A6298A"/>
    <w:rsid w:val="00A76FE8"/>
    <w:rsid w:val="00AB1E52"/>
    <w:rsid w:val="00AB643D"/>
    <w:rsid w:val="00AB7B09"/>
    <w:rsid w:val="00B0316C"/>
    <w:rsid w:val="00B142D5"/>
    <w:rsid w:val="00B23D58"/>
    <w:rsid w:val="00B37781"/>
    <w:rsid w:val="00B60DDB"/>
    <w:rsid w:val="00B80672"/>
    <w:rsid w:val="00B8626C"/>
    <w:rsid w:val="00B97023"/>
    <w:rsid w:val="00BA4E6C"/>
    <w:rsid w:val="00BB123F"/>
    <w:rsid w:val="00C57F21"/>
    <w:rsid w:val="00CE5B64"/>
    <w:rsid w:val="00CE64F5"/>
    <w:rsid w:val="00D44061"/>
    <w:rsid w:val="00D50B41"/>
    <w:rsid w:val="00D71133"/>
    <w:rsid w:val="00E057C5"/>
    <w:rsid w:val="00E54FCF"/>
    <w:rsid w:val="00E64ABA"/>
    <w:rsid w:val="00E84D05"/>
    <w:rsid w:val="00EC7A67"/>
    <w:rsid w:val="00EF77A5"/>
    <w:rsid w:val="00F32ACA"/>
    <w:rsid w:val="00F8200F"/>
    <w:rsid w:val="00F92AF8"/>
    <w:rsid w:val="00F958B0"/>
    <w:rsid w:val="00FA5783"/>
    <w:rsid w:val="00FC1081"/>
    <w:rsid w:val="00FC6636"/>
    <w:rsid w:val="00FE7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B2780"/>
  <w15:docId w15:val="{66D467DF-6514-412A-91BB-A08F52403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031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021DAB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5">
    <w:name w:val="Light Shading Accent 5"/>
    <w:basedOn w:val="TableNormal"/>
    <w:uiPriority w:val="60"/>
    <w:rsid w:val="00021DAB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4">
    <w:name w:val="Light Shading Accent 4"/>
    <w:basedOn w:val="TableNormal"/>
    <w:uiPriority w:val="60"/>
    <w:rsid w:val="00021DAB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ListParagraph">
    <w:name w:val="List Paragraph"/>
    <w:basedOn w:val="Normal"/>
    <w:uiPriority w:val="34"/>
    <w:qFormat/>
    <w:rsid w:val="00547E6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00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006E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E2BB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2BB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2BB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2BB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2BB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606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ntTable" Target="fontTable.xml"/><Relationship Id="rId5" Type="http://schemas.openxmlformats.org/officeDocument/2006/relationships/customXml" Target="../customXml/item5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ase xmlns="e7051302-9b46-46bd-8277-192cffac2459">Ludlum</Case>
    <Category xmlns="e7051302-9b46-46bd-8277-192cffac2459">NO</Category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640AF553597D44B31F5AB80BE46B3F" ma:contentTypeVersion="25" ma:contentTypeDescription="Create a new document." ma:contentTypeScope="" ma:versionID="2920bbb8bc0f58b5c5b547228bb9ce20">
  <xsd:schema xmlns:xsd="http://www.w3.org/2001/XMLSchema" xmlns:xs="http://www.w3.org/2001/XMLSchema" xmlns:p="http://schemas.microsoft.com/office/2006/metadata/properties" xmlns:ns1="e7051302-9b46-46bd-8277-192cffac2459" xmlns:ns2="http://schemas.microsoft.com/sharepoint/v3" xmlns:ns3="b93d3c31-0eb5-47c5-ab2d-5adf83a5459c" targetNamespace="http://schemas.microsoft.com/office/2006/metadata/properties" ma:root="true" ma:fieldsID="c60d01352469d51efffe2cb95a42b0ea" ns1:_="" ns2:_="" ns3:_="">
    <xsd:import namespace="e7051302-9b46-46bd-8277-192cffac2459"/>
    <xsd:import namespace="http://schemas.microsoft.com/sharepoint/v3"/>
    <xsd:import namespace="b93d3c31-0eb5-47c5-ab2d-5adf83a5459c"/>
    <xsd:element name="properties">
      <xsd:complexType>
        <xsd:sequence>
          <xsd:element name="documentManagement">
            <xsd:complexType>
              <xsd:all>
                <xsd:element ref="ns1:Category" minOccurs="0"/>
                <xsd:element ref="ns1:Case" minOccurs="0"/>
                <xsd:element ref="ns1:MediaServiceMetadata" minOccurs="0"/>
                <xsd:element ref="ns1:MediaServiceFastMetadata" minOccurs="0"/>
                <xsd:element ref="ns2:_dlc_Exempt" minOccurs="0"/>
                <xsd:element ref="ns2:_dlc_ExpireDateSaved" minOccurs="0"/>
                <xsd:element ref="ns2:_dlc_ExpireDat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051302-9b46-46bd-8277-192cffac2459" elementFormDefault="qualified">
    <xsd:import namespace="http://schemas.microsoft.com/office/2006/documentManagement/types"/>
    <xsd:import namespace="http://schemas.microsoft.com/office/infopath/2007/PartnerControls"/>
    <xsd:element name="Category" ma:index="0" nillable="true" ma:displayName="Category" ma:format="Dropdown" ma:internalName="Category">
      <xsd:simpleType>
        <xsd:restriction base="dms:Choice">
          <xsd:enumeration value="_Other"/>
          <xsd:enumeration value="AO"/>
          <xsd:enumeration value="Demonstrations"/>
          <xsd:enumeration value="GB"/>
          <xsd:enumeration value="IN"/>
          <xsd:enumeration value="IU"/>
          <xsd:enumeration value="NO"/>
          <xsd:enumeration value="PTSD"/>
          <xsd:enumeration value="SubDev"/>
          <xsd:enumeration value="SWA"/>
          <xsd:enumeration value="UAT Checklists"/>
          <xsd:enumeration value="UAT Feedback Documents"/>
          <xsd:enumeration value="Dependency"/>
        </xsd:restriction>
      </xsd:simpleType>
    </xsd:element>
    <xsd:element name="Case" ma:index="1" nillable="true" ma:displayName="Case" ma:format="Dropdown" ma:internalName="Case">
      <xsd:simpleType>
        <xsd:restriction base="dms:Choice">
          <xsd:enumeration value="01_CEST"/>
          <xsd:enumeration value="02_FDC"/>
          <xsd:enumeration value="03_Non-Original"/>
          <xsd:enumeration value="04_AO"/>
          <xsd:enumeration value="05_PTSD"/>
          <xsd:enumeration value="06_Subdev"/>
          <xsd:enumeration value="Allen"/>
          <xsd:enumeration value="Andrews"/>
          <xsd:enumeration value="Barrett"/>
          <xsd:enumeration value="Baxter"/>
          <xsd:enumeration value="Bocephis"/>
          <xsd:enumeration value="Brown"/>
          <xsd:enumeration value="Burnheim"/>
          <xsd:enumeration value="Burns"/>
          <xsd:enumeration value="Collins"/>
          <xsd:enumeration value="Cornblatt"/>
          <xsd:enumeration value="Dyen (demo)"/>
          <xsd:enumeration value="Feinstein"/>
          <xsd:enumeration value="Hamilton"/>
          <xsd:enumeration value="Heinz"/>
          <xsd:enumeration value="Johnson"/>
          <xsd:enumeration value="Ludlum"/>
          <xsd:enumeration value="McDillard"/>
          <xsd:enumeration value="Peterson"/>
          <xsd:enumeration value="Richards"/>
          <xsd:enumeration value="Stevens"/>
        </xsd:restriction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dlc_Exempt" ma:index="12" nillable="true" ma:displayName="Exempt from Policy" ma:hidden="true" ma:internalName="_dlc_Exempt" ma:readOnly="true">
      <xsd:simpleType>
        <xsd:restriction base="dms:Unknown"/>
      </xsd:simpleType>
    </xsd:element>
    <xsd:element name="_dlc_ExpireDateSaved" ma:index="13" nillable="true" ma:displayName="Original Expiration Date" ma:hidden="true" ma:internalName="_dlc_ExpireDateSaved" ma:readOnly="true">
      <xsd:simpleType>
        <xsd:restriction base="dms:DateTime"/>
      </xsd:simpleType>
    </xsd:element>
    <xsd:element name="_dlc_ExpireDate" ma:index="14" nillable="true" ma:displayName="Expiration Date" ma:hidden="true" ma:internalName="_dlc_ExpireDat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3d3c31-0eb5-47c5-ab2d-5adf83a5459c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6" ma:displayName="Content Type"/>
        <xsd:element ref="dc:title" minOccurs="0" maxOccurs="1" ma:index="3" ma:displayName="Note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57640AF553597D44B31F5AB80BE46B3F" UniqueId="7d0fd78c-ac36-460e-b644-5451cdd76573">
      <p:Name>Retention</p:Name>
      <p:Description>Automatic scheduling of content for processing, and performing a retention action on content that has reached its due date.</p:Description>
      <p:CustomData/>
    </p:PolicyItem>
  </p:PolicyItems>
</p:Policy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6.xml><?xml version="1.0" encoding="utf-8"?>
<?mso-contentType ?>
<PolicyDirtyBag xmlns="microsoft.office.server.policy.changes">
  <Microsoft.Office.RecordsManagement.PolicyFeatures.Expiration op="Change"/>
</PolicyDirtyBag>
</file>

<file path=customXml/itemProps1.xml><?xml version="1.0" encoding="utf-8"?>
<ds:datastoreItem xmlns:ds="http://schemas.openxmlformats.org/officeDocument/2006/customXml" ds:itemID="{EFED4B2F-711F-4E4B-ABF3-21E088450686}">
  <ds:schemaRefs>
    <ds:schemaRef ds:uri="http://schemas.microsoft.com/office/2006/metadata/properties"/>
    <ds:schemaRef ds:uri="http://schemas.microsoft.com/office/infopath/2007/PartnerControls"/>
    <ds:schemaRef ds:uri="e7051302-9b46-46bd-8277-192cffac2459"/>
  </ds:schemaRefs>
</ds:datastoreItem>
</file>

<file path=customXml/itemProps2.xml><?xml version="1.0" encoding="utf-8"?>
<ds:datastoreItem xmlns:ds="http://schemas.openxmlformats.org/officeDocument/2006/customXml" ds:itemID="{313CFDF9-94C1-4F85-9284-C48C1DC1C8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051302-9b46-46bd-8277-192cffac2459"/>
    <ds:schemaRef ds:uri="http://schemas.microsoft.com/sharepoint/v3"/>
    <ds:schemaRef ds:uri="b93d3c31-0eb5-47c5-ab2d-5adf83a545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31166D8-4E45-4AB0-B665-7D7E12BEE044}">
  <ds:schemaRefs>
    <ds:schemaRef ds:uri="office.server.policy"/>
  </ds:schemaRefs>
</ds:datastoreItem>
</file>

<file path=customXml/itemProps4.xml><?xml version="1.0" encoding="utf-8"?>
<ds:datastoreItem xmlns:ds="http://schemas.openxmlformats.org/officeDocument/2006/customXml" ds:itemID="{BAE19F12-FED3-40D1-AFCF-9913DACEEAA6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F067D335-2652-4A52-9745-9A5A4A9BB517}">
  <ds:schemaRefs>
    <ds:schemaRef ds:uri="http://schemas.microsoft.com/sharepoint/v3/contenttype/forms"/>
  </ds:schemaRefs>
</ds:datastoreItem>
</file>

<file path=customXml/itemProps6.xml><?xml version="1.0" encoding="utf-8"?>
<ds:datastoreItem xmlns:ds="http://schemas.openxmlformats.org/officeDocument/2006/customXml" ds:itemID="{224B97DC-6D11-47AC-A808-C24F39A4A3E5}">
  <ds:schemaRefs>
    <ds:schemaRef ds:uri="microsoft.office.server.policy.chang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667</TotalTime>
  <Pages>3</Pages>
  <Words>791</Words>
  <Characters>4513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Veteran Affairs</Company>
  <LinksUpToDate>false</LinksUpToDate>
  <CharactersWithSpaces>5294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Davis, James C., VBABALT\ACAD</dc:creator>
  <cp:lastModifiedBy>EDWARDS, LARRY D., VBADENV Trng Facility</cp:lastModifiedBy>
  <cp:revision>24</cp:revision>
  <cp:lastPrinted>2019-03-14T12:04:00Z</cp:lastPrinted>
  <dcterms:created xsi:type="dcterms:W3CDTF">2018-07-02T18:57:00Z</dcterms:created>
  <dcterms:modified xsi:type="dcterms:W3CDTF">2021-10-28T22:10:00Z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0x01010057640AF553597D44B31F5AB80BE46B3F</vt:lpwstr>
  </property>
  <property fmtid="{D5CDD505-2E9C-101B-9397-08002B2CF9AE}" pid="3" name="_dlc_DocIdItemGuid">
    <vt:lpwstr>c4ec8d34-4bb3-4f7b-a5cb-8a8b142243fe</vt:lpwstr>
  </property>
  <property fmtid="{D5CDD505-2E9C-101B-9397-08002B2CF9AE}" pid="4" name="_dlc_policyId">
    <vt:lpwstr>0x01010057640AF553597D44B31F5AB80BE46B3F</vt:lpwstr>
  </property>
  <property fmtid="{D5CDD505-2E9C-101B-9397-08002B2CF9AE}" pid="5" name="ItemRetentionFormula">
    <vt:lpwstr/>
  </property>
</Properties>
</file>