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spacing w:after="120" w:line="280" w:lineRule="auto"/>
        <w:snapToGrid w:val="0"/>
        <w:jc w:val="center"/>
        <w:keepNext/>
      </w:pPr>
      <w:r>
        <w:rPr>
          <w:rFonts w:eastAsia="仿宋_GB2312" w:ascii="宋体" w:hAnsi="宋体"/>
          <w:sz w:val="32"/>
          <w:szCs w:val="32"/>
          <w:color w:val="000000"/>
          <w:b/>
        </w:rPr>
        <w:t>松潘户外文旅展预算估计表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2026年10月6日  预算估计R1  清单已确认  价格待核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整个项目控制总额650,000元，包含已完成基础水电与墙面、六章展项、设计和现场实施、税费与预备费。</w:t>
      </w:r>
    </w:p>
    <w:tbl>
      <w:tblPr>
        <w:tblW w:w="10251" w:type="dxa"/>
        <w:jc w:val="center"/>
        <w:tblLook w:val="0000" w:firstRow="0" w:lastRow="0" w:firstColumn="0" w:lastColumn="0" w:noHBand="0" w:noVBand="0"/>
      </w:tblPr>
      <w:tblGrid>
        <w:gridCol w:w="656"/>
        <w:gridCol w:w="499"/>
        <w:gridCol w:w="1160"/>
        <w:gridCol w:w="3216"/>
        <w:gridCol w:w="656"/>
        <w:gridCol w:w="667"/>
        <w:gridCol w:w="1078"/>
        <w:gridCol w:w="1439"/>
        <w:gridCol w:w="880"/>
      </w:tblGrid>
      <w:tr>
        <w:trPr>
          <w:tblHeader/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1422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项目分类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项目名称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项目特征描述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单位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数量</w:t>
              <w:br/>
              <w:t>（预估）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不含税单价（元）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不含税金额</w:t>
              <w:br/>
              <w:t>（元）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公共基础工程与配套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已完成基础水电与墙面工程暂列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已施工的水电、墙面及对应拆旧保护费用纳入总预算；实做量、结算及付款金额待核。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25,000.00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已完成范围由用户确认；金额为占位，参考底稿可对应条目24,877元，不代表已核结算价。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入口接待区 门体及公共界面收口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未完成的入口接待区、门体、封窗、踢脚与入口地面修复、公共天花及局部饰面收口。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32,000.00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本项含材料与施工人工；排除已完成部分及沉浸区另列的围合饰面。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接待家具及既有展柜整理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接待台、培训座凳、整备室门及两处旧展柜改造；数量按原底稿复核。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14,000.00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14,000.00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按既有空间配套保留，实际不需要或可直接利用的部分扣减。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公共展陈灯轨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按底稿约58米暂估，保留柱间灯轨与悬挂关系，含连接件及电源接入。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m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58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3,480.00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长度按新施工图核量，不重复计旧轨道。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公共展品射灯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按底稿36个暂估，固定重点照明，含安装及照射角度调整。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个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36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220.00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7,920.00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不含沉浸区和五方台内另列的局部装置照明。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吊旗与设备承重吊点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新增吊旗、投影设备等预埋吊点、悬挂连接及局部加固。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5,600.00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5,600.00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承重点随深化图确认；吊旗自身夹条计入各章制作。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多媒体配套补点与应急补齐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仅计现有基础水电之外的多媒体弱电、设备专用回路补点及应急照明补齐。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已完成基础管线不重复计；含本项安装。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公共基础工程与配套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100,000.00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01 宣传片与入口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入口LED显示屏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3×2米P2.5室内LED，含钢框支架、包边、线缆及设备专业安装调试。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㎡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2,870.00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17,220.00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沿用底稿单价；按模型3×2米计6㎡。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LED播放控制终端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专用播放主机、存储及基础控制，适配已有宣传片。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3,850.00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3,850.00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含设备配置调试。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入口宣传片扩声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两只音箱、功放及基础音量控制。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新增；与沉浸区声音分别配置。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已有宣传片播放适配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字幕、片头片尾及播放文件适配，提供交付版与备份。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利用用户已有影片；不另列整片外拍。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入口形象与章节导引制作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入口形象牌、宣传片章节标识及相关画面印制加工。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3,930.00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3,930.00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整体平面设计另在设计费列一次。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01 宣传片与入口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35,000.00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13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02 沉浸区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沉浸围合及投影墙面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约70㎡新围合结构、基层、收口及适合投影的墙面饰面。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㎡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70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400.00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28,000.00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新增围合，含本项施工；与已完成展馆墙面分开。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14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黑色顶棚 遮光及吸声处理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沉浸区约40㎡，黑色顶棚与必要遮光、局部吸声。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㎡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40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350.00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14,000.00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按模型概算，施工图核量；含施工。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暗色地面与路径施工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约40㎡暗色防滑地面、弯曲路径及收边，按当前路径与石岛关系深化。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㎡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40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350.00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14,000.00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含地面本项施工，不叠加公共地面重复收费。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16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不规则石岸 岩石及植物造景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按现模型小块不规则岩石、连续低石岸、植物配景制作，含固定局部照明。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32,000.00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构件制作费；现场组装人工在布展实施中列一次。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17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石群藏水装置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浅水池、防水、池沿、循环过滤及检修结构，石头遮掩池缘。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含本项安装；动态影像仅用于墙面。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工程短焦激光投影设备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暂按3台约5000—6000流明级工程短焦设备，含镜头适配、吊架、专业安装与校色。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台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25,000.00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75,000.00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三面墙连续影像；数量、投射距离及镜头由现场深化确认。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19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三路同步播放与几何校正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播放主机、三路同步输出、基础拼接遮罩及几何校正配置。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16,000.00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16,000.00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含投影专项校正，不在通用布展人工中重复计。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20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沉浸声音系统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音箱、功放及基本声音调试，控制与入口播放的串扰。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含设备安装调试。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21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沉浸循环影像与声音编排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基于已有与补充授权素材进行循环影像、三墙比例适配、片段衔接及声音编排。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23,000.00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23,000.00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正式内容另确认脚本与素材；此额度按素材再编排估列。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02 沉浸区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220,000.00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22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03 资源展示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方形地图展台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2.3×2.3米定制白色展台，承载地形模型，预留小展签及检修结构。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8,500.00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8,500.00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展具制作费；取代原16个通用小展台中的对应配置。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23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松潘县真实地形模型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约1.91×1.46米，基于已建立的真实高程和卫星影像分块成型、表面处理及彩绘。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33,000.00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33,000.00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一套县域模型替代原6个1×1米线路模型；不重复收取现有数据获取费用。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24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公路 铁路及徒步线路落版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在地形上制作交通与徒步线路、节点、编号和图例，保留原资料状态。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6,500.00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6,500.00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本项为线路加工标注；地形基础成型计在上一项。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25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户外资源总图双面吊旗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采用用户提供资源总图，宽约2.3米，按原图比例制作双面图面与夹条。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制作印制费；不另计素材购买。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26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走近松潘双面画幅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按现模型位置与加宽画幅制作，采用确认的图文素材。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4,000.00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4,000.00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制作印制费，真实图像素材另随内容审核。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27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资源实物与保护陈列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沿用底稿茶砖、植物展示、地方工艺、登山装备等实物配置，含整理、保护罩及小展签。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同一物件供资源区及五方展示使用时只购置一次。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28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线路产品介绍卡印制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首批100套，每套6张线路介绍卡，含印制与包装。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100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平面排版另计；线路依据所属资料编写，不将示意轨迹当作实测成果。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03 资源展示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75,000.00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29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04 五方协作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五个独立白色展台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游客、俱乐部、向导、村寨、政府五台，中心留空，立面与卡片朝圆外阅读。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个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4,000.00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定制展具制作费；对应新模型布局。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30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五台文字及台面卡片制作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立面字、台面卡片与卡架，采用已确认的角色名称与短文。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组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800.00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4,000.00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制作印制费；设计排版只在全展设计费计一次。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31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五方真实物证与记录整理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五组物证取材、借展协调、资料复制与底座整理，分别保留来源和年份。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组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实物购置已在资源项计列的，不在此再次计采购款。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32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沿途案例小吊旗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约200字双面小吊旗、夹条与吊线，设置在五台与沉浸区附近圆柱之间。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3,500.00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3,500.00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从已确认的柱间灯轨悬挂；现场挂装计布展人工。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33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五方展台局部固定照明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台内及物证局部照明，区别于公共射灯。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2,500.00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2,500.00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固定照明，含设备安装。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04 五方协作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40,000.00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34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05 平台运行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85寸展示终端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1台85寸16:9电视，含支架、线缆及设备安装调试。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6,500.00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6,500.00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原底稿2台优化为本章1台。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35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电视背景及平台名称制作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柱间白色背景构件，仅显示松潘户外智慧管理平台，保持正对出口的布局。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6,500.00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6,500.00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不增加下方墙面说明字；现场展具安装列布展人工。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36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五段情境演示内容制作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行前、途中、情况变化、处理确认、行后反馈五段屏幕内容，脚本确认后制作。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按展览演示与已有系统素材适配估列，不含平台后台新开发。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37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平台播放终端与基本控制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播放终端、信号适配和基本设备开关控制配置。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不承诺未经确认的实时业务接口。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05 平台运行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30,000.00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38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06 发展展望与出口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发展展望双面吊旗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宽1.8米、高1.25米，平行东南双开门，下沿2.45米，瑞士风格图面及夹条。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6,000.00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采用确认文案；不重复计全展平面设计。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39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全展介绍与发展资料印制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首批200份展览介绍资料册，含确认的发展方向及核实后可使用的资料。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份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200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4,000.00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文稿编辑和排版在全展设计费计一次；此项只计印制。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40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出口导引及收束标识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出口导引、参观收束与必要标识制作。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与公共应急标识区分。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06 发展展望与出口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12,000.00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41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全展策展设计与预演交付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六章内容统筹与讲解词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六章展示正文、来源整理、讲解转场及文稿落版审核，利用已形成稿件继续深化。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15,000.00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不重复计算各章已单列的影像制作与物证整理。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42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空间与施工图深化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沿用当前模型，深化平面、节点、展具、材料、专业设备点位及施工图。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20,000.00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不重新开始方案研究。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43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全展平面排版及制作文件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吊旗、展签、卡片、导引和资料册排版、校色及印制文件。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10,000.00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设计费用统一列一次；各章相应条目只计实物制作。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44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三维网站预演及预算资料交付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沿用当前网站与模型，整理可演示版本、媒体接入、预算入口和交付资料。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10,000.00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10,000.00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利用已有成果完善交付；包含预算入口与资料下载。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全展策展设计与预演交付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55,000.00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45</w:t>
            </w:r>
          </w:p>
        </w:tc>
        <w:tc>
          <w:tcPr>
            <w:tcW w:w="1422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现场布展与整体交付</w:t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展具及造景布展人工与现场管理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定制展具、岩石植物构件、地形模型及吊旗现场组装和管理，暂估40人天。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人天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40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仅计构件布展；已在装修和设备单价中包含的施工安装不重复计。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46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物料包装运输 搬运及机具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暂估4趟，统筹定制展具、模型、造景构件的包装运输、搬运和必要进场机具。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趟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2,000.00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8,000.00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一次列全馆通用运输；专项设备单价不重复计同一运输。</w:t>
            </w:r>
          </w:p>
        </w:tc>
      </w:tr>
      <w:tr>
        <w:trPr>
          <w:jc w:val="center"/>
          <w:cantSplit/>
        </w:trPr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47</w:t>
            </w:r>
          </w:p>
        </w:tc>
        <w:tc>
          <w:tcPr>
            <w:tcW w:w="1422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/>
            </w:r>
          </w:p>
        </w:tc>
        <w:tc>
          <w:tcPr>
            <w:tcW w:w="125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全馆联调 培训与竣工交付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left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操作流程、全馆播放切换及基本控制联调、人员培训、设备清单与竣工资料。</w:t>
            </w:r>
          </w:p>
        </w:tc>
        <w:tc>
          <w:tcPr>
            <w:tcW w:w="65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项</w:t>
            </w:r>
          </w:p>
        </w:tc>
        <w:tc>
          <w:tcPr>
            <w:tcW w:w="677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948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1439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color w:val="000000"/>
                <w:sz w:val="22"/>
                <w:szCs w:val="22"/>
              </w:rPr>
            </w:pPr>
            <w:r>
              <w:t>5,000.00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</w:pPr>
            <w:r>
              <w:rPr>
                <w:rFonts w:ascii="仿宋_GB2312" w:eastAsia="仿宋_GB2312" w:hAnsi="宋体" w:cs="仿宋_GB2312"/>
                <w:color w:val="000000"/>
                <w:sz w:val="22"/>
                <w:szCs w:val="18"/>
              </w:rPr>
              <w:t>不重复计投影专项校正及单台设备安装；含交付保洁。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现场布展与整体交付 小计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33,000.00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工程及服务费合计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600,000.00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税前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税费暂估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6,000.00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暂按1%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工程含税金额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606,000.00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/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项目预备费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44,000.00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未分配</w:t>
            </w:r>
          </w:p>
        </w:tc>
      </w:tr>
      <w:tr>
        <w:trPr>
          <w:jc w:val="center"/>
          <w:cantSplit/>
        </w:trPr>
        <w:tc>
          <w:tcPr>
            <w:tcW w:w="793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2"/>
                <w:szCs w:val="22"/>
                <w:lang w:bidi="ar"/>
              </w:rPr>
              <w:t>整个项目预算控制总额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righ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t>650,000.00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napToGrid w:val="0"/>
              <w:jc w:val="left"/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ascii="仿宋_GB2312" w:eastAsia="仿宋_GB2312" w:hAnsi="宋体" w:cs="宋体"/>
                <w:b/>
                <w:color w:val="000000"/>
                <w:sz w:val="22"/>
                <w:szCs w:val="22"/>
              </w:rPr>
              <w:t>含已完成</w:t>
            </w:r>
          </w:p>
        </w:tc>
      </w:tr>
    </w:tbl>
    <w:p>
      <w:pPr>
        <w:spacing w:after="120" w:line="280" w:lineRule="auto"/>
        <w:snapToGrid w:val="0"/>
        <w:keepNext/>
      </w:pPr>
      <w:r>
        <w:rPr>
          <w:rFonts w:eastAsia="仿宋_GB2312" w:ascii="宋体" w:hAnsi="宋体"/>
          <w:sz w:val="22"/>
          <w:szCs w:val="22"/>
          <w:color w:val="000000"/>
          <w:b/>
        </w:rPr>
        <w:t>预算口径与说明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1. 650000元是包含已完成工程的整个项目预算控制数，不是追加合同金额。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2. 已完成基础水电与墙面暂列25000元；参照底稿对应条目24877元，仅为概算占位。实际水路费用、已完工程量、结算与付款金额尚未提供，核量后替换，已付款需另行抵扣。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3. 数量来自现模型和原报价的预估，不作为施工测量。新价格为预算估列，尚未向施工或设备供应商询价。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4. 税费暂沿用原底稿1%口径。工程含税606000元，另留44000元项目预备费，合计650000元。预备费不是确定工程量或应付价，使用时需落实变更和实际税费。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5. 平台区预算为展示终端、五段演示与已有素材适配；不包含新建智慧管理后台、长期云服务或运营人员费用。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6. 设备条目包含专项安装调试，基础装修条目含本项施工人工；定制展具制作与通用布展人工分别列一次，避免重复。</w:t>
      </w:r>
    </w:p>
    <w:p>
      <w:pPr>
        <w:spacing w:after="120" w:line="280" w:lineRule="auto"/>
        <w:snapToGrid w:val="0"/>
        <w:keepNext/>
      </w:pPr>
      <w:r>
        <w:rPr>
          <w:rFonts w:eastAsia="仿宋_GB2312" w:ascii="宋体" w:hAnsi="宋体"/>
          <w:sz w:val="22"/>
          <w:szCs w:val="22"/>
          <w:color w:val="000000"/>
          <w:b/>
        </w:rPr>
        <w:t>清单优化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无人机与机器人模型建议本轮不列。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85寸电视由2台调整为1台。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6个1×1米小地形模型替换为1套县域真实地形。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16个通用小展台替换为方形地图台和5个五方展台。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分散AI画面与额外影像采集任务合并到六章的素材编辑与正式影像编排；确有必要时在相应条目内安排，不重复叠加。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城墙引流画面、停车场海报和小红书宣发建议暂不列入本轮展厅建设。</w:t>
      </w:r>
    </w:p>
    <w:p>
      <w:pPr>
        <w:spacing w:after="120" w:line="280" w:lineRule="auto"/>
        <w:snapToGrid w:val="0"/>
        <w:keepNext/>
      </w:pPr>
      <w:r>
        <w:rPr>
          <w:rFonts w:eastAsia="仿宋_GB2312" w:ascii="宋体" w:hAnsi="宋体"/>
          <w:sz w:val="22"/>
          <w:szCs w:val="22"/>
          <w:color w:val="000000"/>
          <w:b/>
        </w:rPr>
        <w:t>估算依据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依据原施工报价底稿和当前六章方案重组。原底稿税前250,123.45元、税费2,501.23元、含税252,624.68元，原71项优化为本表47项。</w:t>
      </w:r>
    </w:p>
    <w:p>
      <w:pPr>
        <w:spacing w:after="120" w:line="280" w:lineRule="auto"/>
        <w:snapToGrid w:val="0"/>
      </w:pPr>
      <w:r>
        <w:rPr>
          <w:rFonts w:eastAsia="仿宋_GB2312" w:ascii="宋体" w:hAnsi="宋体"/>
          <w:sz w:val="22"/>
          <w:szCs w:val="22"/>
          <w:color w:val="000000"/>
        </w:rPr>
        <w:t>投影设备技术档参考BenQ LU960ST官方规格；25,000元单台为本轮预算占位，不是该品牌供应商报价。</w:t>
      </w:r>
    </w:p>
    <w:sectPr w:rsidR="00FC2512" w:rsidRPr="00103B25">
      <w:pgSz w:w="11906" w:h="16838"/>
      <w:pgMar w:top="1559" w:right="1559" w:bottom="1417" w:left="1559" w:header="851" w:footer="992" w:gutter="0"/>
      <w:cols w:space="72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DCE5A" w14:textId="77777777" w:rsidR="00CF08F5" w:rsidRDefault="00CF08F5" w:rsidP="00103B25">
      <w:r>
        <w:separator/>
      </w:r>
    </w:p>
  </w:endnote>
  <w:endnote w:type="continuationSeparator" w:id="0">
    <w:p w14:paraId="1A73F72F" w14:textId="77777777" w:rsidR="00CF08F5" w:rsidRDefault="00CF08F5" w:rsidP="00103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AEF72" w14:textId="77777777" w:rsidR="00CF08F5" w:rsidRDefault="00CF08F5" w:rsidP="00103B25">
      <w:r>
        <w:separator/>
      </w:r>
    </w:p>
  </w:footnote>
  <w:footnote w:type="continuationSeparator" w:id="0">
    <w:p w14:paraId="0B865F55" w14:textId="77777777" w:rsidR="00CF08F5" w:rsidRDefault="00CF08F5" w:rsidP="00103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1E15C"/>
    <w:multiLevelType w:val="singleLevel"/>
    <w:tmpl w:val="76F1E15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B2"/>
    <w:rsid w:val="00103B25"/>
    <w:rsid w:val="00393585"/>
    <w:rsid w:val="003C0DB1"/>
    <w:rsid w:val="005379B9"/>
    <w:rsid w:val="005A5D81"/>
    <w:rsid w:val="007A34B2"/>
    <w:rsid w:val="00BC0BF5"/>
    <w:rsid w:val="00CF08F5"/>
    <w:rsid w:val="00D26A48"/>
    <w:rsid w:val="00E40B1A"/>
    <w:rsid w:val="00FC2512"/>
    <w:rsid w:val="00FE0104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3F393C"/>
  <w15:chartTrackingRefBased/>
  <w15:docId w15:val="{BBE4D4BA-2CF8-4796-A2D8-C42E39AB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B2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3B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3B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3B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3B25"/>
    <w:rPr>
      <w:sz w:val="18"/>
      <w:szCs w:val="18"/>
    </w:rPr>
  </w:style>
  <w:style w:type="paragraph" w:styleId="a7">
    <w:name w:val="List Paragraph"/>
    <w:basedOn w:val="a"/>
    <w:uiPriority w:val="34"/>
    <w:qFormat/>
    <w:rsid w:val="00103B25"/>
    <w:pPr>
      <w:ind w:firstLineChars="200" w:firstLine="420"/>
    </w:pPr>
  </w:style>
  <w:style w:type="paragraph" w:customStyle="1" w:styleId="1">
    <w:name w:val="正文1"/>
    <w:basedOn w:val="a"/>
    <w:qFormat/>
    <w:rsid w:val="00103B25"/>
    <w:pPr>
      <w:adjustRightInd w:val="0"/>
      <w:snapToGrid w:val="0"/>
      <w:spacing w:line="360" w:lineRule="auto"/>
      <w:ind w:leftChars="8" w:left="22" w:firstLineChars="200" w:firstLine="560"/>
    </w:pPr>
    <w:rPr>
      <w:rFonts w:eastAsia="仿宋_GB2312"/>
      <w:color w:val="000000"/>
      <w:sz w:val="28"/>
      <w:szCs w:val="21"/>
    </w:rPr>
  </w:style>
  <w:style w:type="paragraph" w:styleId="Title">
    <w:name w:val="Title"/>
    <w:basedOn w:val="a"/>
    <w:next w:val="a"/>
    <w:qFormat/>
    <w:pPr>
      <w:keepNext/>
      <w:jc w:val="center"/>
    </w:pPr>
    <w:rPr>
      <w:color w:val="000000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5</cp:revision>
  <dcterms:created xsi:type="dcterms:W3CDTF">2026-09-17T12:55:00Z</dcterms:created>
  <dcterms:modified xsi:type="dcterms:W3CDTF">2026-10-06T04:46:00Z</dcterms:modified>
</cp:coreProperties>
</file>