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3F1B" w14:textId="03857FDB" w:rsidR="006854C9" w:rsidRP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Formula: Working Capital = Current Assets - Current Liabilities.</w:t>
      </w:r>
    </w:p>
    <w:p w14:paraId="3F13F288" w14:textId="77777777" w:rsidR="006854C9" w:rsidRPr="001E582A" w:rsidRDefault="00000000">
      <w:pPr>
        <w:pStyle w:val="Heading2"/>
        <w:rPr>
          <w:sz w:val="20"/>
          <w:szCs w:val="20"/>
        </w:rPr>
      </w:pPr>
      <w:r w:rsidRPr="001E582A">
        <w:rPr>
          <w:sz w:val="20"/>
          <w:szCs w:val="20"/>
        </w:rPr>
        <w:t>2. Income Statement Basics</w:t>
      </w:r>
    </w:p>
    <w:p w14:paraId="35209DD5" w14:textId="38CD79F0" w:rsidR="006854C9" w:rsidRP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• Net Income Formula: Measures profitability after all expenses.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Net Income = Sales - Costs - Depreciation - Interest - Taxes</w:t>
      </w:r>
    </w:p>
    <w:p w14:paraId="0CCA8FA4" w14:textId="45183C45" w:rsidR="006854C9" w:rsidRP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• Operating Cash Flow (OCF): Tracks cash from core operations.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OCF = EBIT + Depreciation - Taxes</w:t>
      </w:r>
    </w:p>
    <w:p w14:paraId="51F539E7" w14:textId="77777777" w:rsidR="006854C9" w:rsidRPr="001E582A" w:rsidRDefault="00000000">
      <w:pPr>
        <w:pStyle w:val="Heading2"/>
        <w:rPr>
          <w:sz w:val="20"/>
          <w:szCs w:val="20"/>
        </w:rPr>
      </w:pPr>
      <w:r w:rsidRPr="001E582A">
        <w:rPr>
          <w:sz w:val="20"/>
          <w:szCs w:val="20"/>
        </w:rPr>
        <w:t>3. Present Value (PV) Formulas</w:t>
      </w:r>
    </w:p>
    <w:p w14:paraId="7520A415" w14:textId="75DFE0A8" w:rsidR="006854C9" w:rsidRP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• Growing Annuity PV: Used for withdrawals increasing annually.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PV = (P / (r - g)) * (</w:t>
      </w:r>
      <w:proofErr w:type="gramStart"/>
      <w:r w:rsidRPr="001E582A">
        <w:rPr>
          <w:sz w:val="16"/>
          <w:szCs w:val="16"/>
        </w:rPr>
        <w:t>1 - (</w:t>
      </w:r>
      <w:proofErr w:type="gramEnd"/>
      <w:r w:rsidRPr="001E582A">
        <w:rPr>
          <w:sz w:val="16"/>
          <w:szCs w:val="16"/>
        </w:rPr>
        <w:t>(1 + g) / (1 + r</w:t>
      </w:r>
      <w:proofErr w:type="gramStart"/>
      <w:r w:rsidRPr="001E582A">
        <w:rPr>
          <w:sz w:val="16"/>
          <w:szCs w:val="16"/>
        </w:rPr>
        <w:t>))^</w:t>
      </w:r>
      <w:proofErr w:type="gramEnd"/>
      <w:r w:rsidRPr="001E582A">
        <w:rPr>
          <w:sz w:val="16"/>
          <w:szCs w:val="16"/>
        </w:rPr>
        <w:t>n)</w:t>
      </w:r>
    </w:p>
    <w:p w14:paraId="3F62A78A" w14:textId="6A3915FC" w:rsidR="006854C9" w:rsidRP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• Growing Perpetuity PV: Value of payments growing indefinitely.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 xml:space="preserve"> PV = P / (r - g)</w:t>
      </w:r>
    </w:p>
    <w:p w14:paraId="46C235E5" w14:textId="77777777" w:rsidR="006854C9" w:rsidRPr="001E582A" w:rsidRDefault="00000000">
      <w:pPr>
        <w:pStyle w:val="Heading2"/>
        <w:rPr>
          <w:sz w:val="20"/>
          <w:szCs w:val="20"/>
        </w:rPr>
      </w:pPr>
      <w:r w:rsidRPr="001E582A">
        <w:rPr>
          <w:sz w:val="20"/>
          <w:szCs w:val="20"/>
        </w:rPr>
        <w:t>4. Working Capital and Net Worth</w:t>
      </w:r>
    </w:p>
    <w:p w14:paraId="77997048" w14:textId="2828B672" w:rsidR="006854C9" w:rsidRP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• Net Working Capital (NWC): Measures short-term financial health.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NWC = Current Assets - Current Liabilities</w:t>
      </w:r>
    </w:p>
    <w:p w14:paraId="36BF1161" w14:textId="060C5DE3" w:rsidR="006854C9" w:rsidRP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• Shareholders' Equity: Determines owner’s value in the firm.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Equity = Assets - Liabilities</w:t>
      </w:r>
    </w:p>
    <w:p w14:paraId="5B0A9998" w14:textId="77777777" w:rsidR="006854C9" w:rsidRPr="001E582A" w:rsidRDefault="00000000">
      <w:pPr>
        <w:pStyle w:val="Heading2"/>
        <w:rPr>
          <w:sz w:val="20"/>
          <w:szCs w:val="20"/>
        </w:rPr>
      </w:pPr>
      <w:r w:rsidRPr="001E582A">
        <w:rPr>
          <w:sz w:val="20"/>
          <w:szCs w:val="20"/>
        </w:rPr>
        <w:t>5. Depreciation Expense</w:t>
      </w:r>
    </w:p>
    <w:p w14:paraId="3558F8B1" w14:textId="6C4B02FB" w:rsidR="006854C9" w:rsidRP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• Depreciation Expense Formula: Used for income statements.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Depreciation = EBIT - (Sales - Costs)</w:t>
      </w:r>
    </w:p>
    <w:p w14:paraId="314975BE" w14:textId="77777777" w:rsidR="006854C9" w:rsidRPr="001E582A" w:rsidRDefault="00000000">
      <w:pPr>
        <w:pStyle w:val="Heading2"/>
        <w:rPr>
          <w:sz w:val="20"/>
          <w:szCs w:val="20"/>
        </w:rPr>
      </w:pPr>
      <w:r w:rsidRPr="001E582A">
        <w:rPr>
          <w:sz w:val="20"/>
          <w:szCs w:val="20"/>
        </w:rPr>
        <w:t>6. Effective Annual Rate (EAR)</w:t>
      </w:r>
    </w:p>
    <w:p w14:paraId="324A4167" w14:textId="5C71E9B9" w:rsidR="006854C9" w:rsidRP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• Formula: EAR accounts for compounding interest.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 xml:space="preserve"> EAR = (1 + r/</w:t>
      </w:r>
      <w:proofErr w:type="gramStart"/>
      <w:r w:rsidRPr="001E582A">
        <w:rPr>
          <w:sz w:val="16"/>
          <w:szCs w:val="16"/>
        </w:rPr>
        <w:t>n)^</w:t>
      </w:r>
      <w:proofErr w:type="gramEnd"/>
      <w:r w:rsidRPr="001E582A">
        <w:rPr>
          <w:sz w:val="16"/>
          <w:szCs w:val="16"/>
        </w:rPr>
        <w:t xml:space="preserve">n </w:t>
      </w:r>
      <w:r w:rsidR="001E582A" w:rsidRPr="001E582A">
        <w:rPr>
          <w:sz w:val="16"/>
          <w:szCs w:val="16"/>
        </w:rPr>
        <w:t>–</w:t>
      </w:r>
      <w:r w:rsidRPr="001E582A">
        <w:rPr>
          <w:sz w:val="16"/>
          <w:szCs w:val="16"/>
        </w:rPr>
        <w:t xml:space="preserve"> 1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Where</w:t>
      </w:r>
      <w:r w:rsidR="001E582A" w:rsidRPr="001E582A">
        <w:rPr>
          <w:sz w:val="16"/>
          <w:szCs w:val="16"/>
        </w:rPr>
        <w:t>:</w:t>
      </w:r>
      <w:r w:rsidRPr="001E582A">
        <w:rPr>
          <w:sz w:val="16"/>
          <w:szCs w:val="16"/>
        </w:rPr>
        <w:t xml:space="preserve">  - r: Nominal rate (e.g., 12%)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- n: Number of compounding periods (Semi-Annual: n=2, Monthly: n=12, etc.)</w:t>
      </w:r>
    </w:p>
    <w:p w14:paraId="65BBDEB0" w14:textId="77777777" w:rsidR="006854C9" w:rsidRPr="001E582A" w:rsidRDefault="00000000">
      <w:pPr>
        <w:pStyle w:val="Heading2"/>
        <w:rPr>
          <w:sz w:val="20"/>
          <w:szCs w:val="20"/>
        </w:rPr>
      </w:pPr>
      <w:r w:rsidRPr="001E582A">
        <w:rPr>
          <w:sz w:val="20"/>
          <w:szCs w:val="20"/>
        </w:rPr>
        <w:t>7. Taxation</w:t>
      </w:r>
    </w:p>
    <w:p w14:paraId="2D288EB1" w14:textId="77777777" w:rsidR="001E582A" w:rsidRDefault="00000000">
      <w:pPr>
        <w:rPr>
          <w:sz w:val="16"/>
          <w:szCs w:val="16"/>
        </w:rPr>
      </w:pPr>
      <w:r w:rsidRPr="001E582A">
        <w:rPr>
          <w:sz w:val="16"/>
          <w:szCs w:val="16"/>
        </w:rPr>
        <w:t>• Income Tax Formula: Calculates tax liabilities.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Taxes = Taxable Income × Tax Rate</w:t>
      </w:r>
      <w:r w:rsid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Average Tax Rate:</w:t>
      </w:r>
      <w:r w:rsidR="001E582A" w:rsidRP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 xml:space="preserve">Avg Rate = Taxes / Taxable </w:t>
      </w:r>
      <w:proofErr w:type="gramStart"/>
      <w:r w:rsidRPr="001E582A">
        <w:rPr>
          <w:sz w:val="16"/>
          <w:szCs w:val="16"/>
        </w:rPr>
        <w:t>Income</w:t>
      </w:r>
      <w:r w:rsidR="001E582A"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 xml:space="preserve"> Marginal</w:t>
      </w:r>
      <w:proofErr w:type="gramEnd"/>
      <w:r w:rsidRPr="001E582A">
        <w:rPr>
          <w:sz w:val="16"/>
          <w:szCs w:val="16"/>
        </w:rPr>
        <w:t xml:space="preserve"> Tax Rate: Rate applied to the next dollar earned.</w:t>
      </w:r>
      <w:r w:rsidR="001E582A">
        <w:rPr>
          <w:sz w:val="16"/>
          <w:szCs w:val="16"/>
        </w:rPr>
        <w:t xml:space="preserve"> Formula for Income Tax: </w:t>
      </w:r>
      <w:r w:rsidR="001E582A" w:rsidRPr="001E582A">
        <w:rPr>
          <w:sz w:val="16"/>
          <w:szCs w:val="16"/>
        </w:rPr>
        <w:drawing>
          <wp:inline distT="0" distB="0" distL="0" distR="0" wp14:anchorId="75A930EE" wp14:editId="1DF781E5">
            <wp:extent cx="3619500" cy="376896"/>
            <wp:effectExtent l="0" t="0" r="0" b="4445"/>
            <wp:docPr id="1162867498" name="Picture 1" descr="A white rect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67498" name="Picture 1" descr="A white rectangle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382" cy="38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450D" w14:textId="225E4D4D" w:rsidR="001E582A" w:rsidRDefault="001E582A">
      <w:pPr>
        <w:rPr>
          <w:sz w:val="16"/>
          <w:szCs w:val="16"/>
        </w:rPr>
      </w:pPr>
      <w:r>
        <w:rPr>
          <w:sz w:val="16"/>
          <w:szCs w:val="16"/>
        </w:rPr>
        <w:t>Income Tax</w:t>
      </w:r>
      <w:proofErr w:type="gramStart"/>
      <w:r w:rsidRPr="001E582A">
        <w:rPr>
          <w:sz w:val="16"/>
          <w:szCs w:val="16"/>
        </w:rPr>
        <w:t>=(</w:t>
      </w:r>
      <w:proofErr w:type="gramEnd"/>
      <w:r w:rsidRPr="001E582A">
        <w:rPr>
          <w:sz w:val="16"/>
          <w:szCs w:val="16"/>
        </w:rPr>
        <w:t>9950*10%+(40525-9950)*12%+(86375-40525)*22%+(164925-86375)*24%+(198000-164925)*32%)</w:t>
      </w:r>
    </w:p>
    <w:p w14:paraId="4300A032" w14:textId="77777777" w:rsidR="004640F4" w:rsidRDefault="004640F4">
      <w:pPr>
        <w:rPr>
          <w:sz w:val="16"/>
          <w:szCs w:val="16"/>
        </w:rPr>
      </w:pPr>
    </w:p>
    <w:p w14:paraId="654750C1" w14:textId="77777777" w:rsidR="004640F4" w:rsidRDefault="004640F4">
      <w:pPr>
        <w:rPr>
          <w:sz w:val="16"/>
          <w:szCs w:val="16"/>
        </w:rPr>
      </w:pPr>
    </w:p>
    <w:p w14:paraId="089E1853" w14:textId="77777777" w:rsidR="004640F4" w:rsidRDefault="004640F4">
      <w:pPr>
        <w:rPr>
          <w:sz w:val="16"/>
          <w:szCs w:val="16"/>
        </w:rPr>
      </w:pPr>
    </w:p>
    <w:p w14:paraId="11828A7A" w14:textId="77777777" w:rsidR="004640F4" w:rsidRDefault="004640F4">
      <w:pPr>
        <w:rPr>
          <w:sz w:val="16"/>
          <w:szCs w:val="16"/>
        </w:rPr>
      </w:pPr>
    </w:p>
    <w:p w14:paraId="2276BF26" w14:textId="77777777" w:rsidR="004640F4" w:rsidRDefault="004640F4">
      <w:pPr>
        <w:rPr>
          <w:sz w:val="16"/>
          <w:szCs w:val="16"/>
        </w:rPr>
      </w:pPr>
    </w:p>
    <w:p w14:paraId="6867B3CA" w14:textId="77777777" w:rsidR="004640F4" w:rsidRDefault="004640F4">
      <w:pPr>
        <w:rPr>
          <w:sz w:val="16"/>
          <w:szCs w:val="16"/>
        </w:rPr>
      </w:pPr>
    </w:p>
    <w:p w14:paraId="79C33E25" w14:textId="77777777" w:rsidR="004640F4" w:rsidRDefault="004640F4">
      <w:pPr>
        <w:rPr>
          <w:sz w:val="16"/>
          <w:szCs w:val="16"/>
        </w:rPr>
      </w:pPr>
    </w:p>
    <w:p w14:paraId="525786F1" w14:textId="77777777" w:rsidR="004640F4" w:rsidRDefault="004640F4">
      <w:pPr>
        <w:rPr>
          <w:sz w:val="16"/>
          <w:szCs w:val="16"/>
        </w:rPr>
      </w:pPr>
    </w:p>
    <w:p w14:paraId="008A5FA4" w14:textId="77777777" w:rsidR="004640F4" w:rsidRDefault="004640F4">
      <w:pPr>
        <w:rPr>
          <w:sz w:val="16"/>
          <w:szCs w:val="16"/>
        </w:rPr>
      </w:pPr>
    </w:p>
    <w:p w14:paraId="76E298A1" w14:textId="77777777" w:rsidR="004640F4" w:rsidRDefault="004640F4">
      <w:pPr>
        <w:rPr>
          <w:sz w:val="16"/>
          <w:szCs w:val="16"/>
        </w:rPr>
      </w:pPr>
    </w:p>
    <w:p w14:paraId="3405A823" w14:textId="77777777" w:rsidR="004640F4" w:rsidRDefault="004640F4">
      <w:pPr>
        <w:rPr>
          <w:sz w:val="16"/>
          <w:szCs w:val="16"/>
        </w:rPr>
      </w:pPr>
    </w:p>
    <w:p w14:paraId="7A67FFAA" w14:textId="77777777" w:rsidR="004640F4" w:rsidRDefault="004640F4">
      <w:pPr>
        <w:rPr>
          <w:sz w:val="16"/>
          <w:szCs w:val="16"/>
        </w:rPr>
      </w:pPr>
    </w:p>
    <w:p w14:paraId="516DC227" w14:textId="77777777" w:rsidR="004640F4" w:rsidRDefault="004640F4">
      <w:pPr>
        <w:rPr>
          <w:sz w:val="16"/>
          <w:szCs w:val="16"/>
        </w:rPr>
      </w:pPr>
    </w:p>
    <w:p w14:paraId="6C12D841" w14:textId="77777777" w:rsidR="004640F4" w:rsidRDefault="004640F4">
      <w:pPr>
        <w:rPr>
          <w:sz w:val="16"/>
          <w:szCs w:val="16"/>
        </w:rPr>
      </w:pPr>
    </w:p>
    <w:p w14:paraId="1FC581E5" w14:textId="77777777" w:rsidR="004640F4" w:rsidRPr="001E582A" w:rsidRDefault="004640F4" w:rsidP="004640F4">
      <w:pPr>
        <w:rPr>
          <w:sz w:val="16"/>
          <w:szCs w:val="16"/>
        </w:rPr>
      </w:pPr>
      <w:r w:rsidRPr="001E582A">
        <w:rPr>
          <w:sz w:val="16"/>
          <w:szCs w:val="16"/>
        </w:rPr>
        <w:t>• Current Ratio: Measures liquidity. Current Ratio = Current Assets / Current Liabilities</w:t>
      </w:r>
    </w:p>
    <w:p w14:paraId="771500FC" w14:textId="77777777" w:rsidR="004640F4" w:rsidRPr="001E582A" w:rsidRDefault="004640F4" w:rsidP="004640F4">
      <w:pPr>
        <w:rPr>
          <w:sz w:val="16"/>
          <w:szCs w:val="16"/>
        </w:rPr>
      </w:pPr>
      <w:r w:rsidRPr="001E582A">
        <w:rPr>
          <w:sz w:val="16"/>
          <w:szCs w:val="16"/>
        </w:rPr>
        <w:t>• Debt-to-Equity Ratio: Evaluates financial leverage. Debt-to-Equity = Total Debt / Total Equity</w:t>
      </w:r>
    </w:p>
    <w:p w14:paraId="7BD3B8BB" w14:textId="77777777" w:rsidR="004640F4" w:rsidRPr="001E582A" w:rsidRDefault="004640F4" w:rsidP="004640F4">
      <w:pPr>
        <w:rPr>
          <w:sz w:val="16"/>
          <w:szCs w:val="16"/>
        </w:rPr>
      </w:pPr>
      <w:r w:rsidRPr="001E582A">
        <w:rPr>
          <w:sz w:val="16"/>
          <w:szCs w:val="16"/>
        </w:rPr>
        <w:t>• Securities Act of 1933: Ensures investors receive financial disclosures and prevents fraud.</w:t>
      </w:r>
    </w:p>
    <w:p w14:paraId="0462E170" w14:textId="77777777" w:rsidR="004640F4" w:rsidRPr="001E582A" w:rsidRDefault="004640F4" w:rsidP="004640F4">
      <w:pPr>
        <w:rPr>
          <w:sz w:val="16"/>
          <w:szCs w:val="16"/>
        </w:rPr>
      </w:pPr>
      <w:r w:rsidRPr="001E582A">
        <w:rPr>
          <w:sz w:val="16"/>
          <w:szCs w:val="16"/>
        </w:rPr>
        <w:t>• Securities Exchange Act of 1934: Created the SEC (Securities and Exchange Commission) to regulate markets.</w:t>
      </w:r>
    </w:p>
    <w:p w14:paraId="606F30C5" w14:textId="77777777" w:rsidR="004640F4" w:rsidRPr="001E582A" w:rsidRDefault="004640F4" w:rsidP="004640F4">
      <w:pPr>
        <w:rPr>
          <w:sz w:val="16"/>
          <w:szCs w:val="16"/>
        </w:rPr>
      </w:pPr>
      <w:r w:rsidRPr="001E582A">
        <w:rPr>
          <w:sz w:val="16"/>
          <w:szCs w:val="16"/>
        </w:rPr>
        <w:t>• Sarbanes-Oxley Act of 2002: Implemented stricter corporate governance to prevent fraud post-Enron &amp; WorldCom scandals.</w:t>
      </w:r>
    </w:p>
    <w:p w14:paraId="24AEE06B" w14:textId="77777777" w:rsidR="004640F4" w:rsidRPr="001E582A" w:rsidRDefault="004640F4" w:rsidP="004640F4">
      <w:pPr>
        <w:rPr>
          <w:sz w:val="16"/>
          <w:szCs w:val="16"/>
        </w:rPr>
      </w:pPr>
      <w:r w:rsidRPr="001E582A">
        <w:rPr>
          <w:sz w:val="16"/>
          <w:szCs w:val="16"/>
        </w:rPr>
        <w:t>• Dodd-Frank Act of 2010: Increased financial regulations and consumer protections. Created the CFPB (Consumer Financial Protection Bureau).</w:t>
      </w:r>
    </w:p>
    <w:p w14:paraId="63E41D18" w14:textId="77777777" w:rsidR="004640F4" w:rsidRPr="001E582A" w:rsidRDefault="004640F4" w:rsidP="004640F4">
      <w:pPr>
        <w:rPr>
          <w:sz w:val="16"/>
          <w:szCs w:val="16"/>
        </w:rPr>
      </w:pPr>
      <w:r w:rsidRPr="001E582A">
        <w:rPr>
          <w:sz w:val="16"/>
          <w:szCs w:val="16"/>
        </w:rPr>
        <w:t>• Sole Proprietorship: Owner is fully liable; no separation between business and personal assets</w:t>
      </w:r>
      <w:r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Partnership: Shared responsibility between partners, but each is personally liable</w:t>
      </w:r>
      <w:r>
        <w:rPr>
          <w:sz w:val="16"/>
          <w:szCs w:val="16"/>
        </w:rPr>
        <w:t xml:space="preserve">. </w:t>
      </w:r>
      <w:r w:rsidRPr="001E582A">
        <w:rPr>
          <w:sz w:val="16"/>
          <w:szCs w:val="16"/>
        </w:rPr>
        <w:t xml:space="preserve"> Limited Partnership (LP): Investors have limited liability, but general partners manage the business and assume risk. Limited Liability Company (LLC): Separates personal and business assets for protection.</w:t>
      </w:r>
      <w:r>
        <w:rPr>
          <w:sz w:val="16"/>
          <w:szCs w:val="16"/>
        </w:rPr>
        <w:t xml:space="preserve"> </w:t>
      </w:r>
      <w:r w:rsidRPr="001E582A">
        <w:rPr>
          <w:sz w:val="16"/>
          <w:szCs w:val="16"/>
        </w:rPr>
        <w:t>Corporation: Separate legal entity with limited liability, but subject to double taxation (corporate and shareholder level).</w:t>
      </w:r>
    </w:p>
    <w:p w14:paraId="3B900967" w14:textId="77777777" w:rsidR="004640F4" w:rsidRDefault="004640F4">
      <w:pPr>
        <w:rPr>
          <w:sz w:val="16"/>
          <w:szCs w:val="16"/>
        </w:rPr>
      </w:pPr>
    </w:p>
    <w:sectPr w:rsidR="004640F4" w:rsidSect="00035E2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E67AE" w14:textId="77777777" w:rsidR="00393FEB" w:rsidRDefault="00393FEB" w:rsidP="00035E26">
      <w:pPr>
        <w:spacing w:after="0" w:line="240" w:lineRule="auto"/>
      </w:pPr>
      <w:r>
        <w:separator/>
      </w:r>
    </w:p>
  </w:endnote>
  <w:endnote w:type="continuationSeparator" w:id="0">
    <w:p w14:paraId="6A57DC86" w14:textId="77777777" w:rsidR="00393FEB" w:rsidRDefault="00393FEB" w:rsidP="000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6438" w14:textId="77777777" w:rsidR="00393FEB" w:rsidRDefault="00393FEB" w:rsidP="00035E26">
      <w:pPr>
        <w:spacing w:after="0" w:line="240" w:lineRule="auto"/>
      </w:pPr>
      <w:r>
        <w:separator/>
      </w:r>
    </w:p>
  </w:footnote>
  <w:footnote w:type="continuationSeparator" w:id="0">
    <w:p w14:paraId="747D6C7D" w14:textId="77777777" w:rsidR="00393FEB" w:rsidRDefault="00393FEB" w:rsidP="00035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4CE61" w14:textId="657225B4" w:rsidR="00035E26" w:rsidRDefault="00035E26">
    <w:pPr>
      <w:pStyle w:val="Header"/>
    </w:pPr>
    <w:r w:rsidRPr="00035E26">
      <w:drawing>
        <wp:inline distT="0" distB="0" distL="0" distR="0" wp14:anchorId="671D5AA2" wp14:editId="5C782469">
          <wp:extent cx="3028950" cy="703249"/>
          <wp:effectExtent l="0" t="0" r="0" b="1905"/>
          <wp:docPr id="1704815711" name="Picture 1" descr="A black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4815711" name="Picture 1" descr="A black background with white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029" cy="720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001982">
    <w:abstractNumId w:val="8"/>
  </w:num>
  <w:num w:numId="2" w16cid:durableId="456026672">
    <w:abstractNumId w:val="6"/>
  </w:num>
  <w:num w:numId="3" w16cid:durableId="1726876992">
    <w:abstractNumId w:val="5"/>
  </w:num>
  <w:num w:numId="4" w16cid:durableId="720323507">
    <w:abstractNumId w:val="4"/>
  </w:num>
  <w:num w:numId="5" w16cid:durableId="2006084979">
    <w:abstractNumId w:val="7"/>
  </w:num>
  <w:num w:numId="6" w16cid:durableId="1093623598">
    <w:abstractNumId w:val="3"/>
  </w:num>
  <w:num w:numId="7" w16cid:durableId="716512072">
    <w:abstractNumId w:val="2"/>
  </w:num>
  <w:num w:numId="8" w16cid:durableId="1694500425">
    <w:abstractNumId w:val="1"/>
  </w:num>
  <w:num w:numId="9" w16cid:durableId="14432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E26"/>
    <w:rsid w:val="0006063C"/>
    <w:rsid w:val="0015074B"/>
    <w:rsid w:val="001E582A"/>
    <w:rsid w:val="0029639D"/>
    <w:rsid w:val="00326F90"/>
    <w:rsid w:val="00393FEB"/>
    <w:rsid w:val="00457C4E"/>
    <w:rsid w:val="004640F4"/>
    <w:rsid w:val="006854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8D955FF"/>
  <w14:defaultImageDpi w14:val="300"/>
  <w15:docId w15:val="{D9C25243-D09B-4605-80C8-B56D5C46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Jacob Edwards</cp:lastModifiedBy>
  <cp:revision>3</cp:revision>
  <dcterms:created xsi:type="dcterms:W3CDTF">2013-12-23T23:15:00Z</dcterms:created>
  <dcterms:modified xsi:type="dcterms:W3CDTF">2025-01-29T18:56:00Z</dcterms:modified>
  <cp:category/>
</cp:coreProperties>
</file>