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E753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1: Title Slide</w:t>
      </w:r>
    </w:p>
    <w:p w14:paraId="04A00351" w14:textId="77777777" w:rsidR="00111185" w:rsidRPr="00111185" w:rsidRDefault="00111185" w:rsidP="00111185">
      <w:pPr>
        <w:numPr>
          <w:ilvl w:val="0"/>
          <w:numId w:val="1"/>
        </w:numPr>
      </w:pPr>
      <w:r w:rsidRPr="00111185">
        <w:rPr>
          <w:b/>
          <w:bCs/>
        </w:rPr>
        <w:t>Title:</w:t>
      </w:r>
      <w:r w:rsidRPr="00111185">
        <w:t xml:space="preserve"> New Balance: Evaluating the Sneaker 2013 Project</w:t>
      </w:r>
    </w:p>
    <w:p w14:paraId="09ABFBB2" w14:textId="77777777" w:rsidR="00111185" w:rsidRPr="00111185" w:rsidRDefault="00111185" w:rsidP="00111185">
      <w:pPr>
        <w:numPr>
          <w:ilvl w:val="0"/>
          <w:numId w:val="1"/>
        </w:numPr>
      </w:pPr>
      <w:r w:rsidRPr="00111185">
        <w:rPr>
          <w:b/>
          <w:bCs/>
        </w:rPr>
        <w:t>Subtitle:</w:t>
      </w:r>
      <w:r w:rsidRPr="00111185">
        <w:t xml:space="preserve"> A Financial and Strategic Analysis</w:t>
      </w:r>
    </w:p>
    <w:p w14:paraId="25E387CA" w14:textId="77777777" w:rsidR="00111185" w:rsidRPr="00111185" w:rsidRDefault="00111185" w:rsidP="00111185">
      <w:pPr>
        <w:numPr>
          <w:ilvl w:val="0"/>
          <w:numId w:val="1"/>
        </w:numPr>
      </w:pPr>
      <w:r w:rsidRPr="00111185">
        <w:rPr>
          <w:b/>
          <w:bCs/>
        </w:rPr>
        <w:t>Company Logo &amp; Presenter’s Name</w:t>
      </w:r>
    </w:p>
    <w:p w14:paraId="24DD1A71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2: Introduction &amp; Background</w:t>
      </w:r>
    </w:p>
    <w:p w14:paraId="514C2DA0" w14:textId="77777777" w:rsidR="00111185" w:rsidRPr="00111185" w:rsidRDefault="00111185" w:rsidP="00111185">
      <w:pPr>
        <w:numPr>
          <w:ilvl w:val="0"/>
          <w:numId w:val="2"/>
        </w:numPr>
      </w:pPr>
      <w:r w:rsidRPr="00111185">
        <w:rPr>
          <w:b/>
          <w:bCs/>
        </w:rPr>
        <w:t>Overview of New Balance</w:t>
      </w:r>
      <w:r w:rsidRPr="00111185">
        <w:t xml:space="preserve"> (Founded in 1906, known for quality, sustainability, and domestic production)</w:t>
      </w:r>
    </w:p>
    <w:p w14:paraId="727F4563" w14:textId="77777777" w:rsidR="00111185" w:rsidRPr="00111185" w:rsidRDefault="00111185" w:rsidP="00111185">
      <w:pPr>
        <w:numPr>
          <w:ilvl w:val="0"/>
          <w:numId w:val="2"/>
        </w:numPr>
      </w:pPr>
      <w:r w:rsidRPr="00111185">
        <w:rPr>
          <w:b/>
          <w:bCs/>
        </w:rPr>
        <w:t>Current Market Position</w:t>
      </w:r>
      <w:r w:rsidRPr="00111185">
        <w:t xml:space="preserve"> (Strong with older demographics, opportunity in younger markets)</w:t>
      </w:r>
    </w:p>
    <w:p w14:paraId="1795E73F" w14:textId="77777777" w:rsidR="00111185" w:rsidRPr="00111185" w:rsidRDefault="00111185" w:rsidP="00111185">
      <w:pPr>
        <w:numPr>
          <w:ilvl w:val="0"/>
          <w:numId w:val="2"/>
        </w:numPr>
      </w:pPr>
      <w:r w:rsidRPr="00111185">
        <w:rPr>
          <w:b/>
          <w:bCs/>
        </w:rPr>
        <w:t>Objective:</w:t>
      </w:r>
      <w:r w:rsidRPr="00111185">
        <w:t xml:space="preserve"> Expand reach into 12-18-year-old male segment</w:t>
      </w:r>
    </w:p>
    <w:p w14:paraId="6CD50E29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3: Market Opportunity &amp; Competitive Landscape</w:t>
      </w:r>
    </w:p>
    <w:p w14:paraId="448D3687" w14:textId="77777777" w:rsidR="00111185" w:rsidRPr="00111185" w:rsidRDefault="00111185" w:rsidP="00111185">
      <w:pPr>
        <w:numPr>
          <w:ilvl w:val="0"/>
          <w:numId w:val="3"/>
        </w:numPr>
      </w:pPr>
      <w:r w:rsidRPr="00111185">
        <w:rPr>
          <w:b/>
          <w:bCs/>
        </w:rPr>
        <w:t>Rival Strategy:</w:t>
      </w:r>
      <w:r w:rsidRPr="00111185">
        <w:t xml:space="preserve"> Nike, Adidas leveraging Olympic athlete endorsements</w:t>
      </w:r>
    </w:p>
    <w:p w14:paraId="7871A7CA" w14:textId="77777777" w:rsidR="00111185" w:rsidRPr="00111185" w:rsidRDefault="00111185" w:rsidP="00111185">
      <w:pPr>
        <w:numPr>
          <w:ilvl w:val="0"/>
          <w:numId w:val="3"/>
        </w:numPr>
      </w:pPr>
      <w:r w:rsidRPr="00111185">
        <w:rPr>
          <w:b/>
          <w:bCs/>
        </w:rPr>
        <w:t>New Balance’s Response:</w:t>
      </w:r>
      <w:r w:rsidRPr="00111185">
        <w:t xml:space="preserve"> Signing Kirani James (Olympic gold medalist)</w:t>
      </w:r>
    </w:p>
    <w:p w14:paraId="3B3EECEA" w14:textId="77777777" w:rsidR="00111185" w:rsidRPr="00111185" w:rsidRDefault="00111185" w:rsidP="00111185">
      <w:pPr>
        <w:numPr>
          <w:ilvl w:val="0"/>
          <w:numId w:val="3"/>
        </w:numPr>
      </w:pPr>
      <w:r w:rsidRPr="00111185">
        <w:rPr>
          <w:b/>
          <w:bCs/>
        </w:rPr>
        <w:t>Sneaker 2013 Strategy:</w:t>
      </w:r>
      <w:r w:rsidRPr="00111185">
        <w:t xml:space="preserve"> High-tech, premium sneaker at a competitive price ($200)</w:t>
      </w:r>
    </w:p>
    <w:p w14:paraId="7813A2A6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4: Project Overview – Sneaker 2013 vs. Persistence</w:t>
      </w:r>
    </w:p>
    <w:p w14:paraId="2453ABC0" w14:textId="77777777" w:rsidR="00111185" w:rsidRPr="00111185" w:rsidRDefault="00111185" w:rsidP="00111185">
      <w:pPr>
        <w:numPr>
          <w:ilvl w:val="0"/>
          <w:numId w:val="4"/>
        </w:numPr>
      </w:pPr>
      <w:r w:rsidRPr="00111185">
        <w:rPr>
          <w:b/>
          <w:bCs/>
        </w:rPr>
        <w:t>Sneaker 2013:</w:t>
      </w:r>
      <w:r w:rsidRPr="00111185">
        <w:t xml:space="preserve"> New running shoe targeting younger athletes</w:t>
      </w:r>
    </w:p>
    <w:p w14:paraId="38F09887" w14:textId="77777777" w:rsidR="00111185" w:rsidRPr="00111185" w:rsidRDefault="00111185" w:rsidP="00111185">
      <w:pPr>
        <w:numPr>
          <w:ilvl w:val="0"/>
          <w:numId w:val="4"/>
        </w:numPr>
      </w:pPr>
      <w:r w:rsidRPr="00111185">
        <w:rPr>
          <w:b/>
          <w:bCs/>
        </w:rPr>
        <w:t>Persistence:</w:t>
      </w:r>
      <w:r w:rsidRPr="00111185">
        <w:t xml:space="preserve"> Hiking shoe aimed at 25-40-year-old segment</w:t>
      </w:r>
    </w:p>
    <w:p w14:paraId="01183A3B" w14:textId="77777777" w:rsidR="00111185" w:rsidRPr="00111185" w:rsidRDefault="00111185" w:rsidP="00111185">
      <w:pPr>
        <w:numPr>
          <w:ilvl w:val="0"/>
          <w:numId w:val="4"/>
        </w:numPr>
      </w:pPr>
      <w:r w:rsidRPr="00111185">
        <w:rPr>
          <w:b/>
          <w:bCs/>
        </w:rPr>
        <w:t>Strategic Focus:</w:t>
      </w:r>
      <w:r w:rsidRPr="00111185">
        <w:t xml:space="preserve"> Choosing the more profitable &amp; market-relevant initiative</w:t>
      </w:r>
    </w:p>
    <w:p w14:paraId="197E8BFA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5: Initial Investment &amp; Capital Requirements</w:t>
      </w:r>
    </w:p>
    <w:p w14:paraId="26CCC58C" w14:textId="77777777" w:rsidR="00111185" w:rsidRPr="00111185" w:rsidRDefault="00111185" w:rsidP="00111185">
      <w:pPr>
        <w:numPr>
          <w:ilvl w:val="0"/>
          <w:numId w:val="5"/>
        </w:numPr>
      </w:pPr>
      <w:r w:rsidRPr="00111185">
        <w:rPr>
          <w:b/>
          <w:bCs/>
        </w:rPr>
        <w:t>New Manufacturing Facility in Vietnam:</w:t>
      </w:r>
      <w:r w:rsidRPr="00111185">
        <w:t xml:space="preserve"> $150M</w:t>
      </w:r>
    </w:p>
    <w:p w14:paraId="18C35508" w14:textId="77777777" w:rsidR="00111185" w:rsidRPr="00111185" w:rsidRDefault="00111185" w:rsidP="00111185">
      <w:pPr>
        <w:numPr>
          <w:ilvl w:val="0"/>
          <w:numId w:val="5"/>
        </w:numPr>
      </w:pPr>
      <w:r w:rsidRPr="00111185">
        <w:rPr>
          <w:b/>
          <w:bCs/>
        </w:rPr>
        <w:t>Production Equipment Cost:</w:t>
      </w:r>
      <w:r w:rsidRPr="00111185">
        <w:t xml:space="preserve"> $15M + $5M (installation)</w:t>
      </w:r>
    </w:p>
    <w:p w14:paraId="18A1C27A" w14:textId="77777777" w:rsidR="00111185" w:rsidRPr="00111185" w:rsidRDefault="00111185" w:rsidP="00111185">
      <w:pPr>
        <w:numPr>
          <w:ilvl w:val="0"/>
          <w:numId w:val="5"/>
        </w:numPr>
      </w:pPr>
      <w:r w:rsidRPr="00111185">
        <w:rPr>
          <w:b/>
          <w:bCs/>
        </w:rPr>
        <w:t>Total Initial Investment:</w:t>
      </w:r>
      <w:r w:rsidRPr="00111185">
        <w:t xml:space="preserve"> $180M</w:t>
      </w:r>
    </w:p>
    <w:p w14:paraId="10AE84BF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6: Financial Considerations</w:t>
      </w:r>
    </w:p>
    <w:p w14:paraId="12275AFC" w14:textId="77777777" w:rsidR="00111185" w:rsidRPr="00111185" w:rsidRDefault="00111185" w:rsidP="00111185">
      <w:pPr>
        <w:numPr>
          <w:ilvl w:val="0"/>
          <w:numId w:val="6"/>
        </w:numPr>
      </w:pPr>
      <w:r w:rsidRPr="00111185">
        <w:rPr>
          <w:b/>
          <w:bCs/>
        </w:rPr>
        <w:t>R&amp;D Expenses:</w:t>
      </w:r>
      <w:r w:rsidRPr="00111185">
        <w:t xml:space="preserve"> $2M (already invested)</w:t>
      </w:r>
    </w:p>
    <w:p w14:paraId="0ADA2B3D" w14:textId="77777777" w:rsidR="00111185" w:rsidRPr="00111185" w:rsidRDefault="00111185" w:rsidP="00111185">
      <w:pPr>
        <w:numPr>
          <w:ilvl w:val="0"/>
          <w:numId w:val="6"/>
        </w:numPr>
      </w:pPr>
      <w:r w:rsidRPr="00111185">
        <w:rPr>
          <w:b/>
          <w:bCs/>
        </w:rPr>
        <w:t>Marketing Budget (2013-2018):</w:t>
      </w:r>
      <w:r w:rsidRPr="00111185">
        <w:t xml:space="preserve"> Ranging from $10M to $30M per year</w:t>
      </w:r>
    </w:p>
    <w:p w14:paraId="6EB96909" w14:textId="77777777" w:rsidR="00111185" w:rsidRPr="00111185" w:rsidRDefault="00111185" w:rsidP="00111185">
      <w:pPr>
        <w:numPr>
          <w:ilvl w:val="0"/>
          <w:numId w:val="6"/>
        </w:numPr>
      </w:pPr>
      <w:r w:rsidRPr="00111185">
        <w:rPr>
          <w:b/>
          <w:bCs/>
        </w:rPr>
        <w:t>Athlete Endorsement (Kirani James):</w:t>
      </w:r>
      <w:r w:rsidRPr="00111185">
        <w:t xml:space="preserve"> $2M per year + $1M performance bonus</w:t>
      </w:r>
    </w:p>
    <w:p w14:paraId="59FF645C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7: Revenue Cannibalization &amp; Working Capital Adjustments</w:t>
      </w:r>
    </w:p>
    <w:p w14:paraId="35B9F6D0" w14:textId="77777777" w:rsidR="00111185" w:rsidRPr="00111185" w:rsidRDefault="00111185" w:rsidP="00111185">
      <w:pPr>
        <w:numPr>
          <w:ilvl w:val="0"/>
          <w:numId w:val="7"/>
        </w:numPr>
      </w:pPr>
      <w:r w:rsidRPr="00111185">
        <w:rPr>
          <w:b/>
          <w:bCs/>
        </w:rPr>
        <w:lastRenderedPageBreak/>
        <w:t>Revenue Impact on Existing Models:</w:t>
      </w:r>
    </w:p>
    <w:p w14:paraId="3A3E57CA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2013: -$35M</w:t>
      </w:r>
    </w:p>
    <w:p w14:paraId="04BAAC24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2014: -$15M</w:t>
      </w:r>
    </w:p>
    <w:p w14:paraId="086A86B2" w14:textId="77777777" w:rsidR="00111185" w:rsidRPr="00111185" w:rsidRDefault="00111185" w:rsidP="00111185">
      <w:pPr>
        <w:numPr>
          <w:ilvl w:val="0"/>
          <w:numId w:val="7"/>
        </w:numPr>
      </w:pPr>
      <w:r w:rsidRPr="00111185">
        <w:rPr>
          <w:b/>
          <w:bCs/>
        </w:rPr>
        <w:t>Working Capital Adjustments:</w:t>
      </w:r>
    </w:p>
    <w:p w14:paraId="79BE152E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Inventory increase: $15M</w:t>
      </w:r>
    </w:p>
    <w:p w14:paraId="0C3F8099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Accounts Payable rise: $5M</w:t>
      </w:r>
    </w:p>
    <w:p w14:paraId="7B351CDC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Receivables at 8% of revenue</w:t>
      </w:r>
    </w:p>
    <w:p w14:paraId="3FA1155D" w14:textId="77777777" w:rsidR="00111185" w:rsidRPr="00111185" w:rsidRDefault="00111185" w:rsidP="00111185">
      <w:pPr>
        <w:numPr>
          <w:ilvl w:val="1"/>
          <w:numId w:val="7"/>
        </w:numPr>
      </w:pPr>
      <w:r w:rsidRPr="00111185">
        <w:t>Inventory at 25% of variable costs</w:t>
      </w:r>
    </w:p>
    <w:p w14:paraId="21BD6AED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8: Cash Flow &amp; Profitability Analysis</w:t>
      </w:r>
    </w:p>
    <w:p w14:paraId="7ABBCD47" w14:textId="77777777" w:rsidR="00111185" w:rsidRPr="00111185" w:rsidRDefault="00111185" w:rsidP="00111185">
      <w:pPr>
        <w:numPr>
          <w:ilvl w:val="0"/>
          <w:numId w:val="8"/>
        </w:numPr>
      </w:pPr>
      <w:r w:rsidRPr="00111185">
        <w:rPr>
          <w:b/>
          <w:bCs/>
        </w:rPr>
        <w:t>Cost of Goods Sold:</w:t>
      </w:r>
      <w:r w:rsidRPr="00111185">
        <w:t xml:space="preserve"> 55% of revenue</w:t>
      </w:r>
    </w:p>
    <w:p w14:paraId="11BF0C11" w14:textId="77777777" w:rsidR="00111185" w:rsidRPr="00111185" w:rsidRDefault="00111185" w:rsidP="00111185">
      <w:pPr>
        <w:numPr>
          <w:ilvl w:val="0"/>
          <w:numId w:val="8"/>
        </w:numPr>
      </w:pPr>
      <w:r w:rsidRPr="00111185">
        <w:rPr>
          <w:b/>
          <w:bCs/>
        </w:rPr>
        <w:t>Tax Considerations:</w:t>
      </w:r>
      <w:r w:rsidRPr="00111185">
        <w:t xml:space="preserve"> 40% corporate tax rate</w:t>
      </w:r>
    </w:p>
    <w:p w14:paraId="693E919C" w14:textId="77777777" w:rsidR="00111185" w:rsidRPr="00111185" w:rsidRDefault="00111185" w:rsidP="00111185">
      <w:pPr>
        <w:numPr>
          <w:ilvl w:val="0"/>
          <w:numId w:val="8"/>
        </w:numPr>
      </w:pPr>
      <w:r w:rsidRPr="00111185">
        <w:rPr>
          <w:b/>
          <w:bCs/>
        </w:rPr>
        <w:t>Depreciation:</w:t>
      </w:r>
    </w:p>
    <w:p w14:paraId="2064F8AC" w14:textId="77777777" w:rsidR="00111185" w:rsidRPr="00111185" w:rsidRDefault="00111185" w:rsidP="00111185">
      <w:pPr>
        <w:numPr>
          <w:ilvl w:val="1"/>
          <w:numId w:val="8"/>
        </w:numPr>
      </w:pPr>
      <w:r w:rsidRPr="00111185">
        <w:t>Facility: 39-year schedule</w:t>
      </w:r>
    </w:p>
    <w:p w14:paraId="5CA4A0A5" w14:textId="77777777" w:rsidR="00111185" w:rsidRPr="00111185" w:rsidRDefault="00111185" w:rsidP="00111185">
      <w:pPr>
        <w:numPr>
          <w:ilvl w:val="1"/>
          <w:numId w:val="8"/>
        </w:numPr>
      </w:pPr>
      <w:r w:rsidRPr="00111185">
        <w:t>Equipment: 5-year MACRS</w:t>
      </w:r>
    </w:p>
    <w:p w14:paraId="32B3C2B1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9: Quantitative Financial Metrics</w:t>
      </w:r>
    </w:p>
    <w:p w14:paraId="3540D798" w14:textId="77777777" w:rsidR="00111185" w:rsidRPr="00111185" w:rsidRDefault="00111185" w:rsidP="00111185">
      <w:pPr>
        <w:numPr>
          <w:ilvl w:val="0"/>
          <w:numId w:val="9"/>
        </w:numPr>
      </w:pPr>
      <w:r w:rsidRPr="00111185">
        <w:rPr>
          <w:b/>
          <w:bCs/>
        </w:rPr>
        <w:t>Net Present Value (NPV):</w:t>
      </w:r>
      <w:r w:rsidRPr="00111185">
        <w:t xml:space="preserve"> $12.89M</w:t>
      </w:r>
    </w:p>
    <w:p w14:paraId="139BAD26" w14:textId="77777777" w:rsidR="00111185" w:rsidRPr="00111185" w:rsidRDefault="00111185" w:rsidP="00111185">
      <w:pPr>
        <w:numPr>
          <w:ilvl w:val="0"/>
          <w:numId w:val="9"/>
        </w:numPr>
      </w:pPr>
      <w:r w:rsidRPr="00111185">
        <w:rPr>
          <w:b/>
          <w:bCs/>
        </w:rPr>
        <w:t>Internal Rate of Return (IRR):</w:t>
      </w:r>
      <w:r w:rsidRPr="00111185">
        <w:t xml:space="preserve"> 12.74% (above 11% discount rate)</w:t>
      </w:r>
    </w:p>
    <w:p w14:paraId="564E56DB" w14:textId="77777777" w:rsidR="00111185" w:rsidRPr="00111185" w:rsidRDefault="00111185" w:rsidP="00111185">
      <w:pPr>
        <w:numPr>
          <w:ilvl w:val="0"/>
          <w:numId w:val="9"/>
        </w:numPr>
      </w:pPr>
      <w:r w:rsidRPr="00111185">
        <w:rPr>
          <w:b/>
          <w:bCs/>
        </w:rPr>
        <w:t>Payback Period:</w:t>
      </w:r>
    </w:p>
    <w:p w14:paraId="1666F769" w14:textId="77777777" w:rsidR="00111185" w:rsidRPr="00111185" w:rsidRDefault="00111185" w:rsidP="00111185">
      <w:pPr>
        <w:numPr>
          <w:ilvl w:val="1"/>
          <w:numId w:val="9"/>
        </w:numPr>
      </w:pPr>
      <w:r w:rsidRPr="00111185">
        <w:t>Traditional: 5.12 years</w:t>
      </w:r>
    </w:p>
    <w:p w14:paraId="072E478C" w14:textId="77777777" w:rsidR="00111185" w:rsidRPr="00111185" w:rsidRDefault="00111185" w:rsidP="00111185">
      <w:pPr>
        <w:numPr>
          <w:ilvl w:val="1"/>
          <w:numId w:val="9"/>
        </w:numPr>
      </w:pPr>
      <w:r w:rsidRPr="00111185">
        <w:t>Discounted: 5.86 years</w:t>
      </w:r>
    </w:p>
    <w:p w14:paraId="157B7584" w14:textId="77777777" w:rsidR="00111185" w:rsidRPr="00111185" w:rsidRDefault="00111185" w:rsidP="00111185">
      <w:pPr>
        <w:rPr>
          <w:b/>
          <w:bCs/>
        </w:rPr>
      </w:pPr>
      <w:r w:rsidRPr="00111185">
        <w:rPr>
          <w:b/>
          <w:bCs/>
        </w:rPr>
        <w:t>Slide 10: Conclusion – Key Takeaways</w:t>
      </w:r>
    </w:p>
    <w:p w14:paraId="3C581083" w14:textId="77777777" w:rsidR="00111185" w:rsidRPr="00111185" w:rsidRDefault="00111185" w:rsidP="00111185">
      <w:pPr>
        <w:numPr>
          <w:ilvl w:val="0"/>
          <w:numId w:val="10"/>
        </w:numPr>
      </w:pPr>
      <w:r w:rsidRPr="00111185">
        <w:rPr>
          <w:b/>
          <w:bCs/>
        </w:rPr>
        <w:t>Sneaker 2013 Project is Financially Viable</w:t>
      </w:r>
    </w:p>
    <w:p w14:paraId="197E36FA" w14:textId="77777777" w:rsidR="00111185" w:rsidRPr="00111185" w:rsidRDefault="00111185" w:rsidP="00111185">
      <w:pPr>
        <w:numPr>
          <w:ilvl w:val="0"/>
          <w:numId w:val="10"/>
        </w:numPr>
      </w:pPr>
      <w:r w:rsidRPr="00111185">
        <w:rPr>
          <w:b/>
          <w:bCs/>
        </w:rPr>
        <w:t>NPV, IRR, and Payback Period Support the Decision</w:t>
      </w:r>
    </w:p>
    <w:p w14:paraId="1A0FCFF1" w14:textId="77777777" w:rsidR="00111185" w:rsidRPr="00111185" w:rsidRDefault="00111185" w:rsidP="00111185">
      <w:pPr>
        <w:numPr>
          <w:ilvl w:val="0"/>
          <w:numId w:val="10"/>
        </w:numPr>
      </w:pPr>
      <w:r w:rsidRPr="00111185">
        <w:rPr>
          <w:b/>
          <w:bCs/>
        </w:rPr>
        <w:t>Strategic Market Expansion Opportunity</w:t>
      </w:r>
    </w:p>
    <w:p w14:paraId="571F33E7" w14:textId="77777777" w:rsidR="00E35CA1" w:rsidRDefault="00E35CA1"/>
    <w:sectPr w:rsidR="00E3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76A7"/>
    <w:multiLevelType w:val="multilevel"/>
    <w:tmpl w:val="6CC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3AAF"/>
    <w:multiLevelType w:val="multilevel"/>
    <w:tmpl w:val="1A02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42D44"/>
    <w:multiLevelType w:val="multilevel"/>
    <w:tmpl w:val="96F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947A4"/>
    <w:multiLevelType w:val="multilevel"/>
    <w:tmpl w:val="3EC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104CE"/>
    <w:multiLevelType w:val="multilevel"/>
    <w:tmpl w:val="E9B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100A3"/>
    <w:multiLevelType w:val="multilevel"/>
    <w:tmpl w:val="300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77F2D"/>
    <w:multiLevelType w:val="multilevel"/>
    <w:tmpl w:val="6A2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50B3B"/>
    <w:multiLevelType w:val="multilevel"/>
    <w:tmpl w:val="F67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835D7"/>
    <w:multiLevelType w:val="multilevel"/>
    <w:tmpl w:val="6BE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A7FCF"/>
    <w:multiLevelType w:val="multilevel"/>
    <w:tmpl w:val="18A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30239">
    <w:abstractNumId w:val="8"/>
  </w:num>
  <w:num w:numId="2" w16cid:durableId="708379386">
    <w:abstractNumId w:val="4"/>
  </w:num>
  <w:num w:numId="3" w16cid:durableId="1950814685">
    <w:abstractNumId w:val="5"/>
  </w:num>
  <w:num w:numId="4" w16cid:durableId="120804107">
    <w:abstractNumId w:val="9"/>
  </w:num>
  <w:num w:numId="5" w16cid:durableId="1434790347">
    <w:abstractNumId w:val="2"/>
  </w:num>
  <w:num w:numId="6" w16cid:durableId="948968059">
    <w:abstractNumId w:val="1"/>
  </w:num>
  <w:num w:numId="7" w16cid:durableId="1535073597">
    <w:abstractNumId w:val="0"/>
  </w:num>
  <w:num w:numId="8" w16cid:durableId="492138235">
    <w:abstractNumId w:val="3"/>
  </w:num>
  <w:num w:numId="9" w16cid:durableId="715013512">
    <w:abstractNumId w:val="7"/>
  </w:num>
  <w:num w:numId="10" w16cid:durableId="1419329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85"/>
    <w:rsid w:val="00111185"/>
    <w:rsid w:val="00387E03"/>
    <w:rsid w:val="00D130EF"/>
    <w:rsid w:val="00E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67E1"/>
  <w15:chartTrackingRefBased/>
  <w15:docId w15:val="{A826B6C9-3DFA-499E-97E2-A0686FA6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Edwards</dc:creator>
  <cp:keywords/>
  <dc:description/>
  <cp:lastModifiedBy>Jacob Edwards</cp:lastModifiedBy>
  <cp:revision>1</cp:revision>
  <dcterms:created xsi:type="dcterms:W3CDTF">2025-02-23T16:51:00Z</dcterms:created>
  <dcterms:modified xsi:type="dcterms:W3CDTF">2025-02-23T16:52:00Z</dcterms:modified>
</cp:coreProperties>
</file>