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7AEC26C">
      <w:pPr>
        <w:pStyle w:val="6"/>
        <w:keepNext w:val="0"/>
        <w:keepLines w:val="0"/>
        <w:widowControl/>
        <w:suppressLineNumbers w:val="0"/>
        <w:spacing w:before="0" w:beforeAutospacing="1" w:after="0" w:afterAutospacing="1" w:line="360" w:lineRule="auto"/>
        <w:ind w:left="0" w:right="0"/>
        <w:rPr>
          <w:rFonts w:hint="default" w:ascii="Times New Roman Bold" w:hAnsi="Times New Roman Bold" w:cs="Times New Roman Bold"/>
          <w:b/>
          <w:bCs/>
          <w:sz w:val="24"/>
          <w:szCs w:val="24"/>
        </w:rPr>
      </w:pPr>
      <w:r>
        <w:rPr>
          <w:rStyle w:val="7"/>
          <w:rFonts w:hint="default" w:ascii="Times New Roman Bold" w:hAnsi="Times New Roman Bold" w:cs="Times New Roman Bold"/>
          <w:b/>
          <w:bCs/>
          <w:sz w:val="24"/>
          <w:szCs w:val="24"/>
        </w:rPr>
        <w:t>Subject: Revised Monthly Internship Support Budget and Clarification</w:t>
      </w:r>
    </w:p>
    <w:p w14:paraId="6873BE23">
      <w:pPr>
        <w:pStyle w:val="6"/>
        <w:keepNext w:val="0"/>
        <w:keepLines w:val="0"/>
        <w:widowControl/>
        <w:suppressLineNumbers w:val="0"/>
        <w:spacing w:line="360" w:lineRule="auto"/>
        <w:rPr>
          <w:rFonts w:hint="default" w:ascii="Times New Roman Bold" w:hAnsi="Times New Roman Bold" w:cs="Times New Roman Bold"/>
          <w:b/>
          <w:bCs/>
          <w:sz w:val="24"/>
          <w:szCs w:val="24"/>
          <w:lang w:val="en-US"/>
        </w:rPr>
      </w:pPr>
      <w:r>
        <w:rPr>
          <w:rFonts w:hint="default" w:ascii="Times New Roman Bold" w:hAnsi="Times New Roman Bold" w:cs="Times New Roman Bold"/>
          <w:b/>
          <w:bCs/>
          <w:sz w:val="24"/>
          <w:szCs w:val="24"/>
        </w:rPr>
        <w:t>G</w:t>
      </w:r>
      <w:r>
        <w:rPr>
          <w:rFonts w:hint="default" w:ascii="Times New Roman Bold" w:hAnsi="Times New Roman Bold" w:cs="Times New Roman Bold"/>
          <w:b/>
          <w:bCs/>
          <w:sz w:val="24"/>
          <w:szCs w:val="24"/>
          <w:lang w:val="en-US"/>
        </w:rPr>
        <w:t>reetings,</w:t>
      </w:r>
    </w:p>
    <w:p w14:paraId="56D39437">
      <w:pPr>
        <w:pStyle w:val="6"/>
        <w:keepNext w:val="0"/>
        <w:keepLines w:val="0"/>
        <w:widowControl/>
        <w:suppressLineNumbers w:val="0"/>
        <w:spacing w:line="360" w:lineRule="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Thank you for your feedback regarding the internship support budget. I have taken note of your concerns, particularly regarding accommodation, feeding and transport costs, and I have since made an effort to review the figures and explore more affordable options.</w:t>
      </w:r>
    </w:p>
    <w:p w14:paraId="5C834658">
      <w:pPr>
        <w:pStyle w:val="6"/>
        <w:keepNext w:val="0"/>
        <w:keepLines w:val="0"/>
        <w:widowControl/>
        <w:suppressLineNumbers w:val="0"/>
        <w:spacing w:line="360" w:lineRule="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For context, I would like to briefly explain the background to the request so that we are all on the same page regarding the circumstances surrounding the internship.</w:t>
      </w:r>
    </w:p>
    <w:p w14:paraId="198EBB4B">
      <w:pPr>
        <w:pStyle w:val="6"/>
        <w:keepNext w:val="0"/>
        <w:keepLines w:val="0"/>
        <w:widowControl/>
        <w:suppressLineNumbers w:val="0"/>
        <w:spacing w:line="360" w:lineRule="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As part of the Bachelor of Pharmacy programme, internship training is a mandatory requirement before one can be registered and practise as a fully-fledged pharmacist. Unlike some other health professional programmes, pharmacy training involves two distinct internship rotations: a </w:t>
      </w:r>
      <w:r>
        <w:rPr>
          <w:rStyle w:val="7"/>
          <w:rFonts w:hint="default" w:ascii="Times New Roman" w:hAnsi="Times New Roman" w:cs="Times New Roman"/>
          <w:b w:val="0"/>
          <w:bCs w:val="0"/>
          <w:sz w:val="24"/>
          <w:szCs w:val="24"/>
        </w:rPr>
        <w:t>hospital-based rotation</w:t>
      </w:r>
      <w:r>
        <w:rPr>
          <w:rFonts w:hint="default" w:ascii="Times New Roman" w:hAnsi="Times New Roman" w:cs="Times New Roman"/>
          <w:b w:val="0"/>
          <w:bCs w:val="0"/>
          <w:sz w:val="24"/>
          <w:szCs w:val="24"/>
        </w:rPr>
        <w:t xml:space="preserve"> and an </w:t>
      </w:r>
      <w:r>
        <w:rPr>
          <w:rStyle w:val="7"/>
          <w:rFonts w:hint="default" w:ascii="Times New Roman" w:hAnsi="Times New Roman" w:cs="Times New Roman"/>
          <w:b w:val="0"/>
          <w:bCs w:val="0"/>
          <w:sz w:val="24"/>
          <w:szCs w:val="24"/>
        </w:rPr>
        <w:t>external rotation in the pharmaceutical industry</w:t>
      </w:r>
      <w:r>
        <w:rPr>
          <w:rFonts w:hint="default" w:ascii="Times New Roman" w:hAnsi="Times New Roman" w:cs="Times New Roman"/>
          <w:b w:val="0"/>
          <w:bCs w:val="0"/>
          <w:sz w:val="24"/>
          <w:szCs w:val="24"/>
        </w:rPr>
        <w:t xml:space="preserve">. The latter is undertaken in a pharmaceutical manufacturing setting, and in my case, this will be at </w:t>
      </w:r>
      <w:r>
        <w:rPr>
          <w:rStyle w:val="7"/>
          <w:rFonts w:hint="default" w:ascii="Times New Roman" w:hAnsi="Times New Roman" w:cs="Times New Roman"/>
          <w:b w:val="0"/>
          <w:bCs w:val="0"/>
          <w:sz w:val="24"/>
          <w:szCs w:val="24"/>
        </w:rPr>
        <w:t>CIPLA-QCIL in Luzira, Kampala</w:t>
      </w:r>
      <w:r>
        <w:rPr>
          <w:rFonts w:hint="default" w:ascii="Times New Roman" w:hAnsi="Times New Roman" w:cs="Times New Roman"/>
          <w:b w:val="0"/>
          <w:bCs w:val="0"/>
          <w:sz w:val="24"/>
          <w:szCs w:val="24"/>
        </w:rPr>
        <w:t>.</w:t>
      </w:r>
    </w:p>
    <w:p w14:paraId="5D0E63BE">
      <w:pPr>
        <w:pStyle w:val="6"/>
        <w:keepNext w:val="0"/>
        <w:keepLines w:val="0"/>
        <w:widowControl/>
        <w:suppressLineNumbers w:val="0"/>
        <w:spacing w:line="360" w:lineRule="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At the beginning of this year, the Ministry of Health introduced changes concerning the facilitation of government interns, with the previous arrangements for intern doctors and other health professionals being affected. It was against this background that I initially raised the issue with Aunt Zahara in June, since, unlike previous cohorts, there was considerable uncertainty regarding whether we would receive any form of internship facilitation.</w:t>
      </w:r>
    </w:p>
    <w:p w14:paraId="5531ABE7">
      <w:pPr>
        <w:pStyle w:val="6"/>
        <w:keepNext w:val="0"/>
        <w:keepLines w:val="0"/>
        <w:widowControl/>
        <w:suppressLineNumbers w:val="0"/>
        <w:spacing w:line="360" w:lineRule="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During my visit to the office a few weeks ago, I was informed that you would be my mentor and that matters concerning my school and internship should therefore be discussed with you. I also had a brief discussion with Madam Vicky, the Country Director, regarding the matter, although we did not have an opportunity to discuss it in detail. I therefore appreciate the opportunity to clarify the situation further.</w:t>
      </w:r>
    </w:p>
    <w:p w14:paraId="19EA9ABD">
      <w:pPr>
        <w:pStyle w:val="6"/>
        <w:keepNext w:val="0"/>
        <w:keepLines w:val="0"/>
        <w:widowControl/>
        <w:suppressLineNumbers w:val="0"/>
        <w:spacing w:line="360" w:lineRule="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Following the government's release of the internship deployment lists, we were required to report to our respective stations as soon as possible. It was on this basis that I initially shared the budget estimates with you. The estimates were largely informed by the actual monthly expenses of a colleague who had previously undertaken internship at the same site, rather than being arbitrary figures.</w:t>
      </w:r>
    </w:p>
    <w:p w14:paraId="7ACD392A">
      <w:pPr>
        <w:pStyle w:val="6"/>
        <w:keepNext w:val="0"/>
        <w:keepLines w:val="0"/>
        <w:widowControl/>
        <w:suppressLineNumbers w:val="0"/>
        <w:spacing w:line="360" w:lineRule="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Following our discussion and your recommendation to look for more affordable options, I spent most of today</w:t>
      </w:r>
      <w:r>
        <w:rPr>
          <w:rFonts w:hint="default" w:cs="Times New Roman"/>
          <w:b w:val="0"/>
          <w:bCs w:val="0"/>
          <w:sz w:val="24"/>
          <w:szCs w:val="24"/>
          <w:lang w:val="en-US"/>
        </w:rPr>
        <w:t xml:space="preserve"> [Sunday]</w:t>
      </w:r>
      <w:r>
        <w:rPr>
          <w:rFonts w:hint="default" w:ascii="Times New Roman" w:hAnsi="Times New Roman" w:cs="Times New Roman"/>
          <w:b w:val="0"/>
          <w:bCs w:val="0"/>
          <w:sz w:val="24"/>
          <w:szCs w:val="24"/>
        </w:rPr>
        <w:t xml:space="preserve"> in Mukono looking for accommodation and comparing rental prices. From the options I was able to find, the </w:t>
      </w:r>
      <w:r>
        <w:rPr>
          <w:rStyle w:val="7"/>
          <w:rFonts w:hint="default" w:ascii="Times New Roman" w:hAnsi="Times New Roman" w:cs="Times New Roman"/>
          <w:b w:val="0"/>
          <w:bCs w:val="0"/>
          <w:sz w:val="24"/>
          <w:szCs w:val="24"/>
        </w:rPr>
        <w:t>lowest rent I could identify was UGX 220,000 per month</w:t>
      </w:r>
      <w:r>
        <w:rPr>
          <w:rFonts w:hint="default" w:ascii="Times New Roman" w:hAnsi="Times New Roman" w:cs="Times New Roman"/>
          <w:b w:val="0"/>
          <w:bCs w:val="0"/>
          <w:sz w:val="24"/>
          <w:szCs w:val="24"/>
        </w:rPr>
        <w:t>. There are cheaper options in some areas, but these are considerably further from the internship site, which would subsequently increase the daily transport costs.</w:t>
      </w:r>
    </w:p>
    <w:p w14:paraId="394FEB93">
      <w:pPr>
        <w:pStyle w:val="2"/>
        <w:keepNext w:val="0"/>
        <w:keepLines w:val="0"/>
        <w:widowControl/>
        <w:suppressLineNumbers w:val="0"/>
        <w:spacing w:line="360" w:lineRule="auto"/>
        <w:rPr>
          <w:rFonts w:hint="default" w:ascii="Times New Roman Bold" w:hAnsi="Times New Roman Bold" w:cs="Times New Roman Bold"/>
          <w:b/>
          <w:bCs/>
          <w:sz w:val="24"/>
          <w:szCs w:val="24"/>
        </w:rPr>
      </w:pPr>
      <w:r>
        <w:rPr>
          <w:rFonts w:hint="default" w:ascii="Times New Roman Bold" w:hAnsi="Times New Roman Bold" w:cs="Times New Roman Bold"/>
          <w:b/>
          <w:bCs/>
          <w:sz w:val="24"/>
          <w:szCs w:val="24"/>
        </w:rPr>
        <w:t>Revised Monthly Budget</w:t>
      </w:r>
    </w:p>
    <w:p w14:paraId="3F6611DC">
      <w:pPr>
        <w:pStyle w:val="6"/>
        <w:keepNext w:val="0"/>
        <w:keepLines w:val="0"/>
        <w:widowControl/>
        <w:suppressLineNumbers w:val="0"/>
        <w:spacing w:line="360" w:lineRule="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Based on these findings, I have revised the budget as follows:</w:t>
      </w:r>
    </w:p>
    <w:tbl>
      <w:tblPr>
        <w:tblStyle w:val="4"/>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675"/>
        <w:gridCol w:w="2635"/>
      </w:tblGrid>
      <w:tr w14:paraId="021EAE2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blHeader/>
          <w:tblCellSpacing w:w="15" w:type="dxa"/>
        </w:trPr>
        <w:tc>
          <w:tcPr>
            <w:tcW w:w="0" w:type="auto"/>
            <w:shd w:val="clear" w:color="auto" w:fill="auto"/>
            <w:vAlign w:val="center"/>
          </w:tcPr>
          <w:p w14:paraId="25668A3B">
            <w:pPr>
              <w:keepNext w:val="0"/>
              <w:keepLines w:val="0"/>
              <w:widowControl/>
              <w:suppressLineNumbers w:val="0"/>
              <w:spacing w:line="360" w:lineRule="auto"/>
              <w:jc w:val="center"/>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Item</w:t>
            </w:r>
          </w:p>
        </w:tc>
        <w:tc>
          <w:tcPr>
            <w:tcW w:w="0" w:type="auto"/>
            <w:shd w:val="clear" w:color="auto" w:fill="auto"/>
            <w:vAlign w:val="center"/>
          </w:tcPr>
          <w:p w14:paraId="1EC12FCE">
            <w:pPr>
              <w:keepNext w:val="0"/>
              <w:keepLines w:val="0"/>
              <w:widowControl/>
              <w:suppressLineNumbers w:val="0"/>
              <w:spacing w:line="360" w:lineRule="auto"/>
              <w:jc w:val="center"/>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Revised Monthly Estimate</w:t>
            </w:r>
          </w:p>
        </w:tc>
      </w:tr>
      <w:tr w14:paraId="25F6861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blCellSpacing w:w="15" w:type="dxa"/>
        </w:trPr>
        <w:tc>
          <w:tcPr>
            <w:tcW w:w="0" w:type="auto"/>
            <w:shd w:val="clear" w:color="auto" w:fill="auto"/>
            <w:vAlign w:val="center"/>
          </w:tcPr>
          <w:p w14:paraId="408BA9D3">
            <w:pPr>
              <w:keepNext w:val="0"/>
              <w:keepLines w:val="0"/>
              <w:widowControl/>
              <w:suppressLineNumbers w:val="0"/>
              <w:spacing w:line="360" w:lineRule="auto"/>
              <w:jc w:val="left"/>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Accommodation</w:t>
            </w:r>
          </w:p>
        </w:tc>
        <w:tc>
          <w:tcPr>
            <w:tcW w:w="0" w:type="auto"/>
            <w:shd w:val="clear" w:color="auto" w:fill="auto"/>
            <w:vAlign w:val="center"/>
          </w:tcPr>
          <w:p w14:paraId="09486DF6">
            <w:pPr>
              <w:keepNext w:val="0"/>
              <w:keepLines w:val="0"/>
              <w:widowControl/>
              <w:suppressLineNumbers w:val="0"/>
              <w:spacing w:line="360" w:lineRule="auto"/>
              <w:jc w:val="left"/>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UGX 220,000</w:t>
            </w:r>
          </w:p>
        </w:tc>
      </w:tr>
      <w:tr w14:paraId="0BDF3FA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blCellSpacing w:w="15" w:type="dxa"/>
        </w:trPr>
        <w:tc>
          <w:tcPr>
            <w:tcW w:w="0" w:type="auto"/>
            <w:shd w:val="clear" w:color="auto" w:fill="auto"/>
            <w:vAlign w:val="center"/>
          </w:tcPr>
          <w:p w14:paraId="3A435390">
            <w:pPr>
              <w:keepNext w:val="0"/>
              <w:keepLines w:val="0"/>
              <w:widowControl/>
              <w:suppressLineNumbers w:val="0"/>
              <w:spacing w:line="360" w:lineRule="auto"/>
              <w:jc w:val="left"/>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Feeding</w:t>
            </w:r>
          </w:p>
        </w:tc>
        <w:tc>
          <w:tcPr>
            <w:tcW w:w="0" w:type="auto"/>
            <w:shd w:val="clear" w:color="auto" w:fill="auto"/>
            <w:vAlign w:val="center"/>
          </w:tcPr>
          <w:p w14:paraId="37BA96D7">
            <w:pPr>
              <w:keepNext w:val="0"/>
              <w:keepLines w:val="0"/>
              <w:widowControl/>
              <w:suppressLineNumbers w:val="0"/>
              <w:spacing w:line="360" w:lineRule="auto"/>
              <w:jc w:val="left"/>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UGX 300,000</w:t>
            </w:r>
          </w:p>
        </w:tc>
      </w:tr>
      <w:tr w14:paraId="1E51CFD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blCellSpacing w:w="15" w:type="dxa"/>
        </w:trPr>
        <w:tc>
          <w:tcPr>
            <w:tcW w:w="0" w:type="auto"/>
            <w:shd w:val="clear" w:color="auto" w:fill="auto"/>
            <w:vAlign w:val="center"/>
          </w:tcPr>
          <w:p w14:paraId="421D2235">
            <w:pPr>
              <w:keepNext w:val="0"/>
              <w:keepLines w:val="0"/>
              <w:widowControl/>
              <w:suppressLineNumbers w:val="0"/>
              <w:spacing w:line="360" w:lineRule="auto"/>
              <w:jc w:val="left"/>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Transport</w:t>
            </w:r>
          </w:p>
        </w:tc>
        <w:tc>
          <w:tcPr>
            <w:tcW w:w="0" w:type="auto"/>
            <w:shd w:val="clear" w:color="auto" w:fill="auto"/>
            <w:vAlign w:val="center"/>
          </w:tcPr>
          <w:p w14:paraId="15ECDE03">
            <w:pPr>
              <w:keepNext w:val="0"/>
              <w:keepLines w:val="0"/>
              <w:widowControl/>
              <w:suppressLineNumbers w:val="0"/>
              <w:spacing w:line="360" w:lineRule="auto"/>
              <w:jc w:val="left"/>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UGX 300,000</w:t>
            </w:r>
          </w:p>
        </w:tc>
      </w:tr>
      <w:tr w14:paraId="7EF69DF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blCellSpacing w:w="15" w:type="dxa"/>
        </w:trPr>
        <w:tc>
          <w:tcPr>
            <w:tcW w:w="0" w:type="auto"/>
            <w:shd w:val="clear" w:color="auto" w:fill="auto"/>
            <w:vAlign w:val="center"/>
          </w:tcPr>
          <w:p w14:paraId="6AE3CC05">
            <w:pPr>
              <w:keepNext w:val="0"/>
              <w:keepLines w:val="0"/>
              <w:widowControl/>
              <w:suppressLineNumbers w:val="0"/>
              <w:spacing w:line="360" w:lineRule="auto"/>
              <w:jc w:val="left"/>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Personal effects</w:t>
            </w:r>
          </w:p>
        </w:tc>
        <w:tc>
          <w:tcPr>
            <w:tcW w:w="0" w:type="auto"/>
            <w:shd w:val="clear" w:color="auto" w:fill="auto"/>
            <w:vAlign w:val="center"/>
          </w:tcPr>
          <w:p w14:paraId="2CBC469E">
            <w:pPr>
              <w:keepNext w:val="0"/>
              <w:keepLines w:val="0"/>
              <w:widowControl/>
              <w:suppressLineNumbers w:val="0"/>
              <w:spacing w:line="360" w:lineRule="auto"/>
              <w:jc w:val="left"/>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UGX 70,000</w:t>
            </w:r>
          </w:p>
        </w:tc>
      </w:tr>
      <w:tr w14:paraId="08695B2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blCellSpacing w:w="15" w:type="dxa"/>
        </w:trPr>
        <w:tc>
          <w:tcPr>
            <w:tcW w:w="0" w:type="auto"/>
            <w:shd w:val="clear" w:color="auto" w:fill="auto"/>
            <w:vAlign w:val="center"/>
          </w:tcPr>
          <w:p w14:paraId="03B60EA5">
            <w:pPr>
              <w:keepNext w:val="0"/>
              <w:keepLines w:val="0"/>
              <w:widowControl/>
              <w:suppressLineNumbers w:val="0"/>
              <w:spacing w:line="360" w:lineRule="auto"/>
              <w:jc w:val="left"/>
              <w:rPr>
                <w:rFonts w:hint="default" w:ascii="Times New Roman" w:hAnsi="Times New Roman" w:cs="Times New Roman"/>
                <w:b w:val="0"/>
                <w:bCs w:val="0"/>
                <w:sz w:val="24"/>
                <w:szCs w:val="24"/>
              </w:rPr>
            </w:pPr>
            <w:r>
              <w:rPr>
                <w:rStyle w:val="7"/>
                <w:rFonts w:hint="default" w:ascii="Times New Roman" w:hAnsi="Times New Roman" w:eastAsia="SimSun" w:cs="Times New Roman"/>
                <w:b w:val="0"/>
                <w:bCs w:val="0"/>
                <w:kern w:val="0"/>
                <w:sz w:val="24"/>
                <w:szCs w:val="24"/>
                <w:lang w:val="en-US" w:eastAsia="zh-CN" w:bidi="ar"/>
              </w:rPr>
              <w:t>Total</w:t>
            </w:r>
          </w:p>
        </w:tc>
        <w:tc>
          <w:tcPr>
            <w:tcW w:w="0" w:type="auto"/>
            <w:shd w:val="clear" w:color="auto" w:fill="auto"/>
            <w:vAlign w:val="center"/>
          </w:tcPr>
          <w:p w14:paraId="18C2FD8D">
            <w:pPr>
              <w:keepNext w:val="0"/>
              <w:keepLines w:val="0"/>
              <w:widowControl/>
              <w:suppressLineNumbers w:val="0"/>
              <w:spacing w:line="360" w:lineRule="auto"/>
              <w:jc w:val="left"/>
              <w:rPr>
                <w:rFonts w:hint="default" w:ascii="Times New Roman" w:hAnsi="Times New Roman" w:cs="Times New Roman"/>
                <w:b w:val="0"/>
                <w:bCs w:val="0"/>
                <w:sz w:val="24"/>
                <w:szCs w:val="24"/>
              </w:rPr>
            </w:pPr>
            <w:r>
              <w:rPr>
                <w:rStyle w:val="7"/>
                <w:rFonts w:hint="default" w:ascii="Times New Roman" w:hAnsi="Times New Roman" w:eastAsia="SimSun" w:cs="Times New Roman"/>
                <w:b w:val="0"/>
                <w:bCs w:val="0"/>
                <w:kern w:val="0"/>
                <w:sz w:val="24"/>
                <w:szCs w:val="24"/>
                <w:lang w:val="en-US" w:eastAsia="zh-CN" w:bidi="ar"/>
              </w:rPr>
              <w:t>UGX 890,000</w:t>
            </w:r>
          </w:p>
        </w:tc>
      </w:tr>
    </w:tbl>
    <w:p w14:paraId="1B91DA57">
      <w:pPr>
        <w:pStyle w:val="6"/>
        <w:keepNext w:val="0"/>
        <w:keepLines w:val="0"/>
        <w:widowControl/>
        <w:suppressLineNumbers w:val="0"/>
        <w:spacing w:line="360" w:lineRule="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The feeding estimate has been reduced to </w:t>
      </w:r>
      <w:r>
        <w:rPr>
          <w:rStyle w:val="7"/>
          <w:rFonts w:hint="default" w:ascii="Times New Roman" w:hAnsi="Times New Roman" w:cs="Times New Roman"/>
          <w:b w:val="0"/>
          <w:bCs w:val="0"/>
          <w:sz w:val="24"/>
          <w:szCs w:val="24"/>
        </w:rPr>
        <w:t>UGX 10,000 per day</w:t>
      </w:r>
      <w:r>
        <w:rPr>
          <w:rFonts w:hint="default" w:ascii="Times New Roman" w:hAnsi="Times New Roman" w:cs="Times New Roman"/>
          <w:b w:val="0"/>
          <w:bCs w:val="0"/>
          <w:sz w:val="24"/>
          <w:szCs w:val="24"/>
        </w:rPr>
        <w:t xml:space="preserve">, which I believe I can manage within the circumstances. Personal effects have also been reduced from the initial UGX 100,000 estimate to </w:t>
      </w:r>
      <w:r>
        <w:rPr>
          <w:rStyle w:val="7"/>
          <w:rFonts w:hint="default" w:ascii="Times New Roman" w:hAnsi="Times New Roman" w:cs="Times New Roman"/>
          <w:b w:val="0"/>
          <w:bCs w:val="0"/>
          <w:sz w:val="24"/>
          <w:szCs w:val="24"/>
        </w:rPr>
        <w:t>UGX 70,000</w:t>
      </w:r>
      <w:r>
        <w:rPr>
          <w:rFonts w:hint="default" w:ascii="Times New Roman" w:hAnsi="Times New Roman" w:cs="Times New Roman"/>
          <w:b w:val="0"/>
          <w:bCs w:val="0"/>
          <w:sz w:val="24"/>
          <w:szCs w:val="24"/>
        </w:rPr>
        <w:t xml:space="preserve"> in an effort to further bring down the overall budget.</w:t>
      </w:r>
    </w:p>
    <w:p w14:paraId="73F05637">
      <w:pPr>
        <w:pStyle w:val="6"/>
        <w:keepNext w:val="0"/>
        <w:keepLines w:val="0"/>
        <w:widowControl/>
        <w:suppressLineNumbers w:val="0"/>
        <w:spacing w:line="360" w:lineRule="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The transport component remains somewhat difficult to estimate precisely because of the nature of the internship. I will have shifts, including night rotations, which makes transport arrangements more complicated, particularly when reporting or leaving the facility at night.</w:t>
      </w:r>
    </w:p>
    <w:p w14:paraId="18348E6D">
      <w:pPr>
        <w:pStyle w:val="6"/>
        <w:keepNext w:val="0"/>
        <w:keepLines w:val="0"/>
        <w:widowControl/>
        <w:suppressLineNumbers w:val="0"/>
        <w:spacing w:line="360" w:lineRule="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In addition, the pharmacy internship is not confined to the hospital rotation. At some point, I will be required to undertake the external pharmaceutical industry rotation at </w:t>
      </w:r>
      <w:r>
        <w:rPr>
          <w:rStyle w:val="7"/>
          <w:rFonts w:hint="default" w:ascii="Times New Roman" w:hAnsi="Times New Roman" w:cs="Times New Roman"/>
          <w:b w:val="0"/>
          <w:bCs w:val="0"/>
          <w:sz w:val="24"/>
          <w:szCs w:val="24"/>
        </w:rPr>
        <w:t>CIPLA-QCIL in Luzira, Kampala</w:t>
      </w:r>
      <w:r>
        <w:rPr>
          <w:rFonts w:hint="default" w:ascii="Times New Roman" w:hAnsi="Times New Roman" w:cs="Times New Roman"/>
          <w:b w:val="0"/>
          <w:bCs w:val="0"/>
          <w:sz w:val="24"/>
          <w:szCs w:val="24"/>
        </w:rPr>
        <w:t>. For example, transport from Mukono to Kampala is approximately UGX 5,000, with an additional UGX 2,000 required to reach Luzira, making it approximately UGX 7,000 one way and UGX 14,000 for a return journey. The frequency of these movements will, however, depend on the arrangements for the external rotation, so I may not be able to give an exact figure for that component at this stage.</w:t>
      </w:r>
    </w:p>
    <w:p w14:paraId="3CA174B0">
      <w:pPr>
        <w:pStyle w:val="6"/>
        <w:keepNext w:val="0"/>
        <w:keepLines w:val="0"/>
        <w:widowControl/>
        <w:suppressLineNumbers w:val="0"/>
        <w:spacing w:line="360" w:lineRule="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The above estimates are therefore based on a </w:t>
      </w:r>
      <w:r>
        <w:rPr>
          <w:rStyle w:val="7"/>
          <w:rFonts w:hint="default" w:ascii="Times New Roman" w:hAnsi="Times New Roman" w:cs="Times New Roman"/>
          <w:b w:val="0"/>
          <w:bCs w:val="0"/>
          <w:sz w:val="24"/>
          <w:szCs w:val="24"/>
        </w:rPr>
        <w:t>30-day monthly cycle</w:t>
      </w:r>
      <w:r>
        <w:rPr>
          <w:rFonts w:hint="default" w:ascii="Times New Roman" w:hAnsi="Times New Roman" w:cs="Times New Roman"/>
          <w:b w:val="0"/>
          <w:bCs w:val="0"/>
          <w:sz w:val="24"/>
          <w:szCs w:val="24"/>
        </w:rPr>
        <w:t>, with each month considered to run from the reporting date up to the corresponding date in the following month.</w:t>
      </w:r>
    </w:p>
    <w:p w14:paraId="4F5BEFCB">
      <w:pPr>
        <w:pStyle w:val="6"/>
        <w:keepNext w:val="0"/>
        <w:keepLines w:val="0"/>
        <w:widowControl/>
        <w:suppressLineNumbers w:val="0"/>
        <w:spacing w:line="360" w:lineRule="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I am also aware that there have been ongoing discussions regarding possible government facilitation for interns. </w:t>
      </w:r>
      <w:r>
        <w:rPr>
          <w:rStyle w:val="7"/>
          <w:rFonts w:hint="default" w:ascii="Times New Roman" w:hAnsi="Times New Roman" w:cs="Times New Roman"/>
          <w:b w:val="0"/>
          <w:bCs w:val="0"/>
          <w:sz w:val="24"/>
          <w:szCs w:val="24"/>
        </w:rPr>
        <w:t xml:space="preserve">For reference, the information regarding the government's </w:t>
      </w:r>
      <w:r>
        <w:rPr>
          <w:rStyle w:val="7"/>
          <w:rFonts w:hint="default" w:ascii="Times New Roman" w:hAnsi="Times New Roman" w:cs="Times New Roman"/>
          <w:b w:val="0"/>
          <w:bCs w:val="0"/>
          <w:sz w:val="24"/>
          <w:szCs w:val="24"/>
          <w:lang w:val="en-US"/>
        </w:rPr>
        <w:t xml:space="preserve">earlier </w:t>
      </w:r>
      <w:r>
        <w:rPr>
          <w:rStyle w:val="7"/>
          <w:rFonts w:hint="default" w:ascii="Times New Roman" w:hAnsi="Times New Roman" w:cs="Times New Roman"/>
          <w:b w:val="0"/>
          <w:bCs w:val="0"/>
          <w:sz w:val="24"/>
          <w:szCs w:val="24"/>
        </w:rPr>
        <w:t>position</w:t>
      </w:r>
      <w:r>
        <w:rPr>
          <w:rStyle w:val="7"/>
          <w:rFonts w:hint="default" w:ascii="Times New Roman" w:hAnsi="Times New Roman" w:cs="Times New Roman"/>
          <w:b w:val="0"/>
          <w:bCs w:val="0"/>
          <w:sz w:val="24"/>
          <w:szCs w:val="24"/>
          <w:lang w:val="en-US"/>
        </w:rPr>
        <w:t xml:space="preserve"> and the formulation of the National Education and Health Training policy, I have attached a copy of that policy here.</w:t>
      </w:r>
      <w:r>
        <w:rPr>
          <w:rFonts w:hint="default" w:ascii="Times New Roman" w:hAnsi="Times New Roman" w:cs="Times New Roman"/>
          <w:b w:val="0"/>
          <w:bCs w:val="0"/>
          <w:sz w:val="24"/>
          <w:szCs w:val="24"/>
        </w:rPr>
        <w:t xml:space="preserve"> While there is currently no certainty as to whether or when this may be implemented, I will keep you informed should any official facilitation become available. From what I understand, such facilitation, where provided, has sometimes been received several months into the internship period. I therefore believe it would be prudent to plan based on the current situation while remaining open to any support that may subsequently become available.</w:t>
      </w:r>
    </w:p>
    <w:p w14:paraId="4E15182B">
      <w:pPr>
        <w:pStyle w:val="6"/>
        <w:keepNext w:val="0"/>
        <w:keepLines w:val="0"/>
        <w:widowControl/>
        <w:suppressLineNumbers w:val="0"/>
        <w:spacing w:line="360" w:lineRule="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I hope this provides a clearer picture of the circumstances surrounding the internship and the basis upon which the revised figures have been arrived at. I have tried to reduce the estimates as much as reasonably possible while ensuring that the essential costs of accommodation, feeding, transport and basic personal requirements are covered.</w:t>
      </w:r>
    </w:p>
    <w:p w14:paraId="5D4CD867">
      <w:pPr>
        <w:pStyle w:val="6"/>
        <w:keepNext w:val="0"/>
        <w:keepLines w:val="0"/>
        <w:widowControl/>
        <w:suppressLineNumbers w:val="0"/>
        <w:spacing w:line="360" w:lineRule="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Thank you once again for your guidance and consid</w:t>
      </w:r>
      <w:bookmarkStart w:id="0" w:name="_GoBack"/>
      <w:bookmarkEnd w:id="0"/>
      <w:r>
        <w:rPr>
          <w:rFonts w:hint="default" w:ascii="Times New Roman" w:hAnsi="Times New Roman" w:cs="Times New Roman"/>
          <w:b w:val="0"/>
          <w:bCs w:val="0"/>
          <w:sz w:val="24"/>
          <w:szCs w:val="24"/>
        </w:rPr>
        <w:t>eration. Should you have any further concerns or recommendations regarding the revised budget, I will be glad to discuss them with you at any time through email, telephone, WhatsApp, or in person.</w:t>
      </w:r>
    </w:p>
    <w:p w14:paraId="18FF28F7">
      <w:pPr>
        <w:pStyle w:val="6"/>
        <w:keepNext w:val="0"/>
        <w:keepLines w:val="0"/>
        <w:widowControl/>
        <w:suppressLineNumbers w:val="0"/>
        <w:spacing w:line="360" w:lineRule="auto"/>
        <w:rPr>
          <w:rFonts w:hint="default" w:ascii="Times New Roman" w:hAnsi="Times New Roman" w:cs="Times New Roman"/>
          <w:b w:val="0"/>
          <w:bCs w:val="0"/>
          <w:sz w:val="24"/>
          <w:szCs w:val="24"/>
        </w:rPr>
      </w:pPr>
      <w:r>
        <w:rPr>
          <w:rFonts w:hint="default" w:ascii="Times New Roman Bold" w:hAnsi="Times New Roman Bold" w:cs="Times New Roman Bold"/>
          <w:b/>
          <w:bCs/>
          <w:sz w:val="24"/>
          <w:szCs w:val="24"/>
        </w:rPr>
        <w:t>Best regards,</w:t>
      </w:r>
      <w:r>
        <w:rPr>
          <w:rFonts w:hint="default" w:ascii="Times New Roman" w:hAnsi="Times New Roman" w:cs="Times New Roman"/>
          <w:b w:val="0"/>
          <w:bCs w:val="0"/>
          <w:sz w:val="24"/>
          <w:szCs w:val="24"/>
        </w:rPr>
        <w:br w:type="textWrapping"/>
      </w:r>
      <w:r>
        <w:rPr>
          <w:rStyle w:val="7"/>
          <w:rFonts w:hint="default" w:ascii="Times New Roman" w:hAnsi="Times New Roman" w:cs="Times New Roman"/>
          <w:b w:val="0"/>
          <w:bCs w:val="0"/>
          <w:sz w:val="24"/>
          <w:szCs w:val="24"/>
        </w:rPr>
        <w:t>Edwin Gabula</w:t>
      </w:r>
    </w:p>
    <w:p w14:paraId="27A16398">
      <w:pPr>
        <w:pStyle w:val="6"/>
        <w:keepNext w:val="0"/>
        <w:keepLines w:val="0"/>
        <w:widowControl/>
        <w:suppressLineNumbers w:val="0"/>
        <w:spacing w:line="360" w:lineRule="auto"/>
        <w:rPr>
          <w:rFonts w:hint="default" w:ascii="Times New Roman" w:hAnsi="Times New Roman" w:cs="Times New Roman"/>
          <w:b w:val="0"/>
          <w:bCs w:val="0"/>
          <w:sz w:val="24"/>
          <w:szCs w:val="24"/>
        </w:rPr>
      </w:pPr>
    </w:p>
    <w:p w14:paraId="03447EDA">
      <w:pPr>
        <w:pStyle w:val="6"/>
        <w:keepNext w:val="0"/>
        <w:keepLines w:val="0"/>
        <w:widowControl/>
        <w:suppressLineNumbers w:val="0"/>
        <w:spacing w:line="360" w:lineRule="auto"/>
        <w:rPr>
          <w:rFonts w:hint="default" w:ascii="Times New Roman Italic" w:hAnsi="Times New Roman Italic" w:cs="Times New Roman Italic"/>
          <w:b w:val="0"/>
          <w:bCs w:val="0"/>
          <w:i/>
          <w:iCs/>
          <w:sz w:val="24"/>
          <w:szCs w:val="24"/>
        </w:rPr>
      </w:pPr>
      <w:r>
        <w:rPr>
          <w:rFonts w:hint="default" w:ascii="Times New Roman Italic" w:hAnsi="Times New Roman Italic" w:cs="Times New Roman Italic"/>
          <w:b w:val="0"/>
          <w:bCs w:val="0"/>
          <w:i/>
          <w:iCs/>
          <w:sz w:val="24"/>
          <w:szCs w:val="24"/>
          <w:lang w:val="en-US"/>
        </w:rPr>
        <w:t>“</w:t>
      </w:r>
      <w:r>
        <w:rPr>
          <w:rFonts w:hint="default" w:ascii="Times New Roman Italic" w:hAnsi="Times New Roman Italic" w:cs="Times New Roman Italic"/>
          <w:b w:val="0"/>
          <w:bCs w:val="0"/>
          <w:i/>
          <w:iCs/>
          <w:sz w:val="24"/>
          <w:szCs w:val="24"/>
        </w:rPr>
        <w:t>Not that I have already obtained all this, or have already arrived at my goal, but I press on to take hold of that for which Christ Jesus took hold of me. Brothers and sisters, I do not consider myself yet to have taken hold of it. But one thing I do: Forgetting what is behind and straining toward what is ahead..."</w:t>
      </w:r>
    </w:p>
    <w:p w14:paraId="6A547078">
      <w:pPr>
        <w:pStyle w:val="6"/>
        <w:keepNext w:val="0"/>
        <w:keepLines w:val="0"/>
        <w:widowControl/>
        <w:suppressLineNumbers w:val="0"/>
        <w:spacing w:line="360" w:lineRule="auto"/>
        <w:rPr>
          <w:rFonts w:hint="default" w:ascii="Times New Roman Bold" w:hAnsi="Times New Roman Bold" w:cs="Times New Roman Bold"/>
          <w:b/>
          <w:bCs/>
          <w:sz w:val="24"/>
          <w:szCs w:val="24"/>
          <w:lang w:val="en-US"/>
        </w:rPr>
      </w:pPr>
      <w:r>
        <w:rPr>
          <w:rFonts w:hint="default" w:ascii="Times New Roman Italic" w:hAnsi="Times New Roman Italic" w:cs="Times New Roman Italic"/>
          <w:b w:val="0"/>
          <w:bCs w:val="0"/>
          <w:i/>
          <w:iCs/>
          <w:sz w:val="24"/>
          <w:szCs w:val="24"/>
        </w:rPr>
        <w:br w:type="textWrapping"/>
      </w:r>
      <w:r>
        <w:rPr>
          <w:rStyle w:val="7"/>
          <w:rFonts w:hint="default" w:ascii="Times New Roman Bold" w:hAnsi="Times New Roman Bold" w:cs="Times New Roman Bold"/>
          <w:b/>
          <w:bCs/>
          <w:sz w:val="24"/>
          <w:szCs w:val="24"/>
        </w:rPr>
        <w:t>Philippians 3:12–13</w:t>
      </w:r>
      <w:r>
        <w:rPr>
          <w:rStyle w:val="7"/>
          <w:rFonts w:hint="default" w:ascii="Times New Roman Bold" w:hAnsi="Times New Roman Bold" w:cs="Times New Roman Bold"/>
          <w:b/>
          <w:bCs/>
          <w:sz w:val="24"/>
          <w:szCs w:val="24"/>
          <w:lang w:val="en-US"/>
        </w:rPr>
        <w:t xml:space="preserve"> (NIV)</w:t>
      </w:r>
    </w:p>
    <w:p w14:paraId="263C5F8C">
      <w:pPr>
        <w:spacing w:line="360" w:lineRule="auto"/>
        <w:rPr>
          <w:rFonts w:hint="default" w:ascii="Times New Roman" w:hAnsi="Times New Roman" w:cs="Times New Roman"/>
          <w:b w:val="0"/>
          <w:bCs w:val="0"/>
          <w:sz w:val="24"/>
          <w:szCs w:val="24"/>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苹方-简"/>
    <w:panose1 w:val="00000000000000000000"/>
    <w:charset w:val="86"/>
    <w:family w:val="auto"/>
    <w:pitch w:val="default"/>
    <w:sig w:usb0="00000000" w:usb1="00000000" w:usb2="00000000" w:usb3="00000000" w:csb0="00000000" w:csb1="00000000"/>
  </w:font>
  <w:font w:name="SimSun">
    <w:altName w:val="宋体-简"/>
    <w:panose1 w:val="02010600030101010101"/>
    <w:charset w:val="86"/>
    <w:family w:val="auto"/>
    <w:pitch w:val="default"/>
    <w:sig w:usb0="00000000" w:usb1="00000000" w:usb2="00000010" w:usb3="00000000" w:csb0="00040001" w:csb1="00000000"/>
  </w:font>
  <w:font w:name="Times New Roman Bold">
    <w:panose1 w:val="02020503050405090304"/>
    <w:charset w:val="00"/>
    <w:family w:val="auto"/>
    <w:pitch w:val="default"/>
    <w:sig w:usb0="E0000AFF" w:usb1="00007843" w:usb2="00000001" w:usb3="00000000" w:csb0="400001BF" w:csb1="DFF70000"/>
  </w:font>
  <w:font w:name="Times New Roman Italic">
    <w:panose1 w:val="02020503050405090304"/>
    <w:charset w:val="00"/>
    <w:family w:val="auto"/>
    <w:pitch w:val="default"/>
    <w:sig w:usb0="E0000AFF" w:usb1="00007843" w:usb2="00000001" w:usb3="00000000" w:csb0="400001BF" w:csb1="DFF7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 w:name="黑体-简">
    <w:panose1 w:val="02000000000000000000"/>
    <w:charset w:val="86"/>
    <w:family w:val="auto"/>
    <w:pitch w:val="default"/>
    <w:sig w:usb0="8000002F" w:usb1="0800004A" w:usb2="00000000" w:usb3="00000000" w:csb0="203E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2"/>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97F3931E"/>
    <w:rsid w:val="2DFB80D9"/>
    <w:rsid w:val="6BF9F6F0"/>
    <w:rsid w:val="97F3931E"/>
    <w:rsid w:val="FF7F0E8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character" w:styleId="5">
    <w:name w:val="Emphasis"/>
    <w:basedOn w:val="3"/>
    <w:qFormat/>
    <w:uiPriority w:val="0"/>
    <w:rPr>
      <w:i/>
      <w:iCs/>
    </w:rPr>
  </w:style>
  <w:style w:type="paragraph" w:styleId="6">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7">
    <w:name w:val="Strong"/>
    <w:basedOn w:val="3"/>
    <w:qFormat/>
    <w:uiPriority w:val="0"/>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12</TotalTime>
  <ScaleCrop>false</ScaleCrop>
  <LinksUpToDate>false</LinksUpToDate>
  <CharactersWithSpaces>0</CharactersWithSpaces>
  <Application>WPS Office_12.1.26050.26050_F1E327BC-269C-435d-A152-05C5408002CA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2026-08-09T18:53:00Z</dcterms:created>
  <dc:creator>Gabula Edwin</dc:creator>
  <cp:lastModifiedBy>Gabula Edwin</cp:lastModifiedBy>
  <dcterms:modified xsi:type="dcterms:W3CDTF">2026-08-10T09:56:16Z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1033-12.1.26050.26050</vt:lpwstr>
  </property>
  <property fmtid="{D5CDD505-2E9C-101B-9397-08002B2CF9AE}" pid="3" name="ICV">
    <vt:lpwstr>08FD788C2CFA7EE15B78786AE7C13F22_41</vt:lpwstr>
  </property>
</Properties>
</file>