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0AD5" w14:textId="77777777" w:rsidR="00A95A03" w:rsidRPr="004D2DB5" w:rsidRDefault="0033006E">
      <w:pPr>
        <w:jc w:val="center"/>
        <w:rPr>
          <w:lang w:val="es-PA"/>
        </w:rPr>
      </w:pPr>
      <w:r>
        <w:rPr>
          <w:rFonts w:ascii="Arial" w:hAnsi="Arial"/>
          <w:b/>
          <w:i w:val="0"/>
          <w:color w:val="0B1D2C"/>
          <w:sz w:val="36"/>
        </w:rPr>
        <w:t>ORGANIZACIÓN DE LA PRIMERA LIGA ATHLONX DE BALONCESTO 3X3</w:t>
      </w:r>
    </w:p>
    <w:p w14:paraId="37DD765B" w14:textId="77777777" w:rsidR="00A95A03" w:rsidRPr="004D2DB5" w:rsidRDefault="0033006E">
      <w:pPr>
        <w:jc w:val="center"/>
        <w:rPr>
          <w:lang w:val="es-PA"/>
        </w:rPr>
      </w:pPr>
      <w:r>
        <w:rPr>
          <w:rFonts w:ascii="Arial" w:hAnsi="Arial"/>
          <w:b w:val="0"/>
          <w:i/>
          <w:color w:val="0B1D2C"/>
          <w:sz w:val="20"/>
        </w:rPr>
        <w:t>Documento de trabajo para revisión y definición final</w:t>
      </w:r>
    </w:p>
    <w:p w14:paraId="461246E4" w14:textId="77777777" w:rsidR="00A95A03" w:rsidRPr="004D2DB5" w:rsidRDefault="0033006E">
      <w:pPr>
        <w:rPr>
          <w:lang w:val="es-PA"/>
        </w:rPr>
      </w:pPr>
      <w:r>
        <w:rPr>
          <w:rFonts w:ascii="Arial" w:hAnsi="Arial"/>
          <w:b w:val="0"/>
          <w:i w:val="0"/>
          <w:color w:val="0B1D2C"/>
          <w:sz w:val="20"/>
        </w:rPr>
        <w:t>Este documento reúne los acuerdos definidos hasta el momento para organizar la primera liga de baloncesto 3x3 de AthlonX. Los puntos indicados como pendientes deben confirmarse antes de publicar la convocatoria oficial.</w:t>
      </w:r>
    </w:p>
    <w:p w14:paraId="46367DC2" w14:textId="77777777" w:rsidR="00A95A03" w:rsidRDefault="0033006E">
      <w:pPr>
        <w:pStyle w:val="Ttulo1"/>
      </w:pPr>
      <w:r>
        <w:rPr>
          <w:rFonts w:ascii="Arial" w:hAnsi="Arial"/>
          <w:b w:val="0"/>
          <w:i w:val="0"/>
          <w:color w:val="0B1D2C"/>
          <w:sz w:val="20"/>
        </w:rPr>
        <w:t>1. Información general</w:t>
      </w:r>
    </w:p>
    <w:tbl>
      <w:tblPr>
        <w:tblStyle w:val="Tablaconcuadrcula"/>
        <w:tblW w:w="0" w:type="auto"/>
        <w:jc w:val="center"/>
        <w:tblLook w:val="04A0" w:firstRow="1" w:lastRow="0" w:firstColumn="1" w:lastColumn="0" w:noHBand="0" w:noVBand="1"/>
      </w:tblPr>
      <w:tblGrid>
        <w:gridCol w:w="5107"/>
        <w:gridCol w:w="5107"/>
      </w:tblGrid>
      <w:tr w:rsidR="00A95A03" w:rsidRPr="004D2DB5" w14:paraId="2DE26EF3" w14:textId="77777777">
        <w:trPr>
          <w:jc w:val="center"/>
        </w:trPr>
        <w:tc>
          <w:tcPr>
            <w:tcW w:w="5112" w:type="dxa"/>
            <w:shd w:val="clear" w:color="auto" w:fill="B4FF45"/>
            <w:vAlign w:val="center"/>
          </w:tcPr>
          <w:p>
            <w:r/>
            <w:r>
              <w:rPr>
                <w:rFonts w:ascii="Arial" w:hAnsi="Arial"/>
                <w:b/>
                <w:i w:val="0"/>
                <w:color w:val="0B1D2C"/>
                <w:sz w:val="18"/>
              </w:rPr>
              <w:t>Nombre oficial</w:t>
            </w:r>
          </w:p>
        </w:tc>
        <w:tc>
          <w:tcPr>
            <w:tcW w:w="5112" w:type="dxa"/>
            <w:shd w:val="clear" w:color="auto" w:fill="EAF2F7"/>
            <w:vAlign w:val="center"/>
          </w:tcPr>
          <w:p>
            <w:r/>
            <w:r>
              <w:rPr>
                <w:rFonts w:ascii="Arial" w:hAnsi="Arial"/>
                <w:b w:val="0"/>
                <w:i w:val="0"/>
                <w:color w:val="0B1D2C"/>
                <w:sz w:val="18"/>
              </w:rPr>
              <w:t>Primera Liga AthlonX de Baloncesto 3x3</w:t>
            </w:r>
          </w:p>
        </w:tc>
      </w:tr>
      <w:tr w:rsidR="00A95A03" w14:paraId="432541CE" w14:textId="77777777">
        <w:trPr>
          <w:jc w:val="center"/>
        </w:trPr>
        <w:tc>
          <w:tcPr>
            <w:tcW w:w="5112" w:type="dxa"/>
            <w:shd w:val="clear" w:color="auto" w:fill="B4FF45"/>
            <w:vAlign w:val="center"/>
          </w:tcPr>
          <w:p>
            <w:r/>
            <w:r>
              <w:rPr>
                <w:rFonts w:ascii="Arial" w:hAnsi="Arial"/>
                <w:b/>
                <w:i w:val="0"/>
                <w:color w:val="0B1D2C"/>
                <w:sz w:val="18"/>
              </w:rPr>
              <w:t>Disciplina</w:t>
            </w:r>
          </w:p>
        </w:tc>
        <w:tc>
          <w:tcPr>
            <w:tcW w:w="5112" w:type="dxa"/>
            <w:shd w:val="clear" w:color="auto" w:fill="EAF2F7"/>
            <w:vAlign w:val="center"/>
          </w:tcPr>
          <w:p>
            <w:r/>
            <w:r>
              <w:rPr>
                <w:rFonts w:ascii="Arial" w:hAnsi="Arial"/>
                <w:b w:val="0"/>
                <w:i w:val="0"/>
                <w:color w:val="0B1D2C"/>
                <w:sz w:val="18"/>
              </w:rPr>
              <w:t>Baloncesto</w:t>
            </w:r>
          </w:p>
        </w:tc>
      </w:tr>
      <w:tr w:rsidR="00A95A03" w14:paraId="06751089" w14:textId="77777777">
        <w:trPr>
          <w:jc w:val="center"/>
        </w:trPr>
        <w:tc>
          <w:tcPr>
            <w:tcW w:w="5112" w:type="dxa"/>
            <w:shd w:val="clear" w:color="auto" w:fill="B4FF45"/>
            <w:vAlign w:val="center"/>
          </w:tcPr>
          <w:p>
            <w:r/>
            <w:r>
              <w:rPr>
                <w:rFonts w:ascii="Arial" w:hAnsi="Arial"/>
                <w:b/>
                <w:i w:val="0"/>
                <w:color w:val="0B1D2C"/>
                <w:sz w:val="18"/>
              </w:rPr>
              <w:t>Modalidad</w:t>
            </w:r>
          </w:p>
        </w:tc>
        <w:tc>
          <w:tcPr>
            <w:tcW w:w="5112" w:type="dxa"/>
            <w:shd w:val="clear" w:color="auto" w:fill="EAF2F7"/>
            <w:vAlign w:val="center"/>
          </w:tcPr>
          <w:p>
            <w:r/>
            <w:r>
              <w:rPr>
                <w:rFonts w:ascii="Arial" w:hAnsi="Arial"/>
                <w:b w:val="0"/>
                <w:i w:val="0"/>
                <w:color w:val="0B1D2C"/>
                <w:sz w:val="18"/>
              </w:rPr>
              <w:t>Baloncesto 3x3</w:t>
            </w:r>
          </w:p>
        </w:tc>
      </w:tr>
      <w:tr w:rsidR="00A95A03" w14:paraId="45832C70" w14:textId="77777777">
        <w:trPr>
          <w:jc w:val="center"/>
        </w:trPr>
        <w:tc>
          <w:tcPr>
            <w:tcW w:w="5112" w:type="dxa"/>
            <w:shd w:val="clear" w:color="auto" w:fill="B4FF45"/>
            <w:vAlign w:val="center"/>
          </w:tcPr>
          <w:p>
            <w:r/>
            <w:r>
              <w:rPr>
                <w:rFonts w:ascii="Arial" w:hAnsi="Arial"/>
                <w:b/>
                <w:i w:val="0"/>
                <w:color w:val="0B1D2C"/>
                <w:sz w:val="18"/>
              </w:rPr>
              <w:t>Cantidad de equipos</w:t>
            </w:r>
          </w:p>
        </w:tc>
        <w:tc>
          <w:tcPr>
            <w:tcW w:w="5112" w:type="dxa"/>
            <w:shd w:val="clear" w:color="auto" w:fill="EAF2F7"/>
            <w:vAlign w:val="center"/>
          </w:tcPr>
          <w:p>
            <w:r/>
            <w:r>
              <w:rPr>
                <w:rFonts w:ascii="Arial" w:hAnsi="Arial"/>
                <w:b w:val="0"/>
                <w:i w:val="0"/>
                <w:color w:val="0B1D2C"/>
                <w:sz w:val="18"/>
              </w:rPr>
              <w:t>16 equipos</w:t>
            </w:r>
          </w:p>
        </w:tc>
      </w:tr>
      <w:tr w:rsidR="00A95A03" w14:paraId="2D96334D" w14:textId="77777777">
        <w:trPr>
          <w:jc w:val="center"/>
        </w:trPr>
        <w:tc>
          <w:tcPr>
            <w:tcW w:w="5112" w:type="dxa"/>
            <w:shd w:val="clear" w:color="auto" w:fill="B4FF45"/>
            <w:vAlign w:val="center"/>
          </w:tcPr>
          <w:p>
            <w:r/>
            <w:r>
              <w:rPr>
                <w:rFonts w:ascii="Arial" w:hAnsi="Arial"/>
                <w:b/>
                <w:i w:val="0"/>
                <w:color w:val="0B1D2C"/>
                <w:sz w:val="18"/>
              </w:rPr>
              <w:t>Formato</w:t>
            </w:r>
          </w:p>
        </w:tc>
        <w:tc>
          <w:tcPr>
            <w:tcW w:w="5112" w:type="dxa"/>
            <w:shd w:val="clear" w:color="auto" w:fill="EAF2F7"/>
            <w:vAlign w:val="center"/>
          </w:tcPr>
          <w:p>
            <w:r/>
            <w:r>
              <w:rPr>
                <w:rFonts w:ascii="Arial" w:hAnsi="Arial"/>
                <w:b w:val="0"/>
                <w:i w:val="0"/>
                <w:color w:val="0B1D2C"/>
                <w:sz w:val="18"/>
              </w:rPr>
              <w:t>Eliminación directa</w:t>
            </w:r>
          </w:p>
        </w:tc>
      </w:tr>
      <w:tr w:rsidR="00A95A03" w14:paraId="6C895E66" w14:textId="77777777">
        <w:trPr>
          <w:jc w:val="center"/>
        </w:trPr>
        <w:tc>
          <w:tcPr>
            <w:tcW w:w="5112" w:type="dxa"/>
            <w:shd w:val="clear" w:color="auto" w:fill="B4FF45"/>
            <w:vAlign w:val="center"/>
          </w:tcPr>
          <w:p>
            <w:r/>
            <w:r>
              <w:rPr>
                <w:rFonts w:ascii="Arial" w:hAnsi="Arial"/>
                <w:b/>
                <w:i w:val="0"/>
                <w:color w:val="0B1D2C"/>
                <w:sz w:val="18"/>
              </w:rPr>
              <w:t>Cancha</w:t>
            </w:r>
          </w:p>
        </w:tc>
        <w:tc>
          <w:tcPr>
            <w:tcW w:w="5112" w:type="dxa"/>
            <w:shd w:val="clear" w:color="auto" w:fill="EAF2F7"/>
            <w:vAlign w:val="center"/>
          </w:tcPr>
          <w:p>
            <w:r/>
            <w:r>
              <w:rPr>
                <w:rFonts w:ascii="Arial" w:hAnsi="Arial"/>
                <w:b w:val="0"/>
                <w:i w:val="0"/>
                <w:color w:val="0B1D2C"/>
                <w:sz w:val="18"/>
              </w:rPr>
              <w:t>1 cancha</w:t>
            </w:r>
          </w:p>
        </w:tc>
      </w:tr>
      <w:tr w:rsidR="00A95A03" w14:paraId="34B7E06C" w14:textId="77777777">
        <w:trPr>
          <w:jc w:val="center"/>
        </w:trPr>
        <w:tc>
          <w:tcPr>
            <w:tcW w:w="5112" w:type="dxa"/>
            <w:shd w:val="clear" w:color="auto" w:fill="B4FF45"/>
            <w:vAlign w:val="center"/>
          </w:tcPr>
          <w:p>
            <w:r/>
            <w:r>
              <w:rPr>
                <w:rFonts w:ascii="Arial" w:hAnsi="Arial"/>
                <w:b/>
                <w:i w:val="0"/>
                <w:color w:val="0B1D2C"/>
                <w:sz w:val="18"/>
              </w:rPr>
              <w:t>Fecha</w:t>
            </w:r>
          </w:p>
        </w:tc>
        <w:tc>
          <w:tcPr>
            <w:tcW w:w="5112" w:type="dxa"/>
            <w:shd w:val="clear" w:color="auto" w:fill="EAF2F7"/>
            <w:vAlign w:val="center"/>
          </w:tcPr>
          <w:p>
            <w:r/>
            <w:r>
              <w:rPr>
                <w:rFonts w:ascii="Arial" w:hAnsi="Arial"/>
                <w:b w:val="0"/>
                <w:i w:val="0"/>
                <w:color w:val="0B1D2C"/>
                <w:sz w:val="18"/>
              </w:rPr>
              <w:t>Por definir</w:t>
            </w:r>
          </w:p>
        </w:tc>
      </w:tr>
      <w:tr w:rsidR="00A95A03" w:rsidRPr="004D2DB5" w14:paraId="454FC135" w14:textId="77777777">
        <w:trPr>
          <w:jc w:val="center"/>
        </w:trPr>
        <w:tc>
          <w:tcPr>
            <w:tcW w:w="5112" w:type="dxa"/>
            <w:shd w:val="clear" w:color="auto" w:fill="B4FF45"/>
            <w:vAlign w:val="center"/>
          </w:tcPr>
          <w:p>
            <w:r/>
            <w:r>
              <w:rPr>
                <w:rFonts w:ascii="Arial" w:hAnsi="Arial"/>
                <w:b/>
                <w:i w:val="0"/>
                <w:color w:val="0B1D2C"/>
                <w:sz w:val="18"/>
              </w:rPr>
              <w:t>Lugar</w:t>
            </w:r>
          </w:p>
        </w:tc>
        <w:tc>
          <w:tcPr>
            <w:tcW w:w="5112" w:type="dxa"/>
            <w:shd w:val="clear" w:color="auto" w:fill="EAF2F7"/>
            <w:vAlign w:val="center"/>
          </w:tcPr>
          <w:p>
            <w:r/>
            <w:r>
              <w:rPr>
                <w:rFonts w:ascii="Arial" w:hAnsi="Arial"/>
                <w:b w:val="0"/>
                <w:i w:val="0"/>
                <w:color w:val="0B1D2C"/>
                <w:sz w:val="18"/>
              </w:rPr>
              <w:t>Universidad Tecnológica de Panamá (UTP)</w:t>
            </w:r>
          </w:p>
        </w:tc>
      </w:tr>
      <w:tr w:rsidR="00A95A03" w14:paraId="537355C9" w14:textId="77777777">
        <w:trPr>
          <w:jc w:val="center"/>
        </w:trPr>
        <w:tc>
          <w:tcPr>
            <w:tcW w:w="5112" w:type="dxa"/>
            <w:shd w:val="clear" w:color="auto" w:fill="B4FF45"/>
            <w:vAlign w:val="center"/>
          </w:tcPr>
          <w:p>
            <w:r/>
            <w:r>
              <w:rPr>
                <w:rFonts w:ascii="Arial" w:hAnsi="Arial"/>
                <w:b/>
                <w:i w:val="0"/>
                <w:color w:val="0B1D2C"/>
                <w:sz w:val="18"/>
              </w:rPr>
              <w:t>Horario</w:t>
            </w:r>
          </w:p>
        </w:tc>
        <w:tc>
          <w:tcPr>
            <w:tcW w:w="5112" w:type="dxa"/>
            <w:shd w:val="clear" w:color="auto" w:fill="EAF2F7"/>
            <w:vAlign w:val="center"/>
          </w:tcPr>
          <w:p>
            <w:r/>
            <w:r>
              <w:rPr>
                <w:rFonts w:ascii="Arial" w:hAnsi="Arial"/>
                <w:b w:val="0"/>
                <w:i w:val="0"/>
                <w:color w:val="0B1D2C"/>
                <w:sz w:val="18"/>
              </w:rPr>
              <w:t>8:00 a. m. a 5:00 p. m.</w:t>
            </w:r>
          </w:p>
        </w:tc>
      </w:tr>
    </w:tbl>
    <w:p w14:paraId="0AAEE553" w14:textId="77777777" w:rsidR="00A95A03" w:rsidRDefault="0033006E">
      <w:pPr>
        <w:pStyle w:val="Ttulo1"/>
      </w:pPr>
      <w:r>
        <w:rPr>
          <w:rFonts w:ascii="Arial" w:hAnsi="Arial"/>
          <w:b w:val="0"/>
          <w:i w:val="0"/>
          <w:color w:val="0B1D2C"/>
          <w:sz w:val="20"/>
        </w:rPr>
        <w:t>2. Estructura deportiva</w:t>
      </w:r>
    </w:p>
    <w:p w14:paraId="72A06ACE" w14:textId="77777777" w:rsidR="00A95A03" w:rsidRDefault="0033006E">
      <w:pPr>
        <w:pStyle w:val="Listaconvietas"/>
        <w:spacing w:after="40"/>
      </w:pPr>
      <w:r>
        <w:rPr>
          <w:rFonts w:ascii="Arial" w:hAnsi="Arial"/>
          <w:b w:val="0"/>
          <w:i w:val="0"/>
          <w:color w:val="0B1D2C"/>
          <w:sz w:val="20"/>
        </w:rPr>
        <w:t>Octavos de final: 8 partidos.</w:t>
      </w:r>
    </w:p>
    <w:p w14:paraId="0F2E4FE2" w14:textId="77777777" w:rsidR="00A95A03" w:rsidRDefault="0033006E">
      <w:pPr>
        <w:pStyle w:val="Listaconvietas"/>
        <w:spacing w:after="40"/>
      </w:pPr>
      <w:r>
        <w:rPr>
          <w:rFonts w:ascii="Arial" w:hAnsi="Arial"/>
          <w:b w:val="0"/>
          <w:i w:val="0"/>
          <w:color w:val="0B1D2C"/>
          <w:sz w:val="20"/>
        </w:rPr>
        <w:t>Cuartos de final: 4 partidos.</w:t>
      </w:r>
    </w:p>
    <w:p w14:paraId="7EBB4C11" w14:textId="77777777" w:rsidR="00A95A03" w:rsidRDefault="0033006E">
      <w:pPr>
        <w:pStyle w:val="Listaconvietas"/>
        <w:spacing w:after="40"/>
      </w:pPr>
      <w:r>
        <w:rPr>
          <w:rFonts w:ascii="Arial" w:hAnsi="Arial"/>
          <w:b w:val="0"/>
          <w:i w:val="0"/>
          <w:color w:val="0B1D2C"/>
          <w:sz w:val="20"/>
        </w:rPr>
        <w:t>Semifinales: 2 partidos.</w:t>
      </w:r>
    </w:p>
    <w:p w14:paraId="72622681" w14:textId="77777777" w:rsidR="00A95A03" w:rsidRDefault="0033006E">
      <w:pPr>
        <w:pStyle w:val="Listaconvietas"/>
        <w:spacing w:after="40"/>
      </w:pPr>
      <w:r>
        <w:rPr>
          <w:rFonts w:ascii="Arial" w:hAnsi="Arial"/>
          <w:b w:val="0"/>
          <w:i w:val="0"/>
          <w:color w:val="0B1D2C"/>
          <w:sz w:val="20"/>
        </w:rPr>
        <w:t>Final: 1 partido.</w:t>
      </w:r>
    </w:p>
    <w:p w14:paraId="3A6C064B" w14:textId="77777777" w:rsidR="00A95A03" w:rsidRDefault="0033006E">
      <w:pPr>
        <w:pStyle w:val="Listaconvietas"/>
        <w:spacing w:after="40"/>
      </w:pPr>
      <w:r>
        <w:rPr>
          <w:rFonts w:ascii="Arial" w:hAnsi="Arial"/>
          <w:b w:val="0"/>
          <w:i w:val="0"/>
          <w:color w:val="0B1D2C"/>
          <w:sz w:val="20"/>
        </w:rPr>
        <w:t>Total del torneo: 15 partidos.</w:t>
      </w:r>
    </w:p>
    <w:p w14:paraId="5D3A4695" w14:textId="77777777" w:rsidR="00A95A03" w:rsidRPr="004D2DB5" w:rsidRDefault="0033006E">
      <w:pPr>
        <w:pStyle w:val="Listaconvietas"/>
        <w:spacing w:after="40"/>
        <w:rPr>
          <w:lang w:val="es-PA"/>
        </w:rPr>
      </w:pPr>
      <w:r>
        <w:rPr>
          <w:rFonts w:ascii="Arial" w:hAnsi="Arial"/>
          <w:b w:val="0"/>
          <w:i w:val="0"/>
          <w:color w:val="0B1D2C"/>
          <w:sz w:val="20"/>
        </w:rPr>
        <w:t>Los ganadores avanzan automáticamente a la siguiente ronda.</w:t>
      </w:r>
    </w:p>
    <w:p w14:paraId="1FB2AC14" w14:textId="77777777" w:rsidR="00A95A03" w:rsidRDefault="0033006E">
      <w:pPr>
        <w:pStyle w:val="Ttulo1"/>
      </w:pPr>
      <w:r>
        <w:rPr>
          <w:rFonts w:ascii="Arial" w:hAnsi="Arial"/>
          <w:b w:val="0"/>
          <w:i w:val="0"/>
          <w:color w:val="0B1D2C"/>
          <w:sz w:val="20"/>
        </w:rPr>
        <w:t>3. Tiempos de juego y programación</w:t>
      </w:r>
    </w:p>
    <w:tbl>
      <w:tblPr>
        <w:tblStyle w:val="Tablaconcuadrcula"/>
        <w:tblW w:w="0" w:type="auto"/>
        <w:jc w:val="center"/>
        <w:tblLook w:val="04A0" w:firstRow="1" w:lastRow="0" w:firstColumn="1" w:lastColumn="0" w:noHBand="0" w:noVBand="1"/>
      </w:tblPr>
      <w:tblGrid>
        <w:gridCol w:w="5107"/>
        <w:gridCol w:w="5107"/>
      </w:tblGrid>
      <w:tr w:rsidR="00A95A03" w14:paraId="71036309" w14:textId="77777777">
        <w:trPr>
          <w:jc w:val="center"/>
        </w:trPr>
        <w:tc>
          <w:tcPr>
            <w:tcW w:w="5112" w:type="dxa"/>
            <w:shd w:val="clear" w:color="auto" w:fill="B4FF45"/>
            <w:vAlign w:val="center"/>
          </w:tcPr>
          <w:p>
            <w:r/>
            <w:r>
              <w:rPr>
                <w:rFonts w:ascii="Arial" w:hAnsi="Arial"/>
                <w:b/>
                <w:i w:val="0"/>
                <w:color w:val="0B1D2C"/>
                <w:sz w:val="18"/>
              </w:rPr>
              <w:t>Primer periodo</w:t>
            </w:r>
          </w:p>
        </w:tc>
        <w:tc>
          <w:tcPr>
            <w:tcW w:w="5112" w:type="dxa"/>
            <w:shd w:val="clear" w:color="auto" w:fill="EAF2F7"/>
            <w:vAlign w:val="center"/>
          </w:tcPr>
          <w:p>
            <w:r/>
            <w:r>
              <w:rPr>
                <w:rFonts w:ascii="Arial" w:hAnsi="Arial"/>
                <w:b w:val="0"/>
                <w:i w:val="0"/>
                <w:color w:val="0B1D2C"/>
                <w:sz w:val="18"/>
              </w:rPr>
              <w:t>20 minutos corridos</w:t>
            </w:r>
          </w:p>
        </w:tc>
      </w:tr>
      <w:tr w:rsidR="00A95A03" w14:paraId="6948E469" w14:textId="77777777">
        <w:trPr>
          <w:jc w:val="center"/>
        </w:trPr>
        <w:tc>
          <w:tcPr>
            <w:tcW w:w="5112" w:type="dxa"/>
            <w:shd w:val="clear" w:color="auto" w:fill="B4FF45"/>
            <w:vAlign w:val="center"/>
          </w:tcPr>
          <w:p>
            <w:r/>
            <w:r>
              <w:rPr>
                <w:rFonts w:ascii="Arial" w:hAnsi="Arial"/>
                <w:b/>
                <w:i w:val="0"/>
                <w:color w:val="0B1D2C"/>
                <w:sz w:val="18"/>
              </w:rPr>
              <w:t>Descanso entre periodos</w:t>
            </w:r>
          </w:p>
        </w:tc>
        <w:tc>
          <w:tcPr>
            <w:tcW w:w="5112" w:type="dxa"/>
            <w:shd w:val="clear" w:color="auto" w:fill="EAF2F7"/>
            <w:vAlign w:val="center"/>
          </w:tcPr>
          <w:p>
            <w:r/>
            <w:r>
              <w:rPr>
                <w:rFonts w:ascii="Arial" w:hAnsi="Arial"/>
                <w:b w:val="0"/>
                <w:i w:val="0"/>
                <w:color w:val="0B1D2C"/>
                <w:sz w:val="18"/>
              </w:rPr>
              <w:t>No aplica</w:t>
            </w:r>
          </w:p>
        </w:tc>
      </w:tr>
      <w:tr w:rsidR="00A95A03" w14:paraId="457225B9" w14:textId="77777777">
        <w:trPr>
          <w:jc w:val="center"/>
        </w:trPr>
        <w:tc>
          <w:tcPr>
            <w:tcW w:w="5112" w:type="dxa"/>
            <w:shd w:val="clear" w:color="auto" w:fill="B4FF45"/>
            <w:vAlign w:val="center"/>
          </w:tcPr>
          <w:p>
            <w:r/>
            <w:r>
              <w:rPr>
                <w:rFonts w:ascii="Arial" w:hAnsi="Arial"/>
                <w:b/>
                <w:i w:val="0"/>
                <w:color w:val="0B1D2C"/>
                <w:sz w:val="18"/>
              </w:rPr>
              <w:t>Intervalo entre partidos</w:t>
            </w:r>
          </w:p>
        </w:tc>
        <w:tc>
          <w:tcPr>
            <w:tcW w:w="5112" w:type="dxa"/>
            <w:shd w:val="clear" w:color="auto" w:fill="EAF2F7"/>
            <w:vAlign w:val="center"/>
          </w:tcPr>
          <w:p>
            <w:r/>
            <w:r>
              <w:rPr>
                <w:rFonts w:ascii="Arial" w:hAnsi="Arial"/>
                <w:b w:val="0"/>
                <w:i w:val="0"/>
                <w:color w:val="0B1D2C"/>
                <w:sz w:val="18"/>
              </w:rPr>
              <w:t>5 minutos</w:t>
            </w:r>
          </w:p>
        </w:tc>
      </w:tr>
      <w:tr w:rsidR="00A95A03" w14:paraId="0CF33F16" w14:textId="77777777">
        <w:trPr>
          <w:jc w:val="center"/>
        </w:trPr>
        <w:tc>
          <w:tcPr>
            <w:tcW w:w="5112" w:type="dxa"/>
            <w:shd w:val="clear" w:color="auto" w:fill="B4FF45"/>
            <w:vAlign w:val="center"/>
          </w:tcPr>
          <w:p>
            <w:r/>
            <w:r>
              <w:rPr>
                <w:rFonts w:ascii="Arial" w:hAnsi="Arial"/>
                <w:b/>
                <w:i w:val="0"/>
                <w:color w:val="0B1D2C"/>
                <w:sz w:val="18"/>
              </w:rPr>
              <w:t>Duración base por partido</w:t>
            </w:r>
          </w:p>
        </w:tc>
        <w:tc>
          <w:tcPr>
            <w:tcW w:w="5112" w:type="dxa"/>
            <w:shd w:val="clear" w:color="auto" w:fill="EAF2F7"/>
            <w:vAlign w:val="center"/>
          </w:tcPr>
          <w:p>
            <w:r/>
            <w:r>
              <w:rPr>
                <w:rFonts w:ascii="Arial" w:hAnsi="Arial"/>
                <w:b w:val="0"/>
                <w:i w:val="0"/>
                <w:color w:val="0B1D2C"/>
                <w:sz w:val="18"/>
              </w:rPr>
              <w:t>25 minutos incluyendo intervalo</w:t>
            </w:r>
          </w:p>
        </w:tc>
      </w:tr>
      <w:tr w:rsidR="00A95A03" w:rsidRPr="004D2DB5" w14:paraId="41687C30" w14:textId="77777777">
        <w:trPr>
          <w:jc w:val="center"/>
        </w:trPr>
        <w:tc>
          <w:tcPr>
            <w:tcW w:w="5112" w:type="dxa"/>
            <w:shd w:val="clear" w:color="auto" w:fill="B4FF45"/>
            <w:vAlign w:val="center"/>
          </w:tcPr>
          <w:p>
            <w:r/>
            <w:r>
              <w:rPr>
                <w:rFonts w:ascii="Arial" w:hAnsi="Arial"/>
                <w:b/>
                <w:i w:val="0"/>
                <w:color w:val="0B1D2C"/>
                <w:sz w:val="18"/>
              </w:rPr>
              <w:t>Empates</w:t>
            </w:r>
          </w:p>
        </w:tc>
        <w:tc>
          <w:tcPr>
            <w:tcW w:w="5112" w:type="dxa"/>
            <w:shd w:val="clear" w:color="auto" w:fill="EAF2F7"/>
            <w:vAlign w:val="center"/>
          </w:tcPr>
          <w:p>
            <w:r/>
            <w:r>
              <w:rPr>
                <w:rFonts w:ascii="Arial" w:hAnsi="Arial"/>
                <w:b w:val="0"/>
                <w:i w:val="0"/>
                <w:color w:val="0B1D2C"/>
                <w:sz w:val="18"/>
              </w:rPr>
              <w:t>Se resuelven con tiempo extra</w:t>
            </w:r>
          </w:p>
        </w:tc>
      </w:tr>
      <w:tr w:rsidR="00A95A03" w:rsidRPr="004D2DB5" w14:paraId="0D3223E9" w14:textId="77777777">
        <w:trPr>
          <w:jc w:val="center"/>
        </w:trPr>
        <w:tc>
          <w:tcPr>
            <w:tcW w:w="5112" w:type="dxa"/>
            <w:shd w:val="clear" w:color="auto" w:fill="B4FF45"/>
            <w:vAlign w:val="center"/>
          </w:tcPr>
          <w:p>
            <w:r/>
            <w:r>
              <w:rPr>
                <w:rFonts w:ascii="Arial" w:hAnsi="Arial"/>
                <w:b/>
                <w:i w:val="0"/>
                <w:color w:val="0B1D2C"/>
                <w:sz w:val="18"/>
              </w:rPr>
              <w:t>Tiempo extra</w:t>
            </w:r>
          </w:p>
        </w:tc>
        <w:tc>
          <w:tcPr>
            <w:tcW w:w="5112" w:type="dxa"/>
            <w:shd w:val="clear" w:color="auto" w:fill="EAF2F7"/>
            <w:vAlign w:val="center"/>
          </w:tcPr>
          <w:p>
            <w:r/>
            <w:r>
              <w:rPr>
                <w:rFonts w:ascii="Arial" w:hAnsi="Arial"/>
                <w:b w:val="0"/>
                <w:i w:val="0"/>
                <w:color w:val="0B1D2C"/>
                <w:sz w:val="18"/>
              </w:rPr>
              <w:t>Hasta obtener 2 puntos de ventaja</w:t>
            </w:r>
          </w:p>
        </w:tc>
      </w:tr>
      <w:tr w:rsidR="00A95A03" w:rsidRPr="004D2DB5" w14:paraId="4F52FAAA" w14:textId="77777777">
        <w:trPr>
          <w:jc w:val="center"/>
        </w:trPr>
        <w:tc>
          <w:tcPr>
            <w:tcW w:w="5112" w:type="dxa"/>
            <w:shd w:val="clear" w:color="auto" w:fill="B4FF45"/>
            <w:vAlign w:val="center"/>
          </w:tcPr>
          <w:p>
            <w:r/>
            <w:r>
              <w:rPr>
                <w:rFonts w:ascii="Arial" w:hAnsi="Arial"/>
                <w:b/>
                <w:i w:val="0"/>
                <w:color w:val="0B1D2C"/>
                <w:sz w:val="18"/>
              </w:rPr>
              <w:t>Partidos totales</w:t>
            </w:r>
          </w:p>
        </w:tc>
        <w:tc>
          <w:tcPr>
            <w:tcW w:w="5112" w:type="dxa"/>
            <w:shd w:val="clear" w:color="auto" w:fill="EAF2F7"/>
            <w:vAlign w:val="center"/>
          </w:tcPr>
          <w:p>
            <w:r/>
            <w:r>
              <w:rPr>
                <w:rFonts w:ascii="Arial" w:hAnsi="Arial"/>
                <w:b w:val="0"/>
                <w:i w:val="0"/>
                <w:color w:val="0B1D2C"/>
                <w:sz w:val="18"/>
              </w:rPr>
              <w:t>15 partidos</w:t>
            </w:r>
          </w:p>
        </w:tc>
      </w:tr>
      <w:tr w:rsidR="00A95A03" w:rsidRPr="004D2DB5" w14:paraId="6C321D23" w14:textId="77777777">
        <w:trPr>
          <w:jc w:val="center"/>
        </w:trPr>
        <w:tc>
          <w:tcPr>
            <w:tcW w:w="5112" w:type="dxa"/>
            <w:shd w:val="clear" w:color="auto" w:fill="B4FF45"/>
            <w:vAlign w:val="center"/>
          </w:tcPr>
          <w:p>
            <w:r/>
            <w:r>
              <w:rPr>
                <w:rFonts w:ascii="Arial" w:hAnsi="Arial"/>
                <w:b/>
                <w:i w:val="0"/>
                <w:color w:val="0B1D2C"/>
                <w:sz w:val="18"/>
              </w:rPr>
              <w:t>Programación estimada</w:t>
            </w:r>
          </w:p>
        </w:tc>
        <w:tc>
          <w:tcPr>
            <w:tcW w:w="5112" w:type="dxa"/>
            <w:shd w:val="clear" w:color="auto" w:fill="EAF2F7"/>
            <w:vAlign w:val="center"/>
          </w:tcPr>
          <w:p>
            <w:r/>
            <w:r>
              <w:rPr>
                <w:rFonts w:ascii="Arial" w:hAnsi="Arial"/>
                <w:b w:val="0"/>
                <w:i w:val="0"/>
                <w:color w:val="0B1D2C"/>
                <w:sz w:val="18"/>
              </w:rPr>
              <w:t>6 horas y 15 minutos</w:t>
            </w:r>
          </w:p>
        </w:tc>
      </w:tr>
    </w:tbl>
    <w:p w14:paraId="5994B915" w14:textId="77777777" w:rsidR="00A95A03" w:rsidRPr="004D2DB5" w:rsidRDefault="0033006E">
      <w:pPr>
        <w:rPr>
          <w:lang w:val="es-PA"/>
        </w:rPr>
      </w:pPr>
      <w:r>
        <w:rPr>
          <w:rFonts w:ascii="Arial" w:hAnsi="Arial"/>
          <w:b w:val="0"/>
          <w:i w:val="0"/>
          <w:color w:val="0B1D2C"/>
          <w:sz w:val="20"/>
        </w:rPr>
        <w:t>La jornada considera 20 minutos corridos por partido y un intervalo de 5 minutos para el cambio de equipos, registro del resultado y preparación del siguiente encuentro.</w:t>
      </w:r>
    </w:p>
    <w:p w14:paraId="398D2DBA" w14:textId="77777777" w:rsidR="00A95A03" w:rsidRDefault="0033006E">
      <w:pPr>
        <w:pStyle w:val="Ttulo1"/>
      </w:pPr>
      <w:r>
        <w:rPr>
          <w:rFonts w:ascii="Arial" w:hAnsi="Arial"/>
          <w:b w:val="0"/>
          <w:i w:val="0"/>
          <w:color w:val="0B1D2C"/>
          <w:sz w:val="20"/>
        </w:rPr>
        <w:t>4. Inscripción y elegibilidad</w:t>
      </w:r>
    </w:p>
    <w:p w14:paraId="781FFCE7" w14:textId="77777777" w:rsidR="00A95A03" w:rsidRPr="004D2DB5" w:rsidRDefault="0033006E">
      <w:pPr>
        <w:pStyle w:val="Listaconvietas"/>
        <w:spacing w:after="40"/>
        <w:rPr>
          <w:lang w:val="es-PA"/>
        </w:rPr>
      </w:pPr>
      <w:r>
        <w:rPr>
          <w:rFonts w:ascii="Arial" w:hAnsi="Arial"/>
          <w:b w:val="0"/>
          <w:i w:val="0"/>
          <w:color w:val="0B1D2C"/>
          <w:sz w:val="20"/>
        </w:rPr>
        <w:t>El equipo debe pagar la inscripción completa antes de participar.</w:t>
      </w:r>
    </w:p>
    <w:p w14:paraId="7E361CEE" w14:textId="77777777" w:rsidR="00A95A03" w:rsidRPr="004D2DB5" w:rsidRDefault="0033006E">
      <w:pPr>
        <w:pStyle w:val="Listaconvietas"/>
        <w:spacing w:after="40"/>
        <w:rPr>
          <w:lang w:val="es-PA"/>
        </w:rPr>
      </w:pPr>
      <w:r>
        <w:rPr>
          <w:rFonts w:ascii="Arial" w:hAnsi="Arial"/>
          <w:b w:val="0"/>
          <w:i w:val="0"/>
          <w:color w:val="0B1D2C"/>
          <w:sz w:val="20"/>
        </w:rPr>
        <w:t>Cada equipo debe registrar un mínimo de 3 y un máximo de 6 jugadores.</w:t>
      </w:r>
    </w:p>
    <w:p w14:paraId="7D00CFC4" w14:textId="77777777" w:rsidR="00A95A03" w:rsidRPr="004D2DB5" w:rsidRDefault="0033006E">
      <w:pPr>
        <w:pStyle w:val="Listaconvietas"/>
        <w:spacing w:after="40"/>
        <w:rPr>
          <w:lang w:val="es-PA"/>
        </w:rPr>
      </w:pPr>
      <w:r>
        <w:rPr>
          <w:rFonts w:ascii="Arial" w:hAnsi="Arial"/>
          <w:b w:val="0"/>
          <w:i w:val="0"/>
          <w:color w:val="0B1D2C"/>
          <w:sz w:val="20"/>
        </w:rPr>
        <w:t>La inscripción será de B/.40.00 por equipo.</w:t>
      </w:r>
    </w:p>
    <w:p w14:paraId="232F9568" w14:textId="77777777" w:rsidR="00A95A03" w:rsidRPr="004D2DB5" w:rsidRDefault="0033006E">
      <w:pPr>
        <w:pStyle w:val="Listaconvietas"/>
        <w:spacing w:after="40"/>
        <w:rPr>
          <w:lang w:val="es-PA"/>
        </w:rPr>
      </w:pPr>
      <w:r>
        <w:rPr>
          <w:rFonts w:ascii="Arial" w:hAnsi="Arial"/>
          <w:b w:val="0"/>
          <w:i w:val="0"/>
          <w:color w:val="0B1D2C"/>
          <w:sz w:val="20"/>
        </w:rPr>
        <w:t>Cada equipo debe utilizar colores distintivos; el uniforme completo no es obligatorio.</w:t>
      </w:r>
    </w:p>
    <w:p w14:paraId="73836C5A" w14:textId="77777777" w:rsidR="00A95A03" w:rsidRPr="004D2DB5" w:rsidRDefault="0033006E">
      <w:pPr>
        <w:pStyle w:val="Listaconvietas"/>
        <w:spacing w:after="40"/>
        <w:rPr>
          <w:lang w:val="es-PA"/>
        </w:rPr>
      </w:pPr>
      <w:r>
        <w:rPr>
          <w:rFonts w:ascii="Arial" w:hAnsi="Arial"/>
          <w:b w:val="0"/>
          <w:i w:val="0"/>
          <w:color w:val="0B1D2C"/>
          <w:sz w:val="20"/>
        </w:rPr>
        <w:t>Se permitirán sustituciones ilimitadas durante las pausas del juego.</w:t>
      </w:r>
    </w:p>
    <w:p w14:paraId="13E0B408" w14:textId="77777777" w:rsidR="00A95A03" w:rsidRPr="004D2DB5" w:rsidRDefault="0033006E">
      <w:pPr>
        <w:pStyle w:val="Listaconvietas"/>
        <w:spacing w:after="40"/>
        <w:rPr>
          <w:lang w:val="es-PA"/>
        </w:rPr>
      </w:pPr>
      <w:r>
        <w:rPr>
          <w:rFonts w:ascii="Arial" w:hAnsi="Arial"/>
          <w:b w:val="0"/>
          <w:i w:val="0"/>
          <w:color w:val="0B1D2C"/>
          <w:sz w:val="20"/>
        </w:rPr>
        <w:t>Cada partido se jugará con 3 jugadores en cancha y hasta 3 suplentes.</w:t>
      </w:r>
    </w:p>
    <w:p w14:paraId="2E6749C9" w14:textId="77777777" w:rsidR="00A95A03" w:rsidRPr="004D2DB5" w:rsidRDefault="0033006E">
      <w:pPr>
        <w:pStyle w:val="Ttulo1"/>
        <w:rPr>
          <w:lang w:val="es-PA"/>
        </w:rPr>
      </w:pPr>
      <w:r>
        <w:rPr>
          <w:rFonts w:ascii="Arial" w:hAnsi="Arial"/>
          <w:b w:val="0"/>
          <w:i w:val="0"/>
          <w:color w:val="0B1D2C"/>
          <w:sz w:val="20"/>
        </w:rPr>
        <w:t>5. Arbitraje y pagos</w:t>
      </w:r>
    </w:p>
    <w:p w14:paraId="4B86644F" w14:textId="77777777" w:rsidR="00A95A03" w:rsidRPr="004D2DB5" w:rsidRDefault="0033006E">
      <w:pPr>
        <w:rPr>
          <w:lang w:val="es-PA"/>
        </w:rPr>
      </w:pPr>
      <w:r>
        <w:rPr>
          <w:rFonts w:ascii="Arial" w:hAnsi="Arial"/>
          <w:b w:val="0"/>
          <w:i w:val="0"/>
          <w:color w:val="0B1D2C"/>
          <w:sz w:val="20"/>
        </w:rPr>
        <w:t>Se utilizará un árbitro por partido. El árbitro dirigirá los 15 partidos y recibirá B/.8.00 por cada encuentro, para un total de B/.120.00. La mesa técnica será administrada por AthlonX.</w:t>
      </w:r>
    </w:p>
    <w:tbl>
      <w:tblPr>
        <w:tblStyle w:val="Tablaconcuadrcula"/>
        <w:tblW w:w="0" w:type="auto"/>
        <w:jc w:val="center"/>
        <w:tblLook w:val="04A0" w:firstRow="1" w:lastRow="0" w:firstColumn="1" w:lastColumn="0" w:noHBand="0" w:noVBand="1"/>
      </w:tblPr>
      <w:tblGrid>
        <w:gridCol w:w="3404"/>
        <w:gridCol w:w="3405"/>
        <w:gridCol w:w="3405"/>
      </w:tblGrid>
      <w:tr w:rsidR="00A95A03" w:rsidRPr="004D2DB5" w14:paraId="5B05B27A" w14:textId="77777777">
        <w:trPr>
          <w:jc w:val="center"/>
        </w:trPr>
        <w:tc>
          <w:tcPr>
            <w:tcW w:w="3408" w:type="dxa"/>
            <w:shd w:val="clear" w:color="auto" w:fill="0B1D2C"/>
            <w:vAlign w:val="center"/>
          </w:tcPr>
          <w:p>
            <w:r/>
            <w:r>
              <w:rPr>
                <w:rFonts w:ascii="Arial" w:hAnsi="Arial"/>
                <w:b/>
                <w:i w:val="0"/>
                <w:color w:val="FFFFFF"/>
                <w:sz w:val="18"/>
              </w:rPr>
              <w:t>Árbitro</w:t>
            </w:r>
          </w:p>
        </w:tc>
        <w:tc>
          <w:tcPr>
            <w:tcW w:w="3408" w:type="dxa"/>
            <w:shd w:val="clear" w:color="auto" w:fill="0B1D2C"/>
            <w:vAlign w:val="center"/>
          </w:tcPr>
          <w:p>
            <w:r/>
            <w:r>
              <w:rPr>
                <w:rFonts w:ascii="Arial" w:hAnsi="Arial"/>
                <w:b/>
                <w:i w:val="0"/>
                <w:color w:val="FFFFFF"/>
                <w:sz w:val="18"/>
              </w:rPr>
              <w:t>Partidos asignados</w:t>
            </w:r>
          </w:p>
        </w:tc>
        <w:tc>
          <w:tcPr>
            <w:tcW w:w="3408" w:type="dxa"/>
            <w:shd w:val="clear" w:color="auto" w:fill="0B1D2C"/>
            <w:vAlign w:val="center"/>
          </w:tcPr>
          <w:p>
            <w:r/>
            <w:r>
              <w:rPr>
                <w:rFonts w:ascii="Arial" w:hAnsi="Arial"/>
                <w:b/>
                <w:i w:val="0"/>
                <w:color w:val="FFFFFF"/>
                <w:sz w:val="18"/>
              </w:rPr>
              <w:t>Pago a B/.8.00 por partido</w:t>
            </w:r>
          </w:p>
        </w:tc>
      </w:tr>
      <w:tr w:rsidR="00A95A03" w14:paraId="598F72B9" w14:textId="77777777">
        <w:trPr>
          <w:jc w:val="center"/>
        </w:trPr>
        <w:tc>
          <w:tcPr>
            <w:tcW w:w="3408" w:type="dxa"/>
            <w:shd w:val="clear" w:color="auto" w:fill="EAF2F7"/>
            <w:vAlign w:val="center"/>
          </w:tcPr>
          <w:p>
            <w:r/>
            <w:r>
              <w:rPr>
                <w:rFonts w:ascii="Arial" w:hAnsi="Arial"/>
                <w:b w:val="0"/>
                <w:i w:val="0"/>
                <w:color w:val="0B1D2C"/>
                <w:sz w:val="18"/>
              </w:rPr>
              <w:t>A</w:t>
            </w:r>
          </w:p>
        </w:tc>
        <w:tc>
          <w:tcPr>
            <w:tcW w:w="3408" w:type="dxa"/>
            <w:shd w:val="clear" w:color="auto" w:fill="EAF2F7"/>
            <w:vAlign w:val="center"/>
          </w:tcPr>
          <w:p>
            <w:r/>
            <w:r>
              <w:rPr>
                <w:rFonts w:ascii="Arial" w:hAnsi="Arial"/>
                <w:b w:val="0"/>
                <w:i w:val="0"/>
                <w:color w:val="0B1D2C"/>
                <w:sz w:val="18"/>
              </w:rPr>
              <w:t>15</w:t>
            </w:r>
          </w:p>
        </w:tc>
        <w:tc>
          <w:tcPr>
            <w:tcW w:w="3408" w:type="dxa"/>
            <w:shd w:val="clear" w:color="auto" w:fill="EAF2F7"/>
            <w:vAlign w:val="center"/>
          </w:tcPr>
          <w:p>
            <w:r/>
            <w:r>
              <w:rPr>
                <w:rFonts w:ascii="Arial" w:hAnsi="Arial"/>
                <w:b w:val="0"/>
                <w:i w:val="0"/>
                <w:color w:val="0B1D2C"/>
                <w:sz w:val="18"/>
              </w:rPr>
              <w:t>B/.120.00</w:t>
            </w:r>
          </w:p>
        </w:tc>
      </w:tr>
      <w:tr w:rsidR="00A95A03" w14:paraId="4E29D28C" w14:textId="77777777">
        <w:trPr>
          <w:jc w:val="center"/>
        </w:trPr>
        <w:tc>
          <w:tcPr>
            <w:tcW w:w="3408" w:type="dxa"/>
            <w:shd w:val="clear" w:color="auto" w:fill="EAF2F7"/>
            <w:vAlign w:val="center"/>
          </w:tcPr>
          <w:p>
            <w:r/>
            <w:r>
              <w:rPr>
                <w:rFonts w:ascii="Arial" w:hAnsi="Arial"/>
                <w:b w:val="0"/>
                <w:i w:val="0"/>
                <w:color w:val="0B1D2C"/>
                <w:sz w:val="18"/>
              </w:rPr>
              <w:t>Mesa técnica</w:t>
            </w:r>
          </w:p>
        </w:tc>
        <w:tc>
          <w:tcPr>
            <w:tcW w:w="3408" w:type="dxa"/>
            <w:shd w:val="clear" w:color="auto" w:fill="EAF2F7"/>
            <w:vAlign w:val="center"/>
          </w:tcPr>
          <w:p>
            <w:r/>
            <w:r>
              <w:rPr>
                <w:rFonts w:ascii="Arial" w:hAnsi="Arial"/>
                <w:b w:val="0"/>
                <w:i w:val="0"/>
                <w:color w:val="0B1D2C"/>
                <w:sz w:val="18"/>
              </w:rPr>
              <w:t>15 partidos</w:t>
            </w:r>
          </w:p>
        </w:tc>
        <w:tc>
          <w:tcPr>
            <w:tcW w:w="3408" w:type="dxa"/>
            <w:shd w:val="clear" w:color="auto" w:fill="EAF2F7"/>
            <w:vAlign w:val="center"/>
          </w:tcPr>
          <w:p>
            <w:r/>
            <w:r>
              <w:rPr>
                <w:rFonts w:ascii="Arial" w:hAnsi="Arial"/>
                <w:b w:val="0"/>
                <w:i w:val="0"/>
                <w:color w:val="0B1D2C"/>
                <w:sz w:val="18"/>
              </w:rPr>
              <w:t>Administrada por AthlonX</w:t>
            </w:r>
          </w:p>
        </w:tc>
      </w:tr>
      <w:tr w:rsidR="00A95A03" w14:paraId="1907E792" w14:textId="77777777">
        <w:trPr>
          <w:jc w:val="center"/>
        </w:trPr>
        <w:tc>
          <w:tcPr>
            <w:tcW w:w="3408" w:type="dxa"/>
            <w:shd w:val="clear" w:color="auto" w:fill="EAF2F7"/>
            <w:vAlign w:val="center"/>
          </w:tcPr>
          <w:p>
            <w:r/>
            <w:r>
              <w:rPr>
                <w:rFonts w:ascii="Arial" w:hAnsi="Arial"/>
                <w:b w:val="0"/>
                <w:i w:val="0"/>
                <w:color w:val="0B1D2C"/>
                <w:sz w:val="18"/>
              </w:rPr>
              <w:t>Cancha</w:t>
            </w:r>
          </w:p>
        </w:tc>
        <w:tc>
          <w:tcPr>
            <w:tcW w:w="3408" w:type="dxa"/>
            <w:shd w:val="clear" w:color="auto" w:fill="EAF2F7"/>
            <w:vAlign w:val="center"/>
          </w:tcPr>
          <w:p>
            <w:r/>
            <w:r>
              <w:rPr>
                <w:rFonts w:ascii="Arial" w:hAnsi="Arial"/>
                <w:b w:val="0"/>
                <w:i w:val="0"/>
                <w:color w:val="0B1D2C"/>
                <w:sz w:val="18"/>
              </w:rPr>
              <w:t>1</w:t>
            </w:r>
          </w:p>
        </w:tc>
        <w:tc>
          <w:tcPr>
            <w:tcW w:w="3408" w:type="dxa"/>
            <w:shd w:val="clear" w:color="auto" w:fill="EAF2F7"/>
            <w:vAlign w:val="center"/>
          </w:tcPr>
          <w:p>
            <w:r/>
            <w:r>
              <w:rPr>
                <w:rFonts w:ascii="Arial" w:hAnsi="Arial"/>
                <w:b w:val="0"/>
                <w:i w:val="0"/>
                <w:color w:val="0B1D2C"/>
                <w:sz w:val="18"/>
              </w:rPr>
              <w:t>UTP</w:t>
            </w:r>
          </w:p>
        </w:tc>
      </w:tr>
      <w:tr w:rsidR="00A95A03" w14:paraId="749A5076" w14:textId="77777777">
        <w:trPr>
          <w:jc w:val="center"/>
        </w:trPr>
        <w:tc>
          <w:tcPr>
            <w:tcW w:w="3408" w:type="dxa"/>
            <w:shd w:val="clear" w:color="auto" w:fill="EAF2F7"/>
            <w:vAlign w:val="center"/>
          </w:tcPr>
          <w:p>
            <w:r/>
            <w:r>
              <w:rPr>
                <w:rFonts w:ascii="Arial" w:hAnsi="Arial"/>
                <w:b w:val="0"/>
                <w:i w:val="0"/>
                <w:color w:val="0B1D2C"/>
                <w:sz w:val="18"/>
              </w:rPr>
              <w:t>Total arbitraje</w:t>
            </w:r>
          </w:p>
        </w:tc>
        <w:tc>
          <w:tcPr>
            <w:tcW w:w="3408" w:type="dxa"/>
            <w:shd w:val="clear" w:color="auto" w:fill="EAF2F7"/>
            <w:vAlign w:val="center"/>
          </w:tcPr>
          <w:p>
            <w:r/>
            <w:r>
              <w:rPr>
                <w:rFonts w:ascii="Arial" w:hAnsi="Arial"/>
                <w:b w:val="0"/>
                <w:i w:val="0"/>
                <w:color w:val="0B1D2C"/>
                <w:sz w:val="18"/>
              </w:rPr>
              <w:t>15 asignaciones</w:t>
            </w:r>
          </w:p>
        </w:tc>
        <w:tc>
          <w:tcPr>
            <w:tcW w:w="3408" w:type="dxa"/>
            <w:shd w:val="clear" w:color="auto" w:fill="EAF2F7"/>
            <w:vAlign w:val="center"/>
          </w:tcPr>
          <w:p>
            <w:r/>
            <w:r>
              <w:rPr>
                <w:rFonts w:ascii="Arial" w:hAnsi="Arial"/>
                <w:b w:val="0"/>
                <w:i w:val="0"/>
                <w:color w:val="0B1D2C"/>
                <w:sz w:val="18"/>
              </w:rPr>
              <w:t>B/.120.00</w:t>
            </w:r>
          </w:p>
        </w:tc>
      </w:tr>
      <w:tr w:rsidR="00A95A03" w14:paraId="5E1B3FE9" w14:textId="77777777">
        <w:trPr>
          <w:jc w:val="center"/>
        </w:trPr>
        <w:tc>
          <w:tcPr>
            <w:tcW w:w="3408" w:type="dxa"/>
            <w:shd w:val="clear" w:color="auto" w:fill="B4FF45"/>
            <w:vAlign w:val="center"/>
          </w:tcPr>
          <w:p>
            <w:r/>
            <w:r>
              <w:rPr>
                <w:rFonts w:ascii="Arial" w:hAnsi="Arial"/>
                <w:b w:val="0"/>
                <w:i w:val="0"/>
                <w:color w:val="0B1D2C"/>
                <w:sz w:val="18"/>
              </w:rPr>
              <w:t>Total operativo</w:t>
            </w:r>
          </w:p>
        </w:tc>
        <w:tc>
          <w:tcPr>
            <w:tcW w:w="3408" w:type="dxa"/>
            <w:shd w:val="clear" w:color="auto" w:fill="B4FF45"/>
            <w:vAlign w:val="center"/>
          </w:tcPr>
          <w:p>
            <w:r/>
            <w:r>
              <w:rPr>
                <w:rFonts w:ascii="Arial" w:hAnsi="Arial"/>
                <w:b w:val="0"/>
                <w:i w:val="0"/>
                <w:color w:val="0B1D2C"/>
                <w:sz w:val="18"/>
              </w:rPr>
              <w:t>1 cancha</w:t>
            </w:r>
          </w:p>
        </w:tc>
        <w:tc>
          <w:tcPr>
            <w:tcW w:w="3408" w:type="dxa"/>
            <w:shd w:val="clear" w:color="auto" w:fill="B4FF45"/>
            <w:vAlign w:val="center"/>
          </w:tcPr>
          <w:p>
            <w:r/>
            <w:r>
              <w:rPr>
                <w:rFonts w:ascii="Arial" w:hAnsi="Arial"/>
                <w:b w:val="0"/>
                <w:i w:val="0"/>
                <w:color w:val="0B1D2C"/>
                <w:sz w:val="18"/>
              </w:rPr>
              <w:t>Según acuerdos establecidos</w:t>
            </w:r>
          </w:p>
        </w:tc>
      </w:tr>
    </w:tbl>
    <w:p w14:paraId="566FBBA3" w14:textId="77777777" w:rsidR="00A95A03" w:rsidRDefault="0033006E">
      <w:pPr>
        <w:pStyle w:val="Ttulo1"/>
      </w:pPr>
      <w:r>
        <w:rPr>
          <w:rFonts w:ascii="Arial" w:hAnsi="Arial"/>
          <w:b w:val="0"/>
          <w:i w:val="0"/>
          <w:color w:val="0B1D2C"/>
          <w:sz w:val="20"/>
        </w:rPr>
        <w:t>6. Reglas deportivas y premios</w:t>
      </w:r>
    </w:p>
    <w:p w14:paraId="177E4EEF" w14:textId="77777777" w:rsidR="00A95A03" w:rsidRPr="004D2DB5" w:rsidRDefault="0033006E">
      <w:pPr>
        <w:pStyle w:val="Listaconvietas"/>
        <w:spacing w:after="40"/>
        <w:rPr>
          <w:lang w:val="es-PA"/>
        </w:rPr>
      </w:pPr>
      <w:r>
        <w:rPr>
          <w:rFonts w:ascii="Arial" w:hAnsi="Arial"/>
          <w:b w:val="0"/>
          <w:i w:val="0"/>
          <w:color w:val="0B1D2C"/>
          <w:sz w:val="20"/>
        </w:rPr>
        <w:t>El partido que termine empatado tendrá tiempo extra hasta que un equipo consiga 2 puntos de ventaja.</w:t>
      </w:r>
    </w:p>
    <w:p w14:paraId="63A6DDD2" w14:textId="77777777" w:rsidR="00A95A03" w:rsidRPr="004D2DB5" w:rsidRDefault="0033006E">
      <w:pPr>
        <w:pStyle w:val="Listaconvietas"/>
        <w:spacing w:after="40"/>
        <w:rPr>
          <w:lang w:val="es-PA"/>
        </w:rPr>
      </w:pPr>
      <w:r>
        <w:rPr>
          <w:rFonts w:ascii="Arial" w:hAnsi="Arial"/>
          <w:b w:val="0"/>
          <w:i w:val="0"/>
          <w:color w:val="0B1D2C"/>
          <w:sz w:val="20"/>
        </w:rPr>
        <w:t>Las faltas, sanciones y demás reglas se incluirán en el reglamento interno del torneo.</w:t>
      </w:r>
    </w:p>
    <w:p w14:paraId="1398A792" w14:textId="77777777" w:rsidR="00A95A03" w:rsidRPr="004D2DB5" w:rsidRDefault="0033006E">
      <w:pPr>
        <w:pStyle w:val="Listaconvietas"/>
        <w:spacing w:after="40"/>
        <w:rPr>
          <w:lang w:val="es-PA"/>
        </w:rPr>
      </w:pPr>
      <w:r>
        <w:rPr>
          <w:rFonts w:ascii="Arial" w:hAnsi="Arial"/>
          <w:b w:val="0"/>
          <w:i w:val="0"/>
          <w:color w:val="0B1D2C"/>
          <w:sz w:val="20"/>
        </w:rPr>
        <w:t>El premio económico será únicamente para el equipo campeón y será de B/.100.00.</w:t>
      </w:r>
    </w:p>
    <w:p w14:paraId="62613D31" w14:textId="77777777" w:rsidR="00A95A03" w:rsidRDefault="0033006E">
      <w:pPr>
        <w:pStyle w:val="Ttulo1"/>
      </w:pPr>
      <w:r>
        <w:rPr>
          <w:rFonts w:ascii="Arial" w:hAnsi="Arial"/>
          <w:b w:val="0"/>
          <w:i w:val="0"/>
          <w:color w:val="0B1D2C"/>
          <w:sz w:val="20"/>
        </w:rPr>
        <w:t>7. Resumen económico definido</w:t>
      </w:r>
    </w:p>
    <w:tbl>
      <w:tblPr>
        <w:tblStyle w:val="Tablaconcuadrcula"/>
        <w:tblW w:w="0" w:type="auto"/>
        <w:jc w:val="center"/>
        <w:tblLook w:val="04A0" w:firstRow="1" w:lastRow="0" w:firstColumn="1" w:lastColumn="0" w:noHBand="0" w:noVBand="1"/>
      </w:tblPr>
      <w:tblGrid>
        <w:gridCol w:w="5107"/>
        <w:gridCol w:w="5107"/>
      </w:tblGrid>
      <w:tr w:rsidR="00A95A03" w14:paraId="5F40E2E4" w14:textId="77777777">
        <w:trPr>
          <w:jc w:val="center"/>
        </w:trPr>
        <w:tc>
          <w:tcPr>
            <w:tcW w:w="5112" w:type="dxa"/>
            <w:shd w:val="clear" w:color="auto" w:fill="B4FF45"/>
            <w:vAlign w:val="center"/>
          </w:tcPr>
          <w:p>
            <w:r/>
            <w:r>
              <w:rPr>
                <w:rFonts w:ascii="Arial" w:hAnsi="Arial"/>
                <w:b/>
                <w:i w:val="0"/>
                <w:color w:val="0B1D2C"/>
                <w:sz w:val="18"/>
              </w:rPr>
              <w:t>Ingresos por inscripciones</w:t>
            </w:r>
          </w:p>
        </w:tc>
        <w:tc>
          <w:tcPr>
            <w:tcW w:w="5112" w:type="dxa"/>
            <w:shd w:val="clear" w:color="auto" w:fill="EAF2F7"/>
            <w:vAlign w:val="center"/>
          </w:tcPr>
          <w:p>
            <w:r/>
            <w:r>
              <w:rPr>
                <w:rFonts w:ascii="Arial" w:hAnsi="Arial"/>
                <w:b w:val="0"/>
                <w:i w:val="0"/>
                <w:color w:val="0B1D2C"/>
                <w:sz w:val="18"/>
              </w:rPr>
              <w:t>16 equipos x B/.40.00 = B/.640.00</w:t>
            </w:r>
          </w:p>
        </w:tc>
      </w:tr>
      <w:tr w:rsidR="00A95A03" w14:paraId="0144A13E" w14:textId="77777777">
        <w:trPr>
          <w:jc w:val="center"/>
        </w:trPr>
        <w:tc>
          <w:tcPr>
            <w:tcW w:w="5112" w:type="dxa"/>
            <w:shd w:val="clear" w:color="auto" w:fill="B4FF45"/>
            <w:vAlign w:val="center"/>
          </w:tcPr>
          <w:p>
            <w:r/>
            <w:r>
              <w:rPr>
                <w:rFonts w:ascii="Arial" w:hAnsi="Arial"/>
                <w:b/>
                <w:i w:val="0"/>
                <w:color w:val="0B1D2C"/>
                <w:sz w:val="18"/>
              </w:rPr>
              <w:t>Árbitro</w:t>
            </w:r>
          </w:p>
        </w:tc>
        <w:tc>
          <w:tcPr>
            <w:tcW w:w="5112" w:type="dxa"/>
            <w:shd w:val="clear" w:color="auto" w:fill="EAF2F7"/>
            <w:vAlign w:val="center"/>
          </w:tcPr>
          <w:p>
            <w:r/>
            <w:r>
              <w:rPr>
                <w:rFonts w:ascii="Arial" w:hAnsi="Arial"/>
                <w:b w:val="0"/>
                <w:i w:val="0"/>
                <w:color w:val="0B1D2C"/>
                <w:sz w:val="18"/>
              </w:rPr>
              <w:t>B/.120.00</w:t>
            </w:r>
          </w:p>
        </w:tc>
      </w:tr>
      <w:tr w:rsidR="00A95A03" w14:paraId="27C543C3" w14:textId="77777777">
        <w:trPr>
          <w:jc w:val="center"/>
        </w:trPr>
        <w:tc>
          <w:tcPr>
            <w:tcW w:w="5112" w:type="dxa"/>
            <w:shd w:val="clear" w:color="auto" w:fill="B4FF45"/>
            <w:vAlign w:val="center"/>
          </w:tcPr>
          <w:p>
            <w:r/>
            <w:r>
              <w:rPr>
                <w:rFonts w:ascii="Arial" w:hAnsi="Arial"/>
                <w:b/>
                <w:i w:val="0"/>
                <w:color w:val="0B1D2C"/>
                <w:sz w:val="18"/>
              </w:rPr>
              <w:t>Materiales y logística</w:t>
            </w:r>
          </w:p>
        </w:tc>
        <w:tc>
          <w:tcPr>
            <w:tcW w:w="5112" w:type="dxa"/>
            <w:shd w:val="clear" w:color="auto" w:fill="EAF2F7"/>
            <w:vAlign w:val="center"/>
          </w:tcPr>
          <w:p>
            <w:r/>
            <w:r>
              <w:rPr>
                <w:rFonts w:ascii="Arial" w:hAnsi="Arial"/>
                <w:b w:val="0"/>
                <w:i w:val="0"/>
                <w:color w:val="0B1D2C"/>
                <w:sz w:val="18"/>
              </w:rPr>
              <w:t>B/.30.00</w:t>
            </w:r>
          </w:p>
        </w:tc>
      </w:tr>
      <w:tr w:rsidR="00A95A03" w14:paraId="16058126" w14:textId="77777777">
        <w:trPr>
          <w:jc w:val="center"/>
        </w:trPr>
        <w:tc>
          <w:tcPr>
            <w:tcW w:w="5112" w:type="dxa"/>
            <w:shd w:val="clear" w:color="auto" w:fill="B4FF45"/>
            <w:vAlign w:val="center"/>
          </w:tcPr>
          <w:p>
            <w:r/>
            <w:r>
              <w:rPr>
                <w:rFonts w:ascii="Arial" w:hAnsi="Arial"/>
                <w:b/>
                <w:i w:val="0"/>
                <w:color w:val="0B1D2C"/>
                <w:sz w:val="18"/>
              </w:rPr>
              <w:t>Premio al campeón</w:t>
            </w:r>
          </w:p>
        </w:tc>
        <w:tc>
          <w:tcPr>
            <w:tcW w:w="5112" w:type="dxa"/>
            <w:shd w:val="clear" w:color="auto" w:fill="EAF2F7"/>
            <w:vAlign w:val="center"/>
          </w:tcPr>
          <w:p>
            <w:r/>
            <w:r>
              <w:rPr>
                <w:rFonts w:ascii="Arial" w:hAnsi="Arial"/>
                <w:b w:val="0"/>
                <w:i w:val="0"/>
                <w:color w:val="0B1D2C"/>
                <w:sz w:val="18"/>
              </w:rPr>
              <w:t>B/.100.00</w:t>
            </w:r>
          </w:p>
        </w:tc>
      </w:tr>
      <w:tr w:rsidR="00A95A03" w14:paraId="0E9901BB" w14:textId="77777777">
        <w:trPr>
          <w:jc w:val="center"/>
        </w:trPr>
        <w:tc>
          <w:tcPr>
            <w:tcW w:w="5112" w:type="dxa"/>
            <w:shd w:val="clear" w:color="auto" w:fill="B4FF45"/>
            <w:vAlign w:val="center"/>
          </w:tcPr>
          <w:p>
            <w:r/>
            <w:r>
              <w:rPr>
                <w:rFonts w:ascii="Arial" w:hAnsi="Arial"/>
                <w:b/>
                <w:i w:val="0"/>
                <w:color w:val="0B1D2C"/>
                <w:sz w:val="18"/>
              </w:rPr>
              <w:t>Aporte a la UTP</w:t>
            </w:r>
          </w:p>
        </w:tc>
        <w:tc>
          <w:tcPr>
            <w:tcW w:w="5112" w:type="dxa"/>
            <w:shd w:val="clear" w:color="auto" w:fill="EAF2F7"/>
            <w:vAlign w:val="center"/>
          </w:tcPr>
          <w:p>
            <w:r/>
            <w:r>
              <w:rPr>
                <w:rFonts w:ascii="Arial" w:hAnsi="Arial"/>
                <w:b w:val="0"/>
                <w:i w:val="0"/>
                <w:color w:val="0B1D2C"/>
                <w:sz w:val="18"/>
              </w:rPr>
              <w:t>B/.40.00</w:t>
            </w:r>
          </w:p>
        </w:tc>
      </w:tr>
      <w:tr w:rsidR="00A95A03" w14:paraId="30F9F845" w14:textId="77777777">
        <w:trPr>
          <w:jc w:val="center"/>
        </w:trPr>
        <w:tc>
          <w:tcPr>
            <w:tcW w:w="5112" w:type="dxa"/>
            <w:shd w:val="clear" w:color="auto" w:fill="B4FF45"/>
            <w:vAlign w:val="center"/>
          </w:tcPr>
          <w:p>
            <w:r/>
            <w:r>
              <w:rPr>
                <w:rFonts w:ascii="Arial" w:hAnsi="Arial"/>
                <w:b/>
                <w:i w:val="0"/>
                <w:color w:val="0B1D2C"/>
                <w:sz w:val="18"/>
              </w:rPr>
              <w:t>Aporte al Departamento de Deportes</w:t>
            </w:r>
          </w:p>
        </w:tc>
        <w:tc>
          <w:tcPr>
            <w:tcW w:w="5112" w:type="dxa"/>
            <w:shd w:val="clear" w:color="auto" w:fill="EAF2F7"/>
            <w:vAlign w:val="center"/>
          </w:tcPr>
          <w:p>
            <w:r/>
            <w:r>
              <w:rPr>
                <w:rFonts w:ascii="Arial" w:hAnsi="Arial"/>
                <w:b w:val="0"/>
                <w:i w:val="0"/>
                <w:color w:val="0B1D2C"/>
                <w:sz w:val="18"/>
              </w:rPr>
              <w:t>B/.40.00</w:t>
            </w:r>
          </w:p>
        </w:tc>
      </w:tr>
      <w:tr w:rsidR="00A95A03" w14:paraId="521F7BC0" w14:textId="77777777">
        <w:trPr>
          <w:jc w:val="center"/>
        </w:trPr>
        <w:tc>
          <w:tcPr>
            <w:tcW w:w="5112" w:type="dxa"/>
            <w:shd w:val="clear" w:color="auto" w:fill="B4FF45"/>
            <w:vAlign w:val="center"/>
          </w:tcPr>
          <w:p>
            <w:r/>
            <w:r>
              <w:rPr>
                <w:rFonts w:ascii="Arial" w:hAnsi="Arial"/>
                <w:b/>
                <w:i w:val="0"/>
                <w:color w:val="0B1D2C"/>
                <w:sz w:val="18"/>
              </w:rPr>
              <w:t>Ganancia de AthlonX</w:t>
            </w:r>
          </w:p>
        </w:tc>
        <w:tc>
          <w:tcPr>
            <w:tcW w:w="5112" w:type="dxa"/>
            <w:shd w:val="clear" w:color="auto" w:fill="EAF2F7"/>
            <w:vAlign w:val="center"/>
          </w:tcPr>
          <w:p>
            <w:r/>
            <w:r>
              <w:rPr>
                <w:rFonts w:ascii="Arial" w:hAnsi="Arial"/>
                <w:b w:val="0"/>
                <w:i w:val="0"/>
                <w:color w:val="0B1D2C"/>
                <w:sz w:val="18"/>
              </w:rPr>
              <w:t>B/.310.00</w:t>
            </w:r>
          </w:p>
        </w:tc>
      </w:tr>
    </w:tbl>
    <w:p w14:paraId="2611F521" w14:textId="77777777" w:rsidR="00A95A03" w:rsidRDefault="0033006E">
      <w:pPr>
        <w:pStyle w:val="Ttulo1"/>
      </w:pPr>
      <w:r>
        <w:rPr>
          <w:rFonts w:ascii="Arial" w:hAnsi="Arial"/>
          <w:b w:val="0"/>
          <w:i w:val="0"/>
          <w:color w:val="0B1D2C"/>
          <w:sz w:val="20"/>
        </w:rPr>
        <w:t>8. Puntos pendientes de confirmar</w:t>
      </w:r>
    </w:p>
    <w:p w14:paraId="0507BAF8" w14:textId="0318B05F" w:rsidR="00A95A03" w:rsidRPr="004D2DB5" w:rsidRDefault="0033006E" w:rsidP="004D2DB5">
      <w:pPr>
        <w:pStyle w:val="Listaconvietas"/>
        <w:spacing w:after="40"/>
        <w:rPr>
          <w:lang w:val="es-PA"/>
        </w:rPr>
      </w:pPr>
      <w:r>
        <w:rPr>
          <w:rFonts w:ascii="Arial" w:hAnsi="Arial"/>
          <w:b w:val="0"/>
          <w:i w:val="0"/>
          <w:color w:val="0B1D2C"/>
          <w:sz w:val="20"/>
        </w:rPr>
        <w:t>Fecha definitiva, nombre oficial y reglamento interno del torneo.</w:t>
      </w:r>
    </w:p>
    <w:sectPr w:rsidR="00A95A03" w:rsidRPr="004D2DB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875D1" w14:textId="77777777" w:rsidR="0033006E" w:rsidRDefault="0033006E">
      <w:pPr>
        <w:spacing w:after="0" w:line="240" w:lineRule="auto"/>
      </w:pPr>
      <w:r>
        <w:separator/>
      </w:r>
    </w:p>
  </w:endnote>
  <w:endnote w:type="continuationSeparator" w:id="0">
    <w:p w14:paraId="559FA7B3" w14:textId="77777777" w:rsidR="0033006E" w:rsidRDefault="003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F067" w14:textId="77777777" w:rsidR="00A95A03" w:rsidRPr="004D2DB5" w:rsidRDefault="0033006E">
    <w:pPr>
      <w:pStyle w:val="Piedepgina"/>
      <w:jc w:val="center"/>
      <w:rPr>
        <w:lang w:val="es-PA"/>
      </w:rPr>
    </w:pPr>
    <w:r w:rsidRPr="004D2DB5">
      <w:rPr>
        <w:sz w:val="16"/>
        <w:lang w:val="es-PA"/>
      </w:rPr>
      <w:t>AthlonX | Documento de trabajo | Fútbol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FC89B" w14:textId="77777777" w:rsidR="0033006E" w:rsidRDefault="0033006E">
      <w:pPr>
        <w:spacing w:after="0" w:line="240" w:lineRule="auto"/>
      </w:pPr>
      <w:r>
        <w:separator/>
      </w:r>
    </w:p>
  </w:footnote>
  <w:footnote w:type="continuationSeparator" w:id="0">
    <w:p w14:paraId="575EEC0C" w14:textId="77777777" w:rsidR="0033006E" w:rsidRDefault="0033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3064694">
    <w:abstractNumId w:val="8"/>
  </w:num>
  <w:num w:numId="2" w16cid:durableId="320893850">
    <w:abstractNumId w:val="6"/>
  </w:num>
  <w:num w:numId="3" w16cid:durableId="266088146">
    <w:abstractNumId w:val="5"/>
  </w:num>
  <w:num w:numId="4" w16cid:durableId="1990861882">
    <w:abstractNumId w:val="4"/>
  </w:num>
  <w:num w:numId="5" w16cid:durableId="1170370260">
    <w:abstractNumId w:val="7"/>
  </w:num>
  <w:num w:numId="6" w16cid:durableId="747534595">
    <w:abstractNumId w:val="3"/>
  </w:num>
  <w:num w:numId="7" w16cid:durableId="986082318">
    <w:abstractNumId w:val="2"/>
  </w:num>
  <w:num w:numId="8" w16cid:durableId="1904295486">
    <w:abstractNumId w:val="1"/>
  </w:num>
  <w:num w:numId="9" w16cid:durableId="4704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06E"/>
    <w:rsid w:val="004D2DB5"/>
    <w:rsid w:val="00721BA5"/>
    <w:rsid w:val="00A95A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A5BDF"/>
  <w14:defaultImageDpi w14:val="300"/>
  <w15:docId w15:val="{F2C762F0-CA0F-499D-816D-54DE0F8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32D37"/>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443</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Jimenez</cp:lastModifiedBy>
  <cp:revision>2</cp:revision>
  <dcterms:created xsi:type="dcterms:W3CDTF">2026-10-09T06:15:00Z</dcterms:created>
  <dcterms:modified xsi:type="dcterms:W3CDTF">2026-10-09T06:15:00Z</dcterms:modified>
  <cp:category/>
</cp:coreProperties>
</file>