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numbering.xml" ContentType="application/vnd.openxmlformats-officedocument.wordprocessingml.numbering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spacing w:lineRule="auto" w:line="480"/>
        <w:jc w:val="left"/>
        <w:rPr/>
      </w:pPr>
      <w:r>
        <w:rPr/>
        <w:t xml:space="preserve">Report on Data Display of Market Share of Modes of Transportation. </w:t>
      </w:r>
    </w:p>
    <w:p>
      <w:pPr>
        <w:pStyle w:val="Normal"/>
        <w:bidi w:val="0"/>
        <w:spacing w:lineRule="auto" w:line="480"/>
        <w:jc w:val="left"/>
        <w:rPr/>
      </w:pPr>
      <w:r>
        <w:rPr/>
      </w:r>
    </w:p>
    <w:p>
      <w:pPr>
        <w:pStyle w:val="Normal"/>
        <w:bidi w:val="0"/>
        <w:spacing w:lineRule="auto" w:line="480"/>
        <w:jc w:val="left"/>
        <w:rPr>
          <w:u w:val="single"/>
        </w:rPr>
      </w:pPr>
      <w:r>
        <w:rPr>
          <w:u w:val="single"/>
        </w:rPr>
        <w:t>Objective</w:t>
      </w:r>
    </w:p>
    <w:p>
      <w:pPr>
        <w:pStyle w:val="Normal"/>
        <w:bidi w:val="0"/>
        <w:spacing w:lineRule="auto" w:line="480"/>
        <w:jc w:val="left"/>
        <w:rPr>
          <w:u w:val="none"/>
        </w:rPr>
      </w:pPr>
      <w:r>
        <w:rPr>
          <w:u w:val="none"/>
        </w:rPr>
        <w:tab/>
        <w:t>Display a tables worth of data containing two or three (More on this later) values in a fashion that shows both growth of that particular market as well as the market share of that particular value for the more recent year.</w:t>
      </w:r>
    </w:p>
    <w:p>
      <w:pPr>
        <w:pStyle w:val="Normal"/>
        <w:bidi w:val="0"/>
        <w:spacing w:lineRule="auto" w:line="480"/>
        <w:jc w:val="left"/>
        <w:rPr>
          <w:u w:val="none"/>
        </w:rPr>
      </w:pPr>
      <w:r>
        <w:rPr>
          <w:u w:val="single"/>
        </w:rPr>
        <w:t>Requirements</w:t>
      </w:r>
    </w:p>
    <w:p>
      <w:pPr>
        <w:pStyle w:val="Normal"/>
        <w:bidi w:val="0"/>
        <w:spacing w:lineRule="auto" w:line="480"/>
        <w:jc w:val="left"/>
        <w:rPr>
          <w:u w:val="none"/>
        </w:rPr>
      </w:pPr>
      <w:r>
        <w:rPr>
          <w:u w:val="none"/>
        </w:rPr>
        <w:tab/>
        <w:t>The program must be written in c# and the resulting graphics must be output to an SVG but can use HTML and Javascript to display the Image generated.</w:t>
      </w:r>
    </w:p>
    <w:p>
      <w:pPr>
        <w:pStyle w:val="Normal"/>
        <w:bidi w:val="0"/>
        <w:spacing w:lineRule="auto" w:line="480"/>
        <w:jc w:val="left"/>
        <w:rPr>
          <w:u w:val="single"/>
        </w:rPr>
      </w:pPr>
      <w:r>
        <w:rPr>
          <w:u w:val="single"/>
        </w:rPr>
        <w:t>Procedure</w:t>
      </w:r>
    </w:p>
    <w:p>
      <w:pPr>
        <w:pStyle w:val="Normal"/>
        <w:numPr>
          <w:ilvl w:val="0"/>
          <w:numId w:val="1"/>
        </w:numPr>
        <w:bidi w:val="0"/>
        <w:spacing w:lineRule="auto" w:line="480"/>
        <w:jc w:val="left"/>
        <w:rPr/>
      </w:pPr>
      <w:r>
        <w:rPr>
          <w:u w:val="none"/>
        </w:rPr>
        <w:t>Define a Class of Data used to hold the values that are going to be used to generate the image.</w:t>
      </w:r>
    </w:p>
    <w:p>
      <w:pPr>
        <w:pStyle w:val="Normal"/>
        <w:numPr>
          <w:ilvl w:val="0"/>
          <w:numId w:val="1"/>
        </w:numPr>
        <w:bidi w:val="0"/>
        <w:spacing w:lineRule="auto" w:line="480"/>
        <w:jc w:val="left"/>
        <w:rPr/>
      </w:pPr>
      <w:r>
        <w:rPr>
          <w:u w:val="none"/>
        </w:rPr>
        <w:t>Find a way to enter the values, in this case it will be taken from a csv file.</w:t>
      </w:r>
    </w:p>
    <w:p>
      <w:pPr>
        <w:pStyle w:val="Normal"/>
        <w:numPr>
          <w:ilvl w:val="1"/>
          <w:numId w:val="1"/>
        </w:numPr>
        <w:bidi w:val="0"/>
        <w:spacing w:lineRule="auto" w:line="480"/>
        <w:jc w:val="left"/>
        <w:rPr/>
      </w:pPr>
      <w:r>
        <w:rPr>
          <w:u w:val="none"/>
        </w:rPr>
        <w:t xml:space="preserve">A csv file will be used as they are easily manipulated </w:t>
      </w:r>
      <w:r>
        <w:rPr>
          <w:u w:val="none"/>
        </w:rPr>
        <w:t>b</w:t>
      </w:r>
      <w:r>
        <w:rPr>
          <w:u w:val="none"/>
        </w:rPr>
        <w:t xml:space="preserve">y those with little experience and the data can be easily compared to other reports. </w:t>
      </w:r>
    </w:p>
    <w:p>
      <w:pPr>
        <w:pStyle w:val="Normal"/>
        <w:numPr>
          <w:ilvl w:val="0"/>
          <w:numId w:val="1"/>
        </w:numPr>
        <w:bidi w:val="0"/>
        <w:spacing w:lineRule="auto" w:line="480"/>
        <w:jc w:val="left"/>
        <w:rPr/>
      </w:pPr>
      <w:r>
        <w:rPr>
          <w:u w:val="none"/>
        </w:rPr>
        <w:t>Display the svg image in an easy to view method that shows growth of the market.</w:t>
      </w:r>
    </w:p>
    <w:p>
      <w:pPr>
        <w:pStyle w:val="Normal"/>
        <w:numPr>
          <w:ilvl w:val="1"/>
          <w:numId w:val="1"/>
        </w:numPr>
        <w:bidi w:val="0"/>
        <w:spacing w:lineRule="auto" w:line="480"/>
        <w:jc w:val="left"/>
        <w:rPr/>
      </w:pPr>
      <w:r>
        <w:rPr>
          <w:u w:val="none"/>
        </w:rPr>
        <w:t>This should also show the market share of the mode of transport, at least at a glance.</w:t>
      </w:r>
    </w:p>
    <w:p>
      <w:pPr>
        <w:pStyle w:val="Normal"/>
        <w:numPr>
          <w:ilvl w:val="1"/>
          <w:numId w:val="1"/>
        </w:numPr>
        <w:bidi w:val="0"/>
        <w:spacing w:lineRule="auto" w:line="480"/>
        <w:jc w:val="left"/>
        <w:rPr/>
      </w:pPr>
      <w:r>
        <w:rPr>
          <w:u w:val="none"/>
        </w:rPr>
        <w:t>Scale with the size of the window to allow for the page to both display different resolutions and be sized so other work can be done around the window without a loss of data.</w:t>
      </w:r>
    </w:p>
    <w:p>
      <w:pPr>
        <w:pStyle w:val="Normal"/>
        <w:numPr>
          <w:ilvl w:val="0"/>
          <w:numId w:val="1"/>
        </w:numPr>
        <w:bidi w:val="0"/>
        <w:spacing w:lineRule="auto" w:line="480"/>
        <w:jc w:val="left"/>
        <w:rPr/>
      </w:pPr>
      <w:r>
        <w:rPr>
          <w:u w:val="none"/>
        </w:rPr>
        <w:t xml:space="preserve">Create a more centralized view of the data so that comparisons can be shown with more precision. </w:t>
      </w:r>
    </w:p>
    <w:p>
      <w:pPr>
        <w:pStyle w:val="Normal"/>
        <w:numPr>
          <w:ilvl w:val="0"/>
          <w:numId w:val="1"/>
        </w:numPr>
        <w:bidi w:val="0"/>
        <w:spacing w:lineRule="auto" w:line="480"/>
        <w:jc w:val="left"/>
        <w:rPr/>
      </w:pPr>
      <w:r>
        <w:rPr>
          <w:u w:val="none"/>
        </w:rPr>
        <w:t xml:space="preserve">Take in a weighted value for the cost of the Items in question, money often matters more than quantity, to allow for the data to reflect the differing values seems prudent. </w:t>
      </w:r>
    </w:p>
    <w:p>
      <w:pPr>
        <w:pStyle w:val="Normal"/>
        <w:numPr>
          <w:ilvl w:val="0"/>
          <w:numId w:val="1"/>
        </w:numPr>
        <w:bidi w:val="0"/>
        <w:spacing w:lineRule="auto" w:line="480"/>
        <w:jc w:val="left"/>
        <w:rPr/>
      </w:pPr>
      <w:r>
        <w:rPr>
          <w:u w:val="none"/>
        </w:rPr>
        <w:t xml:space="preserve">Finally, create a display of the overall market share of the modes given all the values of the most recent year. </w:t>
      </w:r>
      <w:r>
        <w:br w:type="page"/>
      </w:r>
    </w:p>
    <w:p>
      <w:pPr>
        <w:pStyle w:val="Normal"/>
        <w:bidi w:val="0"/>
        <w:spacing w:lineRule="auto" w:line="480"/>
        <w:jc w:val="left"/>
        <w:rPr>
          <w:u w:val="single"/>
        </w:rPr>
      </w:pPr>
      <w:r>
        <w:rPr>
          <w:u w:val="single"/>
        </w:rPr>
        <w:t>Resolution</w:t>
      </w:r>
    </w:p>
    <w:p>
      <w:pPr>
        <w:pStyle w:val="Normal"/>
        <w:numPr>
          <w:ilvl w:val="0"/>
          <w:numId w:val="2"/>
        </w:numPr>
        <w:bidi w:val="0"/>
        <w:spacing w:lineRule="auto" w:line="480"/>
        <w:jc w:val="left"/>
        <w:rPr>
          <w:u w:val="none"/>
        </w:rPr>
      </w:pPr>
      <w:r>
        <w:rPr>
          <w:u w:val="none"/>
        </w:rPr>
        <w:t xml:space="preserve">Created a Program in C# with a class taking in multiple values, </w:t>
      </w:r>
    </w:p>
    <w:p>
      <w:pPr>
        <w:pStyle w:val="Normal"/>
        <w:numPr>
          <w:ilvl w:val="1"/>
          <w:numId w:val="2"/>
        </w:numPr>
        <w:bidi w:val="0"/>
        <w:spacing w:lineRule="auto" w:line="480"/>
        <w:jc w:val="left"/>
        <w:rPr>
          <w:u w:val="none"/>
        </w:rPr>
      </w:pPr>
      <w:r>
        <w:rPr>
          <w:u w:val="none"/>
        </w:rPr>
        <w:t xml:space="preserve">Name of mode of travel. </w:t>
      </w:r>
    </w:p>
    <w:p>
      <w:pPr>
        <w:pStyle w:val="Normal"/>
        <w:numPr>
          <w:ilvl w:val="1"/>
          <w:numId w:val="2"/>
        </w:numPr>
        <w:bidi w:val="0"/>
        <w:spacing w:lineRule="auto" w:line="480"/>
        <w:jc w:val="left"/>
        <w:rPr>
          <w:u w:val="none"/>
        </w:rPr>
      </w:pPr>
      <w:r>
        <w:rPr>
          <w:u w:val="none"/>
        </w:rPr>
        <w:t>Sales for the first year.</w:t>
      </w:r>
    </w:p>
    <w:p>
      <w:pPr>
        <w:pStyle w:val="Normal"/>
        <w:numPr>
          <w:ilvl w:val="1"/>
          <w:numId w:val="2"/>
        </w:numPr>
        <w:bidi w:val="0"/>
        <w:spacing w:lineRule="auto" w:line="480"/>
        <w:jc w:val="left"/>
        <w:rPr>
          <w:u w:val="none"/>
        </w:rPr>
      </w:pPr>
      <w:r>
        <w:rPr>
          <w:u w:val="none"/>
        </w:rPr>
        <w:t>Sales for the second year.</w:t>
      </w:r>
    </w:p>
    <w:p>
      <w:pPr>
        <w:pStyle w:val="Normal"/>
        <w:numPr>
          <w:ilvl w:val="1"/>
          <w:numId w:val="2"/>
        </w:numPr>
        <w:bidi w:val="0"/>
        <w:spacing w:lineRule="auto" w:line="480"/>
        <w:jc w:val="left"/>
        <w:rPr>
          <w:u w:val="none"/>
        </w:rPr>
      </w:pPr>
      <w:r>
        <w:rPr>
          <w:u w:val="none"/>
        </w:rPr>
        <w:t>Value of each item. (This is optional and will default to 1 if not included.)</w:t>
      </w:r>
    </w:p>
    <w:p>
      <w:pPr>
        <w:pStyle w:val="Normal"/>
        <w:numPr>
          <w:ilvl w:val="0"/>
          <w:numId w:val="2"/>
        </w:numPr>
        <w:bidi w:val="0"/>
        <w:spacing w:lineRule="auto" w:line="480"/>
        <w:jc w:val="left"/>
        <w:rPr/>
      </w:pPr>
      <w:r>
        <w:rPr>
          <w:u w:val="none"/>
        </w:rPr>
        <w:t xml:space="preserve">Created an </w:t>
      </w:r>
      <w:r>
        <w:rPr>
          <w:u w:val="none"/>
        </w:rPr>
        <w:t>algorithm</w:t>
      </w:r>
      <w:r>
        <w:rPr>
          <w:u w:val="none"/>
        </w:rPr>
        <w:t xml:space="preserve"> to read the values in from the CSV Files and Store them in a dynamically sized List within the program. </w:t>
      </w:r>
    </w:p>
    <w:p>
      <w:pPr>
        <w:pStyle w:val="Normal"/>
        <w:numPr>
          <w:ilvl w:val="0"/>
          <w:numId w:val="2"/>
        </w:numPr>
        <w:bidi w:val="0"/>
        <w:spacing w:lineRule="auto" w:line="480"/>
        <w:jc w:val="left"/>
        <w:rPr>
          <w:u w:val="none"/>
        </w:rPr>
      </w:pPr>
      <w:r>
        <w:rPr>
          <w:u w:val="none"/>
        </w:rPr>
        <w:t xml:space="preserve">Created a function to write an HTML file with the display of the data in a series of Bar graphs. </w:t>
      </w:r>
    </w:p>
    <w:p>
      <w:pPr>
        <w:pStyle w:val="Normal"/>
        <w:numPr>
          <w:ilvl w:val="1"/>
          <w:numId w:val="2"/>
        </w:numPr>
        <w:bidi w:val="0"/>
        <w:spacing w:lineRule="auto" w:line="480"/>
        <w:jc w:val="left"/>
        <w:rPr>
          <w:u w:val="none"/>
        </w:rPr>
      </w:pPr>
      <w:r>
        <w:rPr>
          <w:u w:val="none"/>
        </w:rPr>
        <w:t>Data provided used as an example below(Done natively in the Word Document)</w:t>
      </w:r>
    </w:p>
    <w:p>
      <w:pPr>
        <w:pStyle w:val="Normal"/>
        <w:bidi w:val="0"/>
        <w:spacing w:lineRule="auto" w:line="480"/>
        <w:jc w:val="left"/>
        <w:rPr/>
      </w:pPr>
      <w:r>
        <w:rPr/>
        <w:drawing>
          <wp:inline distT="0" distB="0" distL="0" distR="0">
            <wp:extent cx="5762625" cy="1894840"/>
            <wp:effectExtent l="0" t="0" r="0" b="0"/>
            <wp:docPr id="1" name="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"/>
              </a:graphicData>
            </a:graphic>
          </wp:inline>
        </w:drawing>
      </w:r>
    </w:p>
    <w:p>
      <w:pPr>
        <w:pStyle w:val="Normal"/>
        <w:numPr>
          <w:ilvl w:val="0"/>
          <w:numId w:val="3"/>
        </w:numPr>
        <w:bidi w:val="0"/>
        <w:spacing w:lineRule="auto" w:line="480"/>
        <w:jc w:val="left"/>
        <w:rPr>
          <w:color w:val="CE181E"/>
        </w:rPr>
      </w:pPr>
      <w:r>
        <w:rPr>
          <w:color w:val="CE181E"/>
          <w:u w:val="none"/>
        </w:rPr>
        <w:t>On Mouseover, the Graph will shorten to show only a Single section in a secondary window.</w:t>
      </w:r>
    </w:p>
    <w:p>
      <w:pPr>
        <w:pStyle w:val="Normal"/>
        <w:bidi w:val="0"/>
        <w:spacing w:lineRule="auto" w:line="480"/>
        <w:jc w:val="lef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spacing w:lineRule="auto" w:line="480"/>
        <w:jc w:val="left"/>
        <w:rPr>
          <w:u w:val="none"/>
        </w:rPr>
      </w:pPr>
      <w:r>
        <w:rPr/>
        <w:drawing>
          <wp:inline distT="0" distB="0" distL="0" distR="0">
            <wp:extent cx="2734310" cy="1638935"/>
            <wp:effectExtent l="0" t="0" r="0" b="0"/>
            <wp:docPr id="2" name="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3"/>
              </a:graphicData>
            </a:graphic>
          </wp:inline>
        </w:drawing>
      </w:r>
    </w:p>
    <w:p>
      <w:pPr>
        <w:pStyle w:val="Normal"/>
        <w:numPr>
          <w:ilvl w:val="0"/>
          <w:numId w:val="0"/>
        </w:numPr>
        <w:bidi w:val="0"/>
        <w:spacing w:lineRule="auto" w:line="480"/>
        <w:ind w:left="698" w:hanging="0"/>
        <w:jc w:val="left"/>
        <w:rPr/>
      </w:pPr>
      <w:r>
        <w:rPr>
          <w:u w:val="none"/>
        </w:rPr>
        <w:t xml:space="preserve">This will allow the market growth of a particular value. </w:t>
      </w:r>
      <w:r>
        <w:br w:type="page"/>
      </w:r>
    </w:p>
    <w:p>
      <w:pPr>
        <w:pStyle w:val="Normal"/>
        <w:numPr>
          <w:ilvl w:val="0"/>
          <w:numId w:val="2"/>
        </w:numPr>
        <w:bidi w:val="0"/>
        <w:spacing w:lineRule="auto" w:line="480"/>
        <w:jc w:val="left"/>
        <w:rPr/>
      </w:pPr>
      <w:r>
        <w:rPr>
          <w:u w:val="none"/>
        </w:rPr>
        <w:t xml:space="preserve">Finally, a Graph will be created comparing the market shares of each mode of transport. </w:t>
      </w:r>
    </w:p>
    <w:p>
      <w:pPr>
        <w:pStyle w:val="Normal"/>
        <w:bidi w:val="0"/>
        <w:spacing w:lineRule="auto" w:line="480"/>
        <w:jc w:val="left"/>
        <w:rPr>
          <w:u w:val="none"/>
        </w:rPr>
      </w:pPr>
      <w:r>
        <w:rPr>
          <w:u w:val="none"/>
        </w:rPr>
      </w:r>
    </w:p>
    <w:p>
      <w:pPr>
        <w:pStyle w:val="Normal"/>
        <w:bidi w:val="0"/>
        <w:spacing w:lineRule="auto" w:line="480"/>
        <w:jc w:val="left"/>
        <w:rPr/>
      </w:pPr>
      <w:r>
        <w:rPr/>
        <w:drawing>
          <wp:inline distT="0" distB="0" distL="0" distR="0">
            <wp:extent cx="5759450" cy="3239770"/>
            <wp:effectExtent l="0" t="0" r="0" b="0"/>
            <wp:docPr id="3" name="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4"/>
              </a:graphicData>
            </a:graphic>
          </wp:inline>
        </w:drawing>
      </w:r>
    </w:p>
    <w:p>
      <w:pPr>
        <w:pStyle w:val="Normal"/>
        <w:numPr>
          <w:ilvl w:val="0"/>
          <w:numId w:val="2"/>
        </w:numPr>
        <w:bidi w:val="0"/>
        <w:spacing w:lineRule="auto" w:line="480"/>
        <w:jc w:val="left"/>
        <w:rPr/>
      </w:pPr>
      <w:r>
        <w:rPr>
          <w:u w:val="none"/>
        </w:rPr>
        <w:t>To maintain the most readable and easily comparable data figures, these graphs will all begin at 0 along the Y axis, to avoid any misleading data.</w:t>
      </w:r>
    </w:p>
    <w:p>
      <w:pPr>
        <w:pStyle w:val="Normal"/>
        <w:bidi w:val="0"/>
        <w:spacing w:lineRule="auto" w:line="480"/>
        <w:jc w:val="left"/>
        <w:rPr>
          <w:u w:val="none"/>
        </w:rPr>
      </w:pPr>
      <w:r>
        <w:rPr/>
      </w:r>
    </w:p>
    <w:p>
      <w:pPr>
        <w:pStyle w:val="Normal"/>
        <w:bidi w:val="0"/>
        <w:spacing w:lineRule="auto" w:line="480"/>
        <w:jc w:val="left"/>
        <w:rPr>
          <w:u w:val="none"/>
        </w:rPr>
      </w:pPr>
      <w:r>
        <w:rPr/>
      </w:r>
    </w:p>
    <w:p>
      <w:pPr>
        <w:pStyle w:val="Normal"/>
        <w:bidi w:val="0"/>
        <w:spacing w:lineRule="auto" w:line="480"/>
        <w:jc w:val="left"/>
        <w:rPr>
          <w:u w:val="none"/>
        </w:rPr>
      </w:pPr>
      <w:r>
        <w:rPr/>
      </w:r>
    </w:p>
    <w:p>
      <w:pPr>
        <w:pStyle w:val="Normal"/>
        <w:bidi w:val="0"/>
        <w:spacing w:lineRule="auto" w:line="480"/>
        <w:jc w:val="left"/>
        <w:rPr/>
      </w:pPr>
      <w:r>
        <w:rPr>
          <w:u w:val="none"/>
        </w:rPr>
        <w:t>Steps in Red have been omitted due to time constraints.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OpenSymbol">
    <w:altName w:val="Arial Unicode MS"/>
    <w:charset w:val="01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360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◦"/>
      <w:lvlJc w:val="left"/>
      <w:pPr>
        <w:tabs>
          <w:tab w:val="num" w:pos="1069"/>
        </w:tabs>
        <w:ind w:left="1069" w:hanging="360"/>
      </w:pPr>
      <w:rPr>
        <w:rFonts w:ascii="OpenSymbol" w:hAnsi="OpenSymbol" w:cs="OpenSymbol" w:hint="default"/>
        <w:rFonts w:cs="OpenSymbol"/>
      </w:rPr>
    </w:lvl>
    <w:lvl w:ilvl="2">
      <w:start w:val="1"/>
      <w:numFmt w:val="bullet"/>
      <w:lvlText w:val="▪"/>
      <w:lvlJc w:val="left"/>
      <w:pPr>
        <w:tabs>
          <w:tab w:val="num" w:pos="1429"/>
        </w:tabs>
        <w:ind w:left="1429" w:hanging="360"/>
      </w:pPr>
      <w:rPr>
        <w:rFonts w:ascii="OpenSymbol" w:hAnsi="OpenSymbol" w:cs="Open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1789"/>
        </w:tabs>
        <w:ind w:left="1789" w:hanging="360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◦"/>
      <w:lvlJc w:val="left"/>
      <w:pPr>
        <w:tabs>
          <w:tab w:val="num" w:pos="2149"/>
        </w:tabs>
        <w:ind w:left="2149" w:hanging="360"/>
      </w:pPr>
      <w:rPr>
        <w:rFonts w:ascii="OpenSymbol" w:hAnsi="OpenSymbol" w:cs="OpenSymbol" w:hint="default"/>
        <w:rFonts w:cs="OpenSymbol"/>
      </w:rPr>
    </w:lvl>
    <w:lvl w:ilvl="5">
      <w:start w:val="1"/>
      <w:numFmt w:val="bullet"/>
      <w:lvlText w:val="▪"/>
      <w:lvlJc w:val="left"/>
      <w:pPr>
        <w:tabs>
          <w:tab w:val="num" w:pos="2509"/>
        </w:tabs>
        <w:ind w:left="2509" w:hanging="360"/>
      </w:pPr>
      <w:rPr>
        <w:rFonts w:ascii="OpenSymbol" w:hAnsi="OpenSymbol" w:cs="Open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2869"/>
        </w:tabs>
        <w:ind w:left="2869" w:hanging="360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◦"/>
      <w:lvlJc w:val="left"/>
      <w:pPr>
        <w:tabs>
          <w:tab w:val="num" w:pos="3229"/>
        </w:tabs>
        <w:ind w:left="3229" w:hanging="360"/>
      </w:pPr>
      <w:rPr>
        <w:rFonts w:ascii="OpenSymbol" w:hAnsi="OpenSymbol" w:cs="OpenSymbol" w:hint="default"/>
        <w:rFonts w:cs="OpenSymbol"/>
      </w:rPr>
    </w:lvl>
    <w:lvl w:ilvl="8">
      <w:start w:val="1"/>
      <w:numFmt w:val="bullet"/>
      <w:lvlText w:val="▪"/>
      <w:lvlJc w:val="left"/>
      <w:pPr>
        <w:tabs>
          <w:tab w:val="num" w:pos="3589"/>
        </w:tabs>
        <w:ind w:left="3589" w:hanging="360"/>
      </w:pPr>
      <w:rPr>
        <w:rFonts w:ascii="OpenSymbol" w:hAnsi="OpenSymbol" w:cs="OpenSymbol" w:hint="default"/>
        <w:rFonts w:cs="OpenSymbol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698"/>
        </w:tabs>
        <w:ind w:left="698" w:hanging="360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◦"/>
      <w:lvlJc w:val="left"/>
      <w:pPr>
        <w:tabs>
          <w:tab w:val="num" w:pos="1058"/>
        </w:tabs>
        <w:ind w:left="1058" w:hanging="360"/>
      </w:pPr>
      <w:rPr>
        <w:rFonts w:ascii="OpenSymbol" w:hAnsi="OpenSymbol" w:cs="OpenSymbol" w:hint="default"/>
        <w:rFonts w:cs="OpenSymbol"/>
      </w:rPr>
    </w:lvl>
    <w:lvl w:ilvl="2">
      <w:start w:val="1"/>
      <w:numFmt w:val="bullet"/>
      <w:lvlText w:val="▪"/>
      <w:lvlJc w:val="left"/>
      <w:pPr>
        <w:tabs>
          <w:tab w:val="num" w:pos="1418"/>
        </w:tabs>
        <w:ind w:left="1418" w:hanging="360"/>
      </w:pPr>
      <w:rPr>
        <w:rFonts w:ascii="OpenSymbol" w:hAnsi="OpenSymbol" w:cs="Open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1778"/>
        </w:tabs>
        <w:ind w:left="1778" w:hanging="360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◦"/>
      <w:lvlJc w:val="left"/>
      <w:pPr>
        <w:tabs>
          <w:tab w:val="num" w:pos="2138"/>
        </w:tabs>
        <w:ind w:left="2138" w:hanging="360"/>
      </w:pPr>
      <w:rPr>
        <w:rFonts w:ascii="OpenSymbol" w:hAnsi="OpenSymbol" w:cs="OpenSymbol" w:hint="default"/>
        <w:rFonts w:cs="OpenSymbol"/>
      </w:rPr>
    </w:lvl>
    <w:lvl w:ilvl="5">
      <w:start w:val="1"/>
      <w:numFmt w:val="bullet"/>
      <w:lvlText w:val="▪"/>
      <w:lvlJc w:val="left"/>
      <w:pPr>
        <w:tabs>
          <w:tab w:val="num" w:pos="2498"/>
        </w:tabs>
        <w:ind w:left="2498" w:hanging="360"/>
      </w:pPr>
      <w:rPr>
        <w:rFonts w:ascii="OpenSymbol" w:hAnsi="OpenSymbol" w:cs="Open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2858"/>
        </w:tabs>
        <w:ind w:left="2858" w:hanging="360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◦"/>
      <w:lvlJc w:val="left"/>
      <w:pPr>
        <w:tabs>
          <w:tab w:val="num" w:pos="3218"/>
        </w:tabs>
        <w:ind w:left="3218" w:hanging="360"/>
      </w:pPr>
      <w:rPr>
        <w:rFonts w:ascii="OpenSymbol" w:hAnsi="OpenSymbol" w:cs="OpenSymbol" w:hint="default"/>
        <w:rFonts w:cs="OpenSymbol"/>
      </w:rPr>
    </w:lvl>
    <w:lvl w:ilvl="8">
      <w:start w:val="1"/>
      <w:numFmt w:val="bullet"/>
      <w:lvlText w:val="▪"/>
      <w:lvlJc w:val="left"/>
      <w:pPr>
        <w:tabs>
          <w:tab w:val="num" w:pos="3578"/>
        </w:tabs>
        <w:ind w:left="3578" w:hanging="360"/>
      </w:pPr>
      <w:rPr>
        <w:rFonts w:ascii="OpenSymbol" w:hAnsi="OpenSymbol" w:cs="OpenSymbol" w:hint="default"/>
        <w:rFonts w:cs="OpenSymbol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rFonts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rFonts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rFonts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rFonts w:cs="OpenSymbol"/>
      </w:rPr>
    </w:lvl>
  </w:abstractNum>
  <w:abstractNum w:abstractNumId="4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0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imSun" w:cs="Lucida Sans"/>
        <w:kern w:val="2"/>
        <w:sz w:val="20"/>
        <w:szCs w:val="24"/>
        <w:lang w:val="en-US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jc w:val="left"/>
    </w:pPr>
    <w:rPr>
      <w:rFonts w:ascii="Liberation Serif" w:hAnsi="Liberation Serif" w:eastAsia="SimSun" w:cs="Lucida Sans"/>
      <w:color w:val="00000A"/>
      <w:kern w:val="2"/>
      <w:sz w:val="24"/>
      <w:szCs w:val="24"/>
      <w:lang w:val="en-US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ListLabel1">
    <w:name w:val="ListLabel 1"/>
    <w:qFormat/>
    <w:rPr>
      <w:rFonts w:cs="OpenSymbol"/>
    </w:rPr>
  </w:style>
  <w:style w:type="character" w:styleId="ListLabel2">
    <w:name w:val="ListLabel 2"/>
    <w:qFormat/>
    <w:rPr>
      <w:rFonts w:cs="OpenSymbol"/>
    </w:rPr>
  </w:style>
  <w:style w:type="character" w:styleId="ListLabel3">
    <w:name w:val="ListLabel 3"/>
    <w:qFormat/>
    <w:rPr>
      <w:rFonts w:cs="OpenSymbol"/>
    </w:rPr>
  </w:style>
  <w:style w:type="character" w:styleId="ListLabel4">
    <w:name w:val="ListLabel 4"/>
    <w:qFormat/>
    <w:rPr>
      <w:rFonts w:cs="OpenSymbol"/>
    </w:rPr>
  </w:style>
  <w:style w:type="character" w:styleId="ListLabel5">
    <w:name w:val="ListLabel 5"/>
    <w:qFormat/>
    <w:rPr>
      <w:rFonts w:cs="OpenSymbol"/>
    </w:rPr>
  </w:style>
  <w:style w:type="character" w:styleId="ListLabel6">
    <w:name w:val="ListLabel 6"/>
    <w:qFormat/>
    <w:rPr>
      <w:rFonts w:cs="OpenSymbol"/>
    </w:rPr>
  </w:style>
  <w:style w:type="character" w:styleId="ListLabel7">
    <w:name w:val="ListLabel 7"/>
    <w:qFormat/>
    <w:rPr>
      <w:rFonts w:cs="OpenSymbol"/>
    </w:rPr>
  </w:style>
  <w:style w:type="character" w:styleId="ListLabel8">
    <w:name w:val="ListLabel 8"/>
    <w:qFormat/>
    <w:rPr>
      <w:rFonts w:cs="OpenSymbol"/>
    </w:rPr>
  </w:style>
  <w:style w:type="character" w:styleId="ListLabel9">
    <w:name w:val="ListLabel 9"/>
    <w:qFormat/>
    <w:rPr>
      <w:rFonts w:cs="OpenSymbol"/>
    </w:rPr>
  </w:style>
  <w:style w:type="character" w:styleId="ListLabel10">
    <w:name w:val="ListLabel 10"/>
    <w:qFormat/>
    <w:rPr>
      <w:rFonts w:cs="OpenSymbol"/>
    </w:rPr>
  </w:style>
  <w:style w:type="character" w:styleId="ListLabel11">
    <w:name w:val="ListLabel 11"/>
    <w:qFormat/>
    <w:rPr>
      <w:rFonts w:cs="OpenSymbol"/>
    </w:rPr>
  </w:style>
  <w:style w:type="character" w:styleId="ListLabel12">
    <w:name w:val="ListLabel 12"/>
    <w:qFormat/>
    <w:rPr>
      <w:rFonts w:cs="OpenSymbol"/>
    </w:rPr>
  </w:style>
  <w:style w:type="character" w:styleId="ListLabel13">
    <w:name w:val="ListLabel 13"/>
    <w:qFormat/>
    <w:rPr>
      <w:rFonts w:cs="OpenSymbol"/>
    </w:rPr>
  </w:style>
  <w:style w:type="character" w:styleId="ListLabel14">
    <w:name w:val="ListLabel 14"/>
    <w:qFormat/>
    <w:rPr>
      <w:rFonts w:cs="OpenSymbol"/>
    </w:rPr>
  </w:style>
  <w:style w:type="character" w:styleId="ListLabel15">
    <w:name w:val="ListLabel 15"/>
    <w:qFormat/>
    <w:rPr>
      <w:rFonts w:cs="OpenSymbol"/>
    </w:rPr>
  </w:style>
  <w:style w:type="character" w:styleId="ListLabel16">
    <w:name w:val="ListLabel 16"/>
    <w:qFormat/>
    <w:rPr>
      <w:rFonts w:cs="OpenSymbol"/>
    </w:rPr>
  </w:style>
  <w:style w:type="character" w:styleId="ListLabel17">
    <w:name w:val="ListLabel 17"/>
    <w:qFormat/>
    <w:rPr>
      <w:rFonts w:cs="OpenSymbol"/>
    </w:rPr>
  </w:style>
  <w:style w:type="character" w:styleId="ListLabel18">
    <w:name w:val="ListLabel 18"/>
    <w:qFormat/>
    <w:rPr>
      <w:rFonts w:cs="OpenSymbol"/>
    </w:rPr>
  </w:style>
  <w:style w:type="character" w:styleId="ListLabel19">
    <w:name w:val="ListLabel 19"/>
    <w:qFormat/>
    <w:rPr>
      <w:rFonts w:cs="OpenSymbol"/>
    </w:rPr>
  </w:style>
  <w:style w:type="character" w:styleId="ListLabel20">
    <w:name w:val="ListLabel 20"/>
    <w:qFormat/>
    <w:rPr>
      <w:rFonts w:cs="OpenSymbol"/>
    </w:rPr>
  </w:style>
  <w:style w:type="character" w:styleId="ListLabel21">
    <w:name w:val="ListLabel 21"/>
    <w:qFormat/>
    <w:rPr>
      <w:rFonts w:cs="OpenSymbol"/>
    </w:rPr>
  </w:style>
  <w:style w:type="character" w:styleId="ListLabel22">
    <w:name w:val="ListLabel 22"/>
    <w:qFormat/>
    <w:rPr>
      <w:rFonts w:cs="OpenSymbol"/>
    </w:rPr>
  </w:style>
  <w:style w:type="character" w:styleId="ListLabel23">
    <w:name w:val="ListLabel 23"/>
    <w:qFormat/>
    <w:rPr>
      <w:rFonts w:cs="OpenSymbol"/>
    </w:rPr>
  </w:style>
  <w:style w:type="character" w:styleId="ListLabel24">
    <w:name w:val="ListLabel 24"/>
    <w:qFormat/>
    <w:rPr>
      <w:rFonts w:cs="OpenSymbol"/>
    </w:rPr>
  </w:style>
  <w:style w:type="character" w:styleId="ListLabel25">
    <w:name w:val="ListLabel 25"/>
    <w:qFormat/>
    <w:rPr>
      <w:rFonts w:cs="OpenSymbol"/>
    </w:rPr>
  </w:style>
  <w:style w:type="character" w:styleId="ListLabel26">
    <w:name w:val="ListLabel 26"/>
    <w:qFormat/>
    <w:rPr>
      <w:rFonts w:cs="OpenSymbol"/>
    </w:rPr>
  </w:style>
  <w:style w:type="character" w:styleId="ListLabel27">
    <w:name w:val="ListLabel 27"/>
    <w:qFormat/>
    <w:rPr>
      <w:rFonts w:cs="OpenSymbol"/>
    </w:rPr>
  </w:style>
  <w:style w:type="character" w:styleId="ListLabel28">
    <w:name w:val="ListLabel 28"/>
    <w:qFormat/>
    <w:rPr>
      <w:rFonts w:cs="OpenSymbol"/>
    </w:rPr>
  </w:style>
  <w:style w:type="character" w:styleId="ListLabel29">
    <w:name w:val="ListLabel 29"/>
    <w:qFormat/>
    <w:rPr>
      <w:rFonts w:cs="OpenSymbol"/>
    </w:rPr>
  </w:style>
  <w:style w:type="character" w:styleId="ListLabel30">
    <w:name w:val="ListLabel 30"/>
    <w:qFormat/>
    <w:rPr>
      <w:rFonts w:cs="OpenSymbol"/>
    </w:rPr>
  </w:style>
  <w:style w:type="character" w:styleId="ListLabel31">
    <w:name w:val="ListLabel 31"/>
    <w:qFormat/>
    <w:rPr>
      <w:rFonts w:cs="OpenSymbol"/>
    </w:rPr>
  </w:style>
  <w:style w:type="character" w:styleId="ListLabel32">
    <w:name w:val="ListLabel 32"/>
    <w:qFormat/>
    <w:rPr>
      <w:rFonts w:cs="OpenSymbol"/>
    </w:rPr>
  </w:style>
  <w:style w:type="character" w:styleId="ListLabel33">
    <w:name w:val="ListLabel 33"/>
    <w:qFormat/>
    <w:rPr>
      <w:rFonts w:cs="OpenSymbol"/>
    </w:rPr>
  </w:style>
  <w:style w:type="character" w:styleId="ListLabel34">
    <w:name w:val="ListLabel 34"/>
    <w:qFormat/>
    <w:rPr>
      <w:rFonts w:cs="OpenSymbol"/>
    </w:rPr>
  </w:style>
  <w:style w:type="character" w:styleId="ListLabel35">
    <w:name w:val="ListLabel 35"/>
    <w:qFormat/>
    <w:rPr>
      <w:rFonts w:cs="OpenSymbol"/>
    </w:rPr>
  </w:style>
  <w:style w:type="character" w:styleId="ListLabel36">
    <w:name w:val="ListLabel 36"/>
    <w:qFormat/>
    <w:rPr>
      <w:rFonts w:cs="OpenSymbol"/>
    </w:rPr>
  </w:style>
  <w:style w:type="character" w:styleId="ListLabel37">
    <w:name w:val="ListLabel 37"/>
    <w:qFormat/>
    <w:rPr>
      <w:rFonts w:cs="OpenSymbol"/>
    </w:rPr>
  </w:style>
  <w:style w:type="character" w:styleId="ListLabel38">
    <w:name w:val="ListLabel 38"/>
    <w:qFormat/>
    <w:rPr>
      <w:rFonts w:cs="OpenSymbol"/>
    </w:rPr>
  </w:style>
  <w:style w:type="character" w:styleId="ListLabel39">
    <w:name w:val="ListLabel 39"/>
    <w:qFormat/>
    <w:rPr>
      <w:rFonts w:cs="OpenSymbol"/>
    </w:rPr>
  </w:style>
  <w:style w:type="character" w:styleId="ListLabel40">
    <w:name w:val="ListLabel 40"/>
    <w:qFormat/>
    <w:rPr>
      <w:rFonts w:cs="OpenSymbol"/>
    </w:rPr>
  </w:style>
  <w:style w:type="character" w:styleId="ListLabel41">
    <w:name w:val="ListLabel 41"/>
    <w:qFormat/>
    <w:rPr>
      <w:rFonts w:cs="OpenSymbol"/>
    </w:rPr>
  </w:style>
  <w:style w:type="character" w:styleId="ListLabel42">
    <w:name w:val="ListLabel 42"/>
    <w:qFormat/>
    <w:rPr>
      <w:rFonts w:cs="OpenSymbol"/>
    </w:rPr>
  </w:style>
  <w:style w:type="character" w:styleId="ListLabel43">
    <w:name w:val="ListLabel 43"/>
    <w:qFormat/>
    <w:rPr>
      <w:rFonts w:cs="OpenSymbol"/>
    </w:rPr>
  </w:style>
  <w:style w:type="character" w:styleId="ListLabel44">
    <w:name w:val="ListLabel 44"/>
    <w:qFormat/>
    <w:rPr>
      <w:rFonts w:cs="OpenSymbol"/>
    </w:rPr>
  </w:style>
  <w:style w:type="character" w:styleId="ListLabel45">
    <w:name w:val="ListLabel 45"/>
    <w:qFormat/>
    <w:rPr>
      <w:rFonts w:cs="OpenSymbol"/>
    </w:rPr>
  </w:style>
  <w:style w:type="paragraph" w:styleId="Heading">
    <w:name w:val="Heading"/>
    <w:basedOn w:val="Normal"/>
    <w:next w:val="TextBody"/>
    <w:qFormat/>
    <w:pPr>
      <w:keepNext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88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chart" Target="charts/chart1.xml"/><Relationship Id="rId3" Type="http://schemas.openxmlformats.org/officeDocument/2006/relationships/chart" Target="charts/chart2.xml"/><Relationship Id="rId4" Type="http://schemas.openxmlformats.org/officeDocument/2006/relationships/chart" Target="charts/chart3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lang val="en-US"/>
  <c:roundedCorners val="0"/>
  <c:chart>
    <c:plotArea>
      <c:barChart>
        <c:barDir val="col"/>
        <c:grouping val="clustered"/>
        <c:varyColors val="0"/>
        <c:ser>
          <c:idx val="0"/>
          <c:order val="0"/>
          <c:tx>
            <c:strRef>
              <c:f>label 0</c:f>
              <c:strCache>
                <c:ptCount val="1"/>
                <c:pt idx="0">
                  <c:v>Column 1</c:v>
                </c:pt>
              </c:strCache>
            </c:strRef>
          </c:tx>
          <c:spPr>
            <a:solidFill>
              <a:srgbClr val="004586"/>
            </a:solidFill>
            <a:ln>
              <a:noFill/>
            </a:ln>
          </c:spPr>
          <c:invertIfNegative val="0"/>
          <c:dLbls>
            <c:dLblPos val="outEnd"/>
            <c:showLegendKey val="0"/>
            <c:showVal val="0"/>
            <c:showCatName val="0"/>
            <c:showSerName val="0"/>
            <c:showPercent val="0"/>
            <c:showLeaderLines val="0"/>
          </c:dLbls>
          <c:cat>
            <c:strRef>
              <c:f>categories</c:f>
              <c:strCache>
                <c:ptCount val="5"/>
                <c:pt idx="0">
                  <c:v>Bicycle</c:v>
                </c:pt>
                <c:pt idx="1">
                  <c:v>Car</c:v>
                </c:pt>
                <c:pt idx="2">
                  <c:v>Truck</c:v>
                </c:pt>
                <c:pt idx="3">
                  <c:v>Motorcycle</c:v>
                </c:pt>
                <c:pt idx="4">
                  <c:v>Jet</c:v>
                </c:pt>
              </c:strCache>
            </c:strRef>
          </c:cat>
          <c:val>
            <c:numRef>
              <c:f>0</c:f>
              <c:numCache>
                <c:formatCode>General</c:formatCode>
                <c:ptCount val="5"/>
                <c:pt idx="0">
                  <c:v>200</c:v>
                </c:pt>
                <c:pt idx="1">
                  <c:v>100</c:v>
                </c:pt>
                <c:pt idx="2">
                  <c:v>150</c:v>
                </c:pt>
                <c:pt idx="3">
                  <c:v>40</c:v>
                </c:pt>
                <c:pt idx="4">
                  <c:v>11</c:v>
                </c:pt>
              </c:numCache>
            </c:numRef>
          </c:val>
        </c:ser>
        <c:ser>
          <c:idx val="1"/>
          <c:order val="1"/>
          <c:tx>
            <c:strRef>
              <c:f>label 1</c:f>
              <c:strCache>
                <c:ptCount val="1"/>
                <c:pt idx="0">
                  <c:v>Column 2</c:v>
                </c:pt>
              </c:strCache>
            </c:strRef>
          </c:tx>
          <c:spPr>
            <a:solidFill>
              <a:srgbClr val="ff420e"/>
            </a:solidFill>
            <a:ln>
              <a:noFill/>
            </a:ln>
          </c:spPr>
          <c:invertIfNegative val="0"/>
          <c:dLbls>
            <c:dLblPos val="outEnd"/>
            <c:showLegendKey val="0"/>
            <c:showVal val="0"/>
            <c:showCatName val="0"/>
            <c:showSerName val="0"/>
            <c:showPercent val="0"/>
            <c:showLeaderLines val="0"/>
          </c:dLbls>
          <c:cat>
            <c:strRef>
              <c:f>categories</c:f>
              <c:strCache>
                <c:ptCount val="5"/>
                <c:pt idx="0">
                  <c:v>Bicycle</c:v>
                </c:pt>
                <c:pt idx="1">
                  <c:v>Car</c:v>
                </c:pt>
                <c:pt idx="2">
                  <c:v>Truck</c:v>
                </c:pt>
                <c:pt idx="3">
                  <c:v>Motorcycle</c:v>
                </c:pt>
                <c:pt idx="4">
                  <c:v>Jet</c:v>
                </c:pt>
              </c:strCache>
            </c:strRef>
          </c:cat>
          <c:val>
            <c:numRef>
              <c:f>1</c:f>
              <c:numCache>
                <c:formatCode>General</c:formatCode>
                <c:ptCount val="5"/>
                <c:pt idx="0">
                  <c:v>220</c:v>
                </c:pt>
                <c:pt idx="1">
                  <c:v>94</c:v>
                </c:pt>
                <c:pt idx="2">
                  <c:v>168</c:v>
                </c:pt>
                <c:pt idx="3">
                  <c:v>55</c:v>
                </c:pt>
                <c:pt idx="4">
                  <c:v>14</c:v>
                </c:pt>
              </c:numCache>
            </c:numRef>
          </c:val>
        </c:ser>
        <c:gapWidth val="100"/>
        <c:overlap val="0"/>
        <c:axId val="16218718"/>
        <c:axId val="76348933"/>
      </c:barChart>
      <c:catAx>
        <c:axId val="16218718"/>
        <c:scaling>
          <c:orientation val="minMax"/>
        </c:scaling>
        <c:delete val="0"/>
        <c:axPos val="b"/>
        <c:numFmt formatCode="MM/DD/YYYY" sourceLinked="1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txPr>
          <a:bodyPr/>
          <a:p>
            <a:pPr>
              <a:defRPr b="0" sz="1000" spc="-1" strike="noStrike">
                <a:solidFill>
                  <a:srgbClr val="000000"/>
                </a:solidFill>
                <a:latin typeface="Arial"/>
              </a:defRPr>
            </a:pPr>
          </a:p>
        </c:txPr>
        <c:crossAx val="76348933"/>
        <c:crosses val="autoZero"/>
        <c:auto val="1"/>
        <c:lblAlgn val="ctr"/>
        <c:lblOffset val="100"/>
      </c:catAx>
      <c:valAx>
        <c:axId val="76348933"/>
        <c:scaling>
          <c:orientation val="minMax"/>
        </c:scaling>
        <c:delete val="0"/>
        <c:axPos val="l"/>
        <c:majorGridlines>
          <c:spPr>
            <a:ln>
              <a:solidFill>
                <a:srgbClr val="b3b3b3"/>
              </a:solidFill>
            </a:ln>
          </c:spPr>
        </c:majorGridlines>
        <c:numFmt formatCode="General" sourceLinked="0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txPr>
          <a:bodyPr/>
          <a:p>
            <a:pPr>
              <a:defRPr b="0" sz="1000" spc="-1" strike="noStrike">
                <a:solidFill>
                  <a:srgbClr val="000000"/>
                </a:solidFill>
                <a:latin typeface="Arial"/>
              </a:defRPr>
            </a:pPr>
          </a:p>
        </c:txPr>
        <c:crossAx val="16218718"/>
        <c:crosses val="autoZero"/>
      </c:valAx>
      <c:spPr>
        <a:noFill/>
        <a:ln>
          <a:solidFill>
            <a:srgbClr val="b3b3b3"/>
          </a:solidFill>
        </a:ln>
      </c:spPr>
    </c:plotArea>
    <c:legend>
      <c:legendPos val="r"/>
      <c:overlay val="0"/>
      <c:spPr>
        <a:noFill/>
        <a:ln>
          <a:noFill/>
        </a:ln>
      </c:spPr>
    </c:legend>
    <c:plotVisOnly val="1"/>
    <c:dispBlanksAs val="gap"/>
  </c:chart>
  <c:spPr>
    <a:noFill/>
    <a:ln>
      <a:noFill/>
    </a:ln>
  </c:spPr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lang val="en-US"/>
  <c:roundedCorners val="0"/>
  <c:chart>
    <c:plotArea>
      <c:barChart>
        <c:barDir val="col"/>
        <c:grouping val="clustered"/>
        <c:varyColors val="0"/>
        <c:ser>
          <c:idx val="0"/>
          <c:order val="0"/>
          <c:tx>
            <c:strRef>
              <c:f>label 0</c:f>
              <c:strCache>
                <c:ptCount val="1"/>
                <c:pt idx="0">
                  <c:v>2018</c:v>
                </c:pt>
              </c:strCache>
            </c:strRef>
          </c:tx>
          <c:spPr>
            <a:solidFill>
              <a:srgbClr val="004586"/>
            </a:solidFill>
            <a:ln>
              <a:noFill/>
            </a:ln>
          </c:spPr>
          <c:invertIfNegative val="0"/>
          <c:dLbls>
            <c:dLblPos val="outEnd"/>
            <c:showLegendKey val="0"/>
            <c:showVal val="0"/>
            <c:showCatName val="0"/>
            <c:showSerName val="0"/>
            <c:showPercent val="0"/>
            <c:showLeaderLines val="0"/>
          </c:dLbls>
          <c:cat>
            <c:strRef>
              <c:f>categories</c:f>
              <c:strCache>
                <c:ptCount val="1"/>
                <c:pt idx="0">
                  <c:v>Bicycles</c:v>
                </c:pt>
              </c:strCache>
            </c:strRef>
          </c:cat>
          <c:val>
            <c:numRef>
              <c:f>0</c:f>
              <c:numCache>
                <c:formatCode>General</c:formatCode>
                <c:ptCount val="1"/>
                <c:pt idx="0">
                  <c:v>200</c:v>
                </c:pt>
              </c:numCache>
            </c:numRef>
          </c:val>
        </c:ser>
        <c:ser>
          <c:idx val="1"/>
          <c:order val="1"/>
          <c:tx>
            <c:strRef>
              <c:f>label 1</c:f>
              <c:strCache>
                <c:ptCount val="1"/>
                <c:pt idx="0">
                  <c:v>2019</c:v>
                </c:pt>
              </c:strCache>
            </c:strRef>
          </c:tx>
          <c:spPr>
            <a:solidFill>
              <a:srgbClr val="ff420e"/>
            </a:solidFill>
            <a:ln>
              <a:noFill/>
            </a:ln>
          </c:spPr>
          <c:invertIfNegative val="0"/>
          <c:dLbls>
            <c:dLblPos val="outEnd"/>
            <c:showLegendKey val="0"/>
            <c:showVal val="0"/>
            <c:showCatName val="0"/>
            <c:showSerName val="0"/>
            <c:showPercent val="0"/>
            <c:showLeaderLines val="0"/>
          </c:dLbls>
          <c:cat>
            <c:strRef>
              <c:f>categories</c:f>
              <c:strCache>
                <c:ptCount val="1"/>
                <c:pt idx="0">
                  <c:v>Bicycles</c:v>
                </c:pt>
              </c:strCache>
            </c:strRef>
          </c:cat>
          <c:val>
            <c:numRef>
              <c:f>1</c:f>
              <c:numCache>
                <c:formatCode>General</c:formatCode>
                <c:ptCount val="1"/>
                <c:pt idx="0">
                  <c:v>220</c:v>
                </c:pt>
              </c:numCache>
            </c:numRef>
          </c:val>
        </c:ser>
        <c:gapWidth val="100"/>
        <c:overlap val="0"/>
        <c:axId val="84822040"/>
        <c:axId val="58292027"/>
      </c:barChart>
      <c:catAx>
        <c:axId val="84822040"/>
        <c:scaling>
          <c:orientation val="minMax"/>
        </c:scaling>
        <c:delete val="0"/>
        <c:axPos val="b"/>
        <c:numFmt formatCode="MM/DD/YYYY" sourceLinked="1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txPr>
          <a:bodyPr/>
          <a:p>
            <a:pPr>
              <a:defRPr b="0" sz="1000" spc="-1" strike="noStrike">
                <a:solidFill>
                  <a:srgbClr val="000000"/>
                </a:solidFill>
                <a:latin typeface="Arial"/>
              </a:defRPr>
            </a:pPr>
          </a:p>
        </c:txPr>
        <c:crossAx val="58292027"/>
        <c:crosses val="autoZero"/>
        <c:auto val="1"/>
        <c:lblAlgn val="ctr"/>
        <c:lblOffset val="100"/>
      </c:catAx>
      <c:valAx>
        <c:axId val="58292027"/>
        <c:scaling>
          <c:orientation val="minMax"/>
          <c:min val="0"/>
        </c:scaling>
        <c:delete val="0"/>
        <c:axPos val="l"/>
        <c:majorGridlines>
          <c:spPr>
            <a:ln>
              <a:solidFill>
                <a:srgbClr val="b3b3b3"/>
              </a:solidFill>
            </a:ln>
          </c:spPr>
        </c:majorGridlines>
        <c:numFmt formatCode="General" sourceLinked="0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txPr>
          <a:bodyPr/>
          <a:p>
            <a:pPr>
              <a:defRPr b="0" sz="1000" spc="-1" strike="noStrike">
                <a:solidFill>
                  <a:srgbClr val="000000"/>
                </a:solidFill>
                <a:latin typeface="Arial"/>
              </a:defRPr>
            </a:pPr>
          </a:p>
        </c:txPr>
        <c:crossAx val="84822040"/>
        <c:crossesAt val="1"/>
      </c:valAx>
      <c:spPr>
        <a:noFill/>
        <a:ln>
          <a:solidFill>
            <a:srgbClr val="b3b3b3"/>
          </a:solidFill>
        </a:ln>
      </c:spPr>
    </c:plotArea>
    <c:legend>
      <c:legendPos val="r"/>
      <c:overlay val="0"/>
      <c:spPr>
        <a:noFill/>
        <a:ln>
          <a:noFill/>
        </a:ln>
      </c:spPr>
    </c:legend>
    <c:plotVisOnly val="1"/>
    <c:dispBlanksAs val="gap"/>
  </c:chart>
  <c:spPr>
    <a:noFill/>
    <a:ln>
      <a:noFill/>
    </a:ln>
  </c:spPr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lang val="en-US"/>
  <c:roundedCorners val="0"/>
  <c:chart>
    <c:plotArea>
      <c:barChart>
        <c:barDir val="col"/>
        <c:grouping val="clustered"/>
        <c:varyColors val="0"/>
        <c:ser>
          <c:idx val="0"/>
          <c:order val="0"/>
          <c:tx>
            <c:strRef>
              <c:f>label 0</c:f>
              <c:strCache>
                <c:ptCount val="1"/>
                <c:pt idx="0">
                  <c:v>Bicycle</c:v>
                </c:pt>
              </c:strCache>
            </c:strRef>
          </c:tx>
          <c:spPr>
            <a:solidFill>
              <a:srgbClr val="004586"/>
            </a:solidFill>
            <a:ln>
              <a:noFill/>
            </a:ln>
          </c:spPr>
          <c:invertIfNegative val="0"/>
          <c:dLbls>
            <c:dLblPos val="outEnd"/>
            <c:showLegendKey val="0"/>
            <c:showVal val="0"/>
            <c:showCatName val="0"/>
            <c:showSerName val="0"/>
            <c:showPercent val="0"/>
            <c:showLeaderLines val="0"/>
          </c:dLbls>
          <c:cat>
            <c:strRef>
              <c:f>categories</c:f>
              <c:strCache>
                <c:ptCount val="1"/>
                <c:pt idx="0">
                  <c:v>2019 Market Share</c:v>
                </c:pt>
              </c:strCache>
            </c:strRef>
          </c:cat>
          <c:val>
            <c:numRef>
              <c:f>0</c:f>
              <c:numCache>
                <c:formatCode>General</c:formatCode>
                <c:ptCount val="1"/>
                <c:pt idx="0">
                  <c:v>220</c:v>
                </c:pt>
              </c:numCache>
            </c:numRef>
          </c:val>
        </c:ser>
        <c:ser>
          <c:idx val="1"/>
          <c:order val="1"/>
          <c:tx>
            <c:strRef>
              <c:f>label 1</c:f>
              <c:strCache>
                <c:ptCount val="1"/>
                <c:pt idx="0">
                  <c:v>Car</c:v>
                </c:pt>
              </c:strCache>
            </c:strRef>
          </c:tx>
          <c:spPr>
            <a:solidFill>
              <a:srgbClr val="ff420e"/>
            </a:solidFill>
            <a:ln>
              <a:noFill/>
            </a:ln>
          </c:spPr>
          <c:invertIfNegative val="0"/>
          <c:dLbls>
            <c:dLblPos val="outEnd"/>
            <c:showLegendKey val="0"/>
            <c:showVal val="0"/>
            <c:showCatName val="0"/>
            <c:showSerName val="0"/>
            <c:showPercent val="0"/>
            <c:showLeaderLines val="0"/>
          </c:dLbls>
          <c:cat>
            <c:strRef>
              <c:f>categories</c:f>
              <c:strCache>
                <c:ptCount val="1"/>
                <c:pt idx="0">
                  <c:v>2019 Market Share</c:v>
                </c:pt>
              </c:strCache>
            </c:strRef>
          </c:cat>
          <c:val>
            <c:numRef>
              <c:f>1</c:f>
              <c:numCache>
                <c:formatCode>General</c:formatCode>
                <c:ptCount val="1"/>
                <c:pt idx="0">
                  <c:v>94</c:v>
                </c:pt>
              </c:numCache>
            </c:numRef>
          </c:val>
        </c:ser>
        <c:ser>
          <c:idx val="2"/>
          <c:order val="2"/>
          <c:tx>
            <c:strRef>
              <c:f>label 2</c:f>
              <c:strCache>
                <c:ptCount val="1"/>
                <c:pt idx="0">
                  <c:v>Truck</c:v>
                </c:pt>
              </c:strCache>
            </c:strRef>
          </c:tx>
          <c:spPr>
            <a:solidFill>
              <a:srgbClr val="ffd320"/>
            </a:solidFill>
            <a:ln>
              <a:noFill/>
            </a:ln>
          </c:spPr>
          <c:invertIfNegative val="0"/>
          <c:dLbls>
            <c:dLblPos val="outEnd"/>
            <c:showLegendKey val="0"/>
            <c:showVal val="0"/>
            <c:showCatName val="0"/>
            <c:showSerName val="0"/>
            <c:showPercent val="0"/>
            <c:showLeaderLines val="0"/>
          </c:dLbls>
          <c:cat>
            <c:strRef>
              <c:f>categories</c:f>
              <c:strCache>
                <c:ptCount val="1"/>
                <c:pt idx="0">
                  <c:v>2019 Market Share</c:v>
                </c:pt>
              </c:strCache>
            </c:strRef>
          </c:cat>
          <c:val>
            <c:numRef>
              <c:f>2</c:f>
              <c:numCache>
                <c:formatCode>General</c:formatCode>
                <c:ptCount val="1"/>
                <c:pt idx="0">
                  <c:v>168</c:v>
                </c:pt>
              </c:numCache>
            </c:numRef>
          </c:val>
        </c:ser>
        <c:ser>
          <c:idx val="3"/>
          <c:order val="3"/>
          <c:tx>
            <c:strRef>
              <c:f>label 3</c:f>
              <c:strCache>
                <c:ptCount val="1"/>
                <c:pt idx="0">
                  <c:v>Motorcycle</c:v>
                </c:pt>
              </c:strCache>
            </c:strRef>
          </c:tx>
          <c:spPr>
            <a:solidFill>
              <a:srgbClr val="aecf00"/>
            </a:solidFill>
            <a:ln>
              <a:noFill/>
            </a:ln>
          </c:spPr>
          <c:invertIfNegative val="0"/>
          <c:dLbls>
            <c:dLblPos val="outEnd"/>
            <c:showLegendKey val="0"/>
            <c:showVal val="0"/>
            <c:showCatName val="0"/>
            <c:showSerName val="0"/>
            <c:showPercent val="0"/>
            <c:showLeaderLines val="0"/>
          </c:dLbls>
          <c:cat>
            <c:strRef>
              <c:f>categories</c:f>
              <c:strCache>
                <c:ptCount val="1"/>
                <c:pt idx="0">
                  <c:v>2019 Market Share</c:v>
                </c:pt>
              </c:strCache>
            </c:strRef>
          </c:cat>
          <c:val>
            <c:numRef>
              <c:f>3</c:f>
              <c:numCache>
                <c:formatCode>General</c:formatCode>
                <c:ptCount val="1"/>
                <c:pt idx="0">
                  <c:v>55</c:v>
                </c:pt>
              </c:numCache>
            </c:numRef>
          </c:val>
        </c:ser>
        <c:ser>
          <c:idx val="4"/>
          <c:order val="4"/>
          <c:tx>
            <c:strRef>
              <c:f>label 4</c:f>
              <c:strCache>
                <c:ptCount val="1"/>
                <c:pt idx="0">
                  <c:v>Jet</c:v>
                </c:pt>
              </c:strCache>
            </c:strRef>
          </c:tx>
          <c:spPr>
            <a:solidFill>
              <a:srgbClr val="314004"/>
            </a:solidFill>
            <a:ln>
              <a:noFill/>
            </a:ln>
          </c:spPr>
          <c:invertIfNegative val="0"/>
          <c:dLbls>
            <c:dLblPos val="outEnd"/>
            <c:showLegendKey val="0"/>
            <c:showVal val="0"/>
            <c:showCatName val="0"/>
            <c:showSerName val="0"/>
            <c:showPercent val="0"/>
            <c:showLeaderLines val="0"/>
          </c:dLbls>
          <c:cat>
            <c:strRef>
              <c:f>categories</c:f>
              <c:strCache>
                <c:ptCount val="1"/>
                <c:pt idx="0">
                  <c:v>2019 Market Share</c:v>
                </c:pt>
              </c:strCache>
            </c:strRef>
          </c:cat>
          <c:val>
            <c:numRef>
              <c:f>4</c:f>
              <c:numCache>
                <c:formatCode>General</c:formatCode>
                <c:ptCount val="1"/>
                <c:pt idx="0">
                  <c:v>14</c:v>
                </c:pt>
              </c:numCache>
            </c:numRef>
          </c:val>
        </c:ser>
        <c:gapWidth val="100"/>
        <c:overlap val="0"/>
        <c:axId val="30625039"/>
        <c:axId val="54114399"/>
      </c:barChart>
      <c:catAx>
        <c:axId val="30625039"/>
        <c:scaling>
          <c:orientation val="minMax"/>
        </c:scaling>
        <c:delete val="0"/>
        <c:axPos val="b"/>
        <c:numFmt formatCode="MM/DD/YYYY" sourceLinked="1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txPr>
          <a:bodyPr/>
          <a:p>
            <a:pPr>
              <a:defRPr b="0" sz="1000" spc="-1" strike="noStrike">
                <a:solidFill>
                  <a:srgbClr val="000000"/>
                </a:solidFill>
                <a:latin typeface="Arial"/>
              </a:defRPr>
            </a:pPr>
          </a:p>
        </c:txPr>
        <c:crossAx val="54114399"/>
        <c:crosses val="autoZero"/>
        <c:auto val="1"/>
        <c:lblAlgn val="ctr"/>
        <c:lblOffset val="100"/>
      </c:catAx>
      <c:valAx>
        <c:axId val="54114399"/>
        <c:scaling>
          <c:orientation val="minMax"/>
        </c:scaling>
        <c:delete val="0"/>
        <c:axPos val="l"/>
        <c:majorGridlines>
          <c:spPr>
            <a:ln>
              <a:solidFill>
                <a:srgbClr val="b3b3b3"/>
              </a:solidFill>
            </a:ln>
          </c:spPr>
        </c:majorGridlines>
        <c:numFmt formatCode="General" sourceLinked="0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txPr>
          <a:bodyPr/>
          <a:p>
            <a:pPr>
              <a:defRPr b="0" sz="1000" spc="-1" strike="noStrike">
                <a:solidFill>
                  <a:srgbClr val="000000"/>
                </a:solidFill>
                <a:latin typeface="Arial"/>
              </a:defRPr>
            </a:pPr>
          </a:p>
        </c:txPr>
        <c:crossAx val="30625039"/>
        <c:crosses val="autoZero"/>
      </c:valAx>
      <c:spPr>
        <a:noFill/>
        <a:ln>
          <a:solidFill>
            <a:srgbClr val="b3b3b3"/>
          </a:solidFill>
        </a:ln>
      </c:spPr>
    </c:plotArea>
    <c:legend>
      <c:legendPos val="r"/>
      <c:overlay val="0"/>
      <c:spPr>
        <a:noFill/>
        <a:ln>
          <a:noFill/>
        </a:ln>
      </c:spPr>
    </c:legend>
    <c:plotVisOnly val="1"/>
    <c:dispBlanksAs val="gap"/>
  </c:chart>
  <c:spPr>
    <a:noFill/>
    <a:ln>
      <a:noFill/>
    </a:ln>
  </c:spPr>
</c:chartSpac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LibreOffice/5.4.0.3$Windows_X86_64 LibreOffice_project/7556cbc6811c9d992f4064ab9287069087d7f62c</Application>
  <Pages>3</Pages>
  <Words>478</Words>
  <Characters>2043</Characters>
  <CharactersWithSpaces>2485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2019-10-20T03:55:45Z</dcterms:created>
  <dc:creator/>
  <dc:description/>
  <dc:language>en-US</dc:language>
  <cp:lastModifiedBy/>
  <dcterms:modified xsi:type="dcterms:W3CDTF">2019-10-22T21:40:34Z</dcterms:modified>
  <cp:revision>3</cp:revision>
  <dc:subject/>
  <dc:title/>
</cp:coreProperties>
</file>