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05C5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UNIVERSIDAD NACIONAL</w:t>
      </w:r>
    </w:p>
    <w:p w:rsidR="00805C5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TORIBIO RODRÍGUEZ DE MENDOZA DE AMAZONAS</w:t>
      </w:r>
    </w:p>
    <w:p w:rsidR="00805C5A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32"/>
          <w:szCs w:val="32"/>
        </w:rPr>
        <w:drawing>
          <wp:inline distT="0" distB="0" distL="0" distR="0">
            <wp:extent cx="2571400" cy="239150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400" cy="2391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FACULTAD DE INGENIERÍA Y CIENCIAS AGRARIAS 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ESCUELA PROFESIONAL DE INGENIERÍA AGRÓNOMA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PROYECTO DE TESIS PARA OBTENER EL GRADO DE INGENIERO AGRÓNOMO 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jv6xaoagqadt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AISLADOS NATIVOS DE </w:t>
      </w:r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Metarhizium</w:t>
      </w:r>
      <w:proofErr w:type="spellEnd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spp</w:t>
      </w:r>
      <w:proofErr w:type="spellEnd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.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CON POTENCIAL DE BIOCONTROL SOBRE EL PICUDO RAYADO DEL PLÁTANO (</w:t>
      </w:r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Metamasius</w:t>
      </w:r>
      <w:proofErr w:type="spellEnd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i/>
          <w:sz w:val="32"/>
          <w:szCs w:val="32"/>
        </w:rPr>
        <w:t>hemipterus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>) EN ÑUNYA JALCA, AMAZONAS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Autor: Edwin Mondragon Herrera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Asesor: Mg.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Angel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Fernando Huamán Pilco</w:t>
      </w:r>
    </w:p>
    <w:p w:rsidR="00805C5A" w:rsidRDefault="00000000">
      <w:pPr>
        <w:spacing w:before="240" w:line="36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0"/>
          <w:szCs w:val="20"/>
        </w:rPr>
        <w:t>Registro (.......)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CHACHAPOYAS – PERÚ</w:t>
      </w:r>
    </w:p>
    <w:p w:rsidR="00805C5A" w:rsidRDefault="00000000">
      <w:pPr>
        <w:spacing w:before="24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1" w:name="_din5fdmnq08n" w:colFirst="0" w:colLast="0"/>
      <w:bookmarkEnd w:id="1"/>
      <w:r>
        <w:rPr>
          <w:rFonts w:ascii="Times New Roman" w:eastAsia="Times New Roman" w:hAnsi="Times New Roman" w:cs="Times New Roman"/>
          <w:b/>
          <w:sz w:val="24"/>
          <w:szCs w:val="24"/>
        </w:rPr>
        <w:t>2025</w:t>
      </w:r>
    </w:p>
    <w:p w:rsidR="00805C5A" w:rsidRDefault="00000000">
      <w:pPr>
        <w:pStyle w:val="Ttulo1"/>
        <w:numPr>
          <w:ilvl w:val="0"/>
          <w:numId w:val="1"/>
        </w:numPr>
        <w:spacing w:line="360" w:lineRule="auto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Título</w:t>
      </w:r>
    </w:p>
    <w:p w:rsidR="00805C5A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2" w:name="_xeu1hlms3s55" w:colFirst="0" w:colLast="0"/>
      <w:bookmarkEnd w:id="2"/>
      <w:r>
        <w:rPr>
          <w:rFonts w:ascii="Times New Roman" w:eastAsia="Times New Roman" w:hAnsi="Times New Roman" w:cs="Times New Roman"/>
          <w:sz w:val="24"/>
          <w:szCs w:val="24"/>
        </w:rPr>
        <w:t xml:space="preserve">Aislados nativos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 potencial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sobre el picudo rayado del plátano 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Metamasius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Amazonas</w:t>
      </w:r>
    </w:p>
    <w:p w:rsidR="00805C5A" w:rsidRDefault="00000000">
      <w:pPr>
        <w:pStyle w:val="Ttulo1"/>
        <w:numPr>
          <w:ilvl w:val="0"/>
          <w:numId w:val="1"/>
        </w:numPr>
        <w:spacing w:line="360" w:lineRule="auto"/>
        <w:ind w:hanging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Problema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 investigación</w:t>
      </w:r>
    </w:p>
    <w:p w:rsidR="00805C5A" w:rsidRDefault="00000000">
      <w:pPr>
        <w:spacing w:line="360" w:lineRule="auto"/>
        <w:ind w:left="28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¿Cuáles son los aislados nativos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con potencial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sobre el picudo rayado del plátano 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Metamasius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Amazonas?</w:t>
      </w:r>
    </w:p>
    <w:p w:rsidR="00805C5A" w:rsidRDefault="00000000">
      <w:pPr>
        <w:pStyle w:val="Ttulo1"/>
        <w:numPr>
          <w:ilvl w:val="0"/>
          <w:numId w:val="1"/>
        </w:numPr>
        <w:spacing w:line="360" w:lineRule="auto"/>
        <w:ind w:hanging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Objetivos</w:t>
      </w:r>
    </w:p>
    <w:p w:rsidR="00805C5A" w:rsidRDefault="00000000">
      <w:pPr>
        <w:pStyle w:val="Ttulo2"/>
        <w:numPr>
          <w:ilvl w:val="1"/>
          <w:numId w:val="1"/>
        </w:numPr>
        <w:spacing w:line="36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Objetivo general</w:t>
      </w:r>
    </w:p>
    <w:p w:rsidR="00805C5A" w:rsidRDefault="00000000">
      <w:pPr>
        <w:spacing w:line="360" w:lineRule="auto"/>
        <w:ind w:left="64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Caracterizar y seleccionar aislados nativos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con potencial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sobre el picudo rayado del plátano 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Metamasius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Amazonas</w:t>
      </w:r>
    </w:p>
    <w:p w:rsidR="00805C5A" w:rsidRDefault="00000000">
      <w:pPr>
        <w:pStyle w:val="Ttulo2"/>
        <w:numPr>
          <w:ilvl w:val="1"/>
          <w:numId w:val="1"/>
        </w:numPr>
        <w:spacing w:line="360" w:lineRule="auto"/>
        <w:jc w:val="both"/>
        <w:rPr>
          <w:color w:val="000000"/>
        </w:rPr>
      </w:pPr>
      <w:bookmarkStart w:id="3" w:name="_rbc0szqu9xdm" w:colFirst="0" w:colLast="0"/>
      <w:bookmarkEnd w:id="3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Objetivos específicos </w:t>
      </w:r>
    </w:p>
    <w:p w:rsidR="00805C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Aislar y caracterizar morfológic</w:t>
      </w:r>
      <w:r w:rsidR="002F0934">
        <w:rPr>
          <w:rFonts w:ascii="Times New Roman" w:eastAsia="Times New Roman" w:hAnsi="Times New Roman" w:cs="Times New Roman"/>
          <w:color w:val="000000"/>
          <w:sz w:val="24"/>
          <w:szCs w:val="24"/>
        </w:rPr>
        <w:t>a y molecularmente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</w:p>
    <w:p w:rsidR="00805C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Caracterizar fisiológicamente los 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mediante variables: crecimiento micelial (MC); producción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conidias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); germinación de conidios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805C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Evaluar la patogenicidad de los 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sobre adultos sanos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Metamasius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05C5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Evaluar la producción de conidios de los 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en arroz como sustrato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para posible producción masiva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05C5A" w:rsidRDefault="00000000">
      <w:pPr>
        <w:pStyle w:val="Ttulo1"/>
        <w:numPr>
          <w:ilvl w:val="0"/>
          <w:numId w:val="1"/>
        </w:numPr>
        <w:spacing w:line="360" w:lineRule="auto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Antecedentes</w:t>
      </w:r>
    </w:p>
    <w:p w:rsidR="00805C5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género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076F">
        <w:rPr>
          <w:rFonts w:ascii="Times New Roman" w:eastAsia="Times New Roman" w:hAnsi="Times New Roman" w:cs="Times New Roman"/>
          <w:sz w:val="24"/>
          <w:szCs w:val="24"/>
        </w:rPr>
        <w:t xml:space="preserve">alberga </w:t>
      </w:r>
      <w:r>
        <w:rPr>
          <w:rFonts w:ascii="Times New Roman" w:eastAsia="Times New Roman" w:hAnsi="Times New Roman" w:cs="Times New Roman"/>
          <w:sz w:val="24"/>
          <w:szCs w:val="24"/>
        </w:rPr>
        <w:t>hongos entomopatógenos con amplia distribución geográfica y destacado potencial como agentes de control biológico, debido a su especificidad hacia determinados hospedado</w:t>
      </w:r>
      <w:r w:rsidR="007E0E64">
        <w:rPr>
          <w:rFonts w:ascii="Times New Roman" w:eastAsia="Times New Roman" w:hAnsi="Times New Roman" w:cs="Times New Roman"/>
          <w:sz w:val="24"/>
          <w:szCs w:val="24"/>
        </w:rPr>
        <w:t>res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 w:rsidR="007E0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076F">
        <w:rPr>
          <w:rFonts w:ascii="Times New Roman" w:eastAsia="Times New Roman" w:hAnsi="Times New Roman" w:cs="Times New Roman"/>
          <w:sz w:val="24"/>
          <w:szCs w:val="24"/>
        </w:rPr>
        <w:t>bajo riesgo</w:t>
      </w:r>
      <w:r w:rsidR="007E0E6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ambiental y facilidad de producción </w:t>
      </w:r>
      <w:r w:rsidR="00F7076F">
        <w:rPr>
          <w:rFonts w:ascii="Times New Roman" w:eastAsia="Times New Roman" w:hAnsi="Times New Roman" w:cs="Times New Roman"/>
          <w:sz w:val="24"/>
          <w:szCs w:val="24"/>
        </w:rPr>
        <w:t>industrial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Algunas especies muestran un comportamiento generalista, como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anisopliae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capaz de infectar insectos de diversos órdenes, mientras que otras, como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acridum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presentan alta especificidad. Esta variabilidad en la especificidad del hospedador ha impulsado investigaciones orientadas a comprender sus mecanismos de infección,</w:t>
      </w:r>
      <w:r w:rsidR="00F7076F">
        <w:rPr>
          <w:rFonts w:ascii="Times New Roman" w:eastAsia="Times New Roman" w:hAnsi="Times New Roman" w:cs="Times New Roman"/>
          <w:sz w:val="24"/>
          <w:szCs w:val="24"/>
        </w:rPr>
        <w:t xml:space="preserve"> los genes responsables de </w:t>
      </w:r>
      <w:r w:rsidR="00F7076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 </w:t>
      </w:r>
      <w:r>
        <w:rPr>
          <w:rFonts w:ascii="Times New Roman" w:eastAsia="Times New Roman" w:hAnsi="Times New Roman" w:cs="Times New Roman"/>
          <w:sz w:val="24"/>
          <w:szCs w:val="24"/>
        </w:rPr>
        <w:t>virulencia, y la producción de enzimas y toxinas que facilitan la invasión del hospedador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2017).</w:t>
      </w:r>
    </w:p>
    <w:p w:rsidR="00805C5A" w:rsidRDefault="00805C5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6">
        <w:r>
          <w:rPr>
            <w:rFonts w:ascii="Times New Roman" w:eastAsia="Times New Roman" w:hAnsi="Times New Roman" w:cs="Times New Roman"/>
            <w:sz w:val="24"/>
            <w:szCs w:val="24"/>
          </w:rPr>
          <w:t xml:space="preserve">Valle </w:t>
        </w:r>
      </w:hyperlink>
      <w:hyperlink r:id="rId7">
        <w:r>
          <w:rPr>
            <w:rFonts w:ascii="Times New Roman" w:eastAsia="Times New Roman" w:hAnsi="Times New Roman" w:cs="Times New Roman"/>
            <w:i/>
            <w:sz w:val="24"/>
            <w:szCs w:val="24"/>
          </w:rPr>
          <w:t>et al</w:t>
        </w:r>
      </w:hyperlink>
      <w:hyperlink r:id="rId8">
        <w:r>
          <w:rPr>
            <w:rFonts w:ascii="Times New Roman" w:eastAsia="Times New Roman" w:hAnsi="Times New Roman" w:cs="Times New Roman"/>
            <w:sz w:val="24"/>
            <w:szCs w:val="24"/>
          </w:rPr>
          <w:t>. (2021)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, evaluaron </w:t>
      </w:r>
      <w:r w:rsidR="00F7076F">
        <w:rPr>
          <w:rFonts w:ascii="Times New Roman" w:eastAsia="Times New Roman" w:hAnsi="Times New Roman" w:cs="Times New Roman"/>
          <w:sz w:val="24"/>
          <w:szCs w:val="24"/>
        </w:rPr>
        <w:t>un total de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 20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aislamientos monospóricos nativos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aislados de suelos e insectos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cultivos de caña de azúcar</w:t>
      </w:r>
      <w: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en Pastaza, Ecuador, con el objetivo de determinar su potencial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contra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Mahanarva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andigena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(salivazo). 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Utilizaron un </w:t>
      </w:r>
      <w:r>
        <w:rPr>
          <w:rFonts w:ascii="Times New Roman" w:eastAsia="Times New Roman" w:hAnsi="Times New Roman" w:cs="Times New Roman"/>
          <w:sz w:val="24"/>
          <w:szCs w:val="24"/>
        </w:rPr>
        <w:t>diseñ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  <w:r>
        <w:rPr>
          <w:rFonts w:ascii="Times New Roman" w:eastAsia="Times New Roman" w:hAnsi="Times New Roman" w:cs="Times New Roman"/>
          <w:sz w:val="24"/>
          <w:szCs w:val="24"/>
        </w:rPr>
        <w:t>completamente al azar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 (DCA) </w:t>
      </w:r>
      <w:r>
        <w:rPr>
          <w:rFonts w:ascii="Times New Roman" w:eastAsia="Times New Roman" w:hAnsi="Times New Roman" w:cs="Times New Roman"/>
          <w:sz w:val="24"/>
          <w:szCs w:val="24"/>
        </w:rPr>
        <w:t>con seis repeticiones por aislamiento, permitió identificar variabilidad significativa en parámetros como crecimiento radial, tasa de crecimiento y producción de conidios.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 El aislado </w:t>
      </w:r>
      <w:r>
        <w:rPr>
          <w:rFonts w:ascii="Times New Roman" w:eastAsia="Times New Roman" w:hAnsi="Times New Roman" w:cs="Times New Roman"/>
          <w:sz w:val="24"/>
          <w:szCs w:val="24"/>
        </w:rPr>
        <w:t>DAS5401 presentó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 buen </w:t>
      </w:r>
      <w:r>
        <w:rPr>
          <w:rFonts w:ascii="Times New Roman" w:eastAsia="Times New Roman" w:hAnsi="Times New Roman" w:cs="Times New Roman"/>
          <w:sz w:val="24"/>
          <w:szCs w:val="24"/>
        </w:rPr>
        <w:t>crecimiento micelial (64,7 mm) y una tasa de expansión diaria de 2,99 mm/día, destacando también en producción conidial junto a otros aislamientos como TS6302 y SJS5101, con concentraciones superiores a 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8 </w:t>
      </w:r>
      <w:r>
        <w:rPr>
          <w:rFonts w:ascii="Times New Roman" w:eastAsia="Times New Roman" w:hAnsi="Times New Roman" w:cs="Times New Roman"/>
          <w:sz w:val="24"/>
          <w:szCs w:val="24"/>
        </w:rPr>
        <w:t>conidios/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Estos resultados evidencian la diversidad funcional entre cepas locales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y su potencial como candidatos para formulaciones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micoinsecticidas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destinadas al manejo del salivazo</w:t>
      </w:r>
      <w:r w:rsidR="00F077F5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r>
        <w:rPr>
          <w:rFonts w:ascii="Times New Roman" w:eastAsia="Times New Roman" w:hAnsi="Times New Roman" w:cs="Times New Roman"/>
          <w:sz w:val="24"/>
          <w:szCs w:val="24"/>
        </w:rPr>
        <w:t>laboratorio, invernadero y campo.</w:t>
      </w:r>
    </w:p>
    <w:p w:rsidR="00805C5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Baró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(2022), caracterizaron seis aislados fúngicos del género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provenientes de insectos y suelos en Cuba, con el objetivo de identificar su 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actividad </w:t>
      </w:r>
      <w:r>
        <w:rPr>
          <w:rFonts w:ascii="Times New Roman" w:eastAsia="Times New Roman" w:hAnsi="Times New Roman" w:cs="Times New Roman"/>
          <w:sz w:val="24"/>
          <w:szCs w:val="24"/>
        </w:rPr>
        <w:t>contr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>oladora contra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Cylas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formicarius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plaga de la papa. Los aislados se cultivaron en medios específicos y se evaluaron mediante análisis morfológico, cultural y molecular utilizando los genes ef1a, rpb1, rpb2 y 5TEF. Se identificaron cinco aislados como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anisopliae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sensu stricto y uno como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robertsii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También evaluaron el crecimiento micelial y la esporulación en distintos medios, destacando LBM-267 y LBM-11 por su alto rendimiento. Para pruebas de patogenicidad se aplicaron cinco concentraciones de conidios sobre adultos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formicarius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registrándose la mortalidad durante 21 días. Los análisis estadísticos confirmaron diferencias significativas entre tratamientos. Concluyendo, LBM-267 representó ser un candidato prometedor para 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>formulación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bioinsecticidas.</w:t>
      </w:r>
    </w:p>
    <w:p w:rsidR="00805C5A" w:rsidRDefault="00805C5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>
        <w:r>
          <w:rPr>
            <w:rFonts w:ascii="Times New Roman" w:eastAsia="Times New Roman" w:hAnsi="Times New Roman" w:cs="Times New Roman"/>
            <w:sz w:val="24"/>
            <w:szCs w:val="24"/>
          </w:rPr>
          <w:t>Castillo (2023</w:t>
        </w:r>
      </w:hyperlink>
      <w:hyperlink r:id="rId10">
        <w:r>
          <w:rPr>
            <w:rFonts w:ascii="Times New Roman" w:eastAsia="Times New Roman" w:hAnsi="Times New Roman" w:cs="Times New Roman"/>
            <w:sz w:val="24"/>
            <w:szCs w:val="24"/>
          </w:rPr>
          <w:t>)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>, evaluó la eficacia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anisopliae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 el control de adultos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Cryptocephalus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bajo condiciones de laboratorio. Para ello, se emplearon cuatro concentraciones del inóculo (10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,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,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esporas/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aplicadas en tratamientos con cinco repeticiones cada uno, utilizando 10 adultos por repetición. La mortalidad fue registrada diariamente durante un periodo de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siete días posteriores a la inoculación, y se confirmó la infección mediante la técnica de cámara húmeda. Los resultados indicaron un aumento progresivo en la mortalidad con el incremento de la concentración del hongo, obteniéndose valores del 40 %, 56 %, 92 % y 100 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% para </w:t>
      </w:r>
      <w:r>
        <w:rPr>
          <w:rFonts w:ascii="Times New Roman" w:eastAsia="Times New Roman" w:hAnsi="Times New Roman" w:cs="Times New Roman"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,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>,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esporas/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respectivamente.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El análisis estadístico reveló que los tratamientos correspondientes a las concentraciones de 10⁶ y 10⁷, así como 10⁷ y 10⁸, no presentaron diferencias significativas entre sí, aunque sí mostraron diferencias con respecto al tratamiento control. Estos hallazgos evidencian el alto potencial de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anisopliae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el control biológico de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Cryptocephalus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destacándose como una alternativa 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>sostenible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C5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Chuquibala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>. (2023),</w:t>
      </w:r>
      <w:r w:rsidR="007B3F31">
        <w:rPr>
          <w:rFonts w:ascii="Times New Roman" w:eastAsia="Times New Roman" w:hAnsi="Times New Roman" w:cs="Times New Roman"/>
          <w:sz w:val="24"/>
          <w:szCs w:val="24"/>
        </w:rPr>
        <w:t xml:space="preserve"> analizaron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la actividad biológica in vitro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Beauveria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bassiana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Beauveria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peruviensis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contra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Hypothenemus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hampei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mediante dos ensayos realizados en distintos momentos. Se estudiaron parámetros como la producción, viabilidad de conidios y la patogenicidad a tres concentraciones (1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, 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9 </w:t>
      </w:r>
      <w:r>
        <w:rPr>
          <w:rFonts w:ascii="Times New Roman" w:eastAsia="Times New Roman" w:hAnsi="Times New Roman" w:cs="Times New Roman"/>
          <w:sz w:val="24"/>
          <w:szCs w:val="24"/>
        </w:rPr>
        <w:t>conidios/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Además, se calcularon los tiempos letales (LT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LT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90</w:t>
      </w:r>
      <w:r>
        <w:rPr>
          <w:rFonts w:ascii="Times New Roman" w:eastAsia="Times New Roman" w:hAnsi="Times New Roman" w:cs="Times New Roman"/>
          <w:sz w:val="24"/>
          <w:szCs w:val="24"/>
        </w:rPr>
        <w:t>) y las concentraciones letales (LC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LC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90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 de cada aislamiento. Obtuvieron resultados con diferencias significativas en la producción (P &lt; 0,001) y viabilidad de los conidios (P &lt; 0,041), siendo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bassiana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aislamiento con mayor producción de conidios 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peruviensis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el de mayor viabilidad. En cuanto a la patogenicidad, también se observaron diferencias entre tratamientos en ambos ensayos (ensayo 1: P &lt; 0,0009; ensayo 2: P &lt; 0,0001). Las mayores tasas de mortalidad sobre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hampei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registraron en los tratamientos con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bassiana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conidios/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y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peruviensis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conidios/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Asimismo, los valores más bajos de LT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LT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90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correspondieron a estos mismos tratamientos, al igual que las concentraciones letales más eficaces (LC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50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LC</w:t>
      </w:r>
      <w:r>
        <w:rPr>
          <w:rFonts w:ascii="Times New Roman" w:eastAsia="Times New Roman" w:hAnsi="Times New Roman" w:cs="Times New Roman"/>
          <w:sz w:val="24"/>
          <w:szCs w:val="24"/>
          <w:vertAlign w:val="subscript"/>
        </w:rPr>
        <w:t>90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). Estos hallazgos sugieren que tanto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bassiana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como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peruviensis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presentan características in vitro prometedoras y podrían ser consideradas en evaluaciones de campo para determinar su eficacia real como agentes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contra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hampei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C5A" w:rsidRPr="00EF7BF7" w:rsidRDefault="00000000" w:rsidP="00EF7BF7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Mayo (2024), aisló cinco cepas nativas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con el objetivo de identificar y seleccionar aislamientos con potencial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contra</w:t>
      </w:r>
      <w:r w:rsidR="00EF7BF7">
        <w:rPr>
          <w:rFonts w:ascii="Times New Roman" w:eastAsia="Times New Roman" w:hAnsi="Times New Roman" w:cs="Times New Roman"/>
          <w:sz w:val="24"/>
          <w:szCs w:val="24"/>
        </w:rPr>
        <w:t xml:space="preserve"> chinche negra del cacao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Antiteuchus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tripterus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 Realizó la caracterización morfológica, molecular, fisiológica y patogénica de los aislamientos. Además,</w:t>
      </w:r>
      <w:r w:rsidR="00A45A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estudió el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crecimiento micelial, la germinación y la producción de conidios</w:t>
      </w:r>
      <w:r w:rsidR="00EF7BF7">
        <w:rPr>
          <w:rFonts w:ascii="Times New Roman" w:eastAsia="Times New Roman" w:hAnsi="Times New Roman" w:cs="Times New Roman"/>
          <w:sz w:val="24"/>
          <w:szCs w:val="24"/>
        </w:rPr>
        <w:t xml:space="preserve"> en </w:t>
      </w:r>
      <w:r w:rsidR="00EF7BF7" w:rsidRPr="00EF7BF7">
        <w:rPr>
          <w:rFonts w:ascii="Times New Roman" w:hAnsi="Times New Roman" w:cs="Times New Roman"/>
          <w:sz w:val="24"/>
          <w:szCs w:val="24"/>
        </w:rPr>
        <w:t xml:space="preserve">Sabouraud </w:t>
      </w:r>
      <w:proofErr w:type="spellStart"/>
      <w:r w:rsidR="00EF7BF7" w:rsidRPr="00EF7BF7">
        <w:rPr>
          <w:rFonts w:ascii="Times New Roman" w:hAnsi="Times New Roman" w:cs="Times New Roman"/>
          <w:sz w:val="24"/>
          <w:szCs w:val="24"/>
        </w:rPr>
        <w:t>Dextrose</w:t>
      </w:r>
      <w:proofErr w:type="spellEnd"/>
      <w:r w:rsidR="00EF7BF7" w:rsidRPr="00EF7BF7">
        <w:rPr>
          <w:rFonts w:ascii="Times New Roman" w:hAnsi="Times New Roman" w:cs="Times New Roman"/>
          <w:sz w:val="24"/>
          <w:szCs w:val="24"/>
        </w:rPr>
        <w:t xml:space="preserve"> Agar</w:t>
      </w:r>
      <w:r w:rsidR="00EF7BF7">
        <w:rPr>
          <w:rFonts w:ascii="Times New Roman" w:hAnsi="Times New Roman" w:cs="Times New Roman"/>
          <w:sz w:val="24"/>
          <w:szCs w:val="24"/>
        </w:rPr>
        <w:t xml:space="preserve"> (SDA)</w:t>
      </w:r>
      <w:r w:rsidR="00EF7BF7" w:rsidRPr="00EF7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temperaturas de 25, 30 y 35 °C. Mediante análisis molecular, los aislamientos fueron identificados como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brunneum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F7BF7">
        <w:rPr>
          <w:rFonts w:ascii="Times New Roman" w:eastAsia="Times New Roman" w:hAnsi="Times New Roman" w:cs="Times New Roman"/>
          <w:sz w:val="24"/>
          <w:szCs w:val="24"/>
        </w:rPr>
        <w:t xml:space="preserve">Encontró </w:t>
      </w:r>
      <w:r>
        <w:rPr>
          <w:rFonts w:ascii="Times New Roman" w:eastAsia="Times New Roman" w:hAnsi="Times New Roman" w:cs="Times New Roman"/>
          <w:sz w:val="24"/>
          <w:szCs w:val="24"/>
        </w:rPr>
        <w:t>diferencias significativas (P &lt; 0.0085) en el crecimiento micelial a 25 °C, determinando que el intervalo de temperatura idónea para los aislamientos era de 25 a 30 °C. En cuanto a la germinación de conidios al 50% (TG50) varió entre 7.8 y 21.9 horas, y para TG</w:t>
      </w:r>
      <w:r w:rsidRPr="00ED0F75">
        <w:rPr>
          <w:rFonts w:ascii="Times New Roman" w:eastAsia="Times New Roman" w:hAnsi="Times New Roman" w:cs="Times New Roman"/>
          <w:sz w:val="24"/>
          <w:szCs w:val="24"/>
          <w:vertAlign w:val="subscript"/>
        </w:rPr>
        <w:t>90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varió entre 9.5 y 27.7 horas. Los</w:t>
      </w:r>
      <w:r w:rsidR="00EF7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aislamientos evaluados demostraron efectividad patogénica contra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tripterus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con tasas de mortalidad que oscilaron entre el 72 % y el 96 %.</w:t>
      </w:r>
    </w:p>
    <w:p w:rsidR="00EF7BF7" w:rsidRDefault="00000000" w:rsidP="00EF7BF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el estudio desarrollado por Oliva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(2024), se aislaron y caracterizaron dieciocho cepas nativas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provenientes de muestras de suelo recolectadas en la provincia de Rodríguez de Mendoza, Perú, con el objetivo de evaluar su morfología, fisiología y capacidad patogénica. Las colonias presentaron una variación notable en la coloración, que incluyó tonalidades entre amarillo-gris, blanco, marrón y oliva, con bordes característicos de tipo ondulado. Respecto al crecimiento radial, los aislados LLM-M2 y TOR-M16 mostraron los mayores promedios, alcanzando 43,15 mm y 42,85 mm, respectivamente. En términos de producción de conidios a los 15 días, el aislamiento LLM-M2 destacó con una concentración de 9,8 x 10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7 </w:t>
      </w:r>
      <w:r>
        <w:rPr>
          <w:rFonts w:ascii="Times New Roman" w:eastAsia="Times New Roman" w:hAnsi="Times New Roman" w:cs="Times New Roman"/>
          <w:sz w:val="24"/>
          <w:szCs w:val="24"/>
        </w:rPr>
        <w:t>conidios/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Asimismo, el aislado TOR-M16 presentó una germinación del 100 % a las 14 horas de incubación, evidenciando su alta viabilidad. En cuanto al crecimiento micelial acumulado, el aislado CMR-M7 alcanzó el 97,49 % a las 288 horas. Finalmente, en las pruebas de patogenicidad contra adultos de la broca del café, los aislamientos TOR-M9, TOR-M16 y MNR-M1 lograron una mortalidad del 100 %. Estos resultados evidencian el alto potencial entomopatógeno de los aislados nativos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., posicionándose como candidatos viables para el desarrollo de bioplaguicidas destinados al control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H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hampei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ofreciendo una alternativa accesible, económica y ambientalmente sostenible.</w:t>
      </w:r>
    </w:p>
    <w:p w:rsidR="00EF7BF7" w:rsidRDefault="00EF7BF7" w:rsidP="00EF7BF7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805C5A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000000">
      <w:pPr>
        <w:pStyle w:val="Ttulo1"/>
        <w:numPr>
          <w:ilvl w:val="0"/>
          <w:numId w:val="1"/>
        </w:numPr>
        <w:spacing w:line="360" w:lineRule="auto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Hipótesis</w:t>
      </w:r>
    </w:p>
    <w:p w:rsidR="00805C5A" w:rsidRDefault="00000000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 las zonas productoras de plátano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Amazonas, existen especies nativas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con potencial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sobre el picudo rayado del plátano (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Metamasius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que pueden ser integradas como alternativa de control biológico.</w:t>
      </w:r>
    </w:p>
    <w:p w:rsidR="00805C5A" w:rsidRDefault="00000000">
      <w:pPr>
        <w:pStyle w:val="Ttulo1"/>
        <w:numPr>
          <w:ilvl w:val="0"/>
          <w:numId w:val="1"/>
        </w:numPr>
        <w:spacing w:line="360" w:lineRule="auto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Metodología </w:t>
      </w: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4" w:name="_6h4z4m4izipw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Lugar de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ejecución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ámbito</w:t>
      </w:r>
      <w:proofErr w:type="spellEnd"/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El presente estudio involucrará actividades en campo y en laboratorio. Los aislados nativos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Metarizhium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se obtendrán de muestras de larvas, pupas y adultos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mediante muestreo dirigido, en plantaciones de plátano en el Centro Poblado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Región de Amazonas.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Laboratorio de Investigación en Sanidad Vegetal (LABISANV) de la Universidad Nacional Toribio Rodríguez de Mendoza de Amazonas, en el departamento de Amazonas, en coordenadas geográficas de latitud: -6.233678, Longitud: -77.853778 y una altitud de 2353 m.s.n.m.</w:t>
      </w: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bookmarkStart w:id="5" w:name="_8e6vcyrwucvc" w:colFirst="0" w:colLast="0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Nivel y tipo de investigación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enmarca en un nivel descriptivo, ya que busca identificar y caracterizar 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con potencial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biocontrol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sobre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las parcelas productoras de plátano en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Jalca, Amazonas. 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 clasifica como una investigación básica, debido a que su principal objetivo es generar conocimiento sobre la diversidad y distribución de 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Sin embargo, los resultados obtenidos </w:t>
      </w:r>
      <w:r w:rsidR="00EF7BF7">
        <w:rPr>
          <w:rFonts w:ascii="Times New Roman" w:eastAsia="Times New Roman" w:hAnsi="Times New Roman" w:cs="Times New Roman"/>
          <w:color w:val="000000"/>
          <w:sz w:val="24"/>
          <w:szCs w:val="24"/>
        </w:rPr>
        <w:t>contribuirán 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futuras investigaciones que se centren en el desarrollo de estrategias de control biológico</w:t>
      </w:r>
      <w:r w:rsidR="00EF7B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Población, muestra y muestreo</w:t>
      </w:r>
    </w:p>
    <w:p w:rsidR="00805C5A" w:rsidRDefault="00000000">
      <w:pPr>
        <w:spacing w:line="360" w:lineRule="auto"/>
        <w:ind w:left="2832" w:hanging="18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Población: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La población estará compuesta por el conjunto de parcelas productoras de plátano en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Amazonas. </w:t>
      </w:r>
    </w:p>
    <w:p w:rsidR="00805C5A" w:rsidRDefault="00000000">
      <w:pPr>
        <w:spacing w:line="360" w:lineRule="auto"/>
        <w:ind w:left="2832" w:hanging="18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Muestra: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Será compuesta por larvas, pupas y adultos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característico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805C5A" w:rsidRDefault="00000000">
      <w:pPr>
        <w:spacing w:line="360" w:lineRule="auto"/>
        <w:ind w:left="2832" w:hanging="1828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Muestreo: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El muestreo será no probabilístico dirigido, debido a que se tomarán sólo larvas, pupas y adultos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presencia característica de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Metarhizium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Variables de estudio</w:t>
      </w: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Variables independientes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Aislados nativos de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Metarizhium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Temperatura (20, 2</w:t>
      </w:r>
      <w:r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°C)</w:t>
      </w: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Variables dependientes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Crecimiento micelial (CM)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Producción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conidias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5C5A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Germinación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conidias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5C5A" w:rsidRDefault="00000000">
      <w:pPr>
        <w:spacing w:after="0" w:line="360" w:lineRule="auto"/>
        <w:ind w:left="1724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Mortalidad de adultos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M.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</w:p>
    <w:p w:rsidR="00805C5A" w:rsidRDefault="00000000">
      <w:pPr>
        <w:spacing w:after="0" w:line="360" w:lineRule="auto"/>
        <w:ind w:left="1724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Tiempo de germinación (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TG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vertAlign w:val="subscript"/>
        </w:rPr>
        <w:t>50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 TG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  <w:vertAlign w:val="subscript"/>
        </w:rPr>
        <w:t>90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724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805C5A">
          <w:pgSz w:w="11906" w:h="16838"/>
          <w:pgMar w:top="1418" w:right="1418" w:bottom="1418" w:left="1985" w:header="709" w:footer="709" w:gutter="0"/>
          <w:pgNumType w:start="1"/>
          <w:cols w:space="720"/>
        </w:sectPr>
      </w:pP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Operacionalización de variables</w:t>
      </w:r>
    </w:p>
    <w:p w:rsidR="00805C5A" w:rsidRDefault="00000000">
      <w:pPr>
        <w:spacing w:before="240" w:after="24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Tabla 1: </w:t>
      </w:r>
      <w:r>
        <w:rPr>
          <w:rFonts w:ascii="Times New Roman" w:eastAsia="Times New Roman" w:hAnsi="Times New Roman" w:cs="Times New Roman"/>
          <w:sz w:val="24"/>
          <w:szCs w:val="24"/>
        </w:rPr>
        <w:t>Tabla de operacionalización de variables</w:t>
      </w:r>
    </w:p>
    <w:tbl>
      <w:tblPr>
        <w:tblStyle w:val="a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0"/>
        <w:gridCol w:w="1575"/>
        <w:gridCol w:w="1620"/>
        <w:gridCol w:w="1290"/>
        <w:gridCol w:w="1545"/>
        <w:gridCol w:w="1110"/>
      </w:tblGrid>
      <w:tr w:rsidR="00805C5A">
        <w:trPr>
          <w:trHeight w:val="870"/>
        </w:trPr>
        <w:tc>
          <w:tcPr>
            <w:tcW w:w="138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157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Variables de estudio</w:t>
            </w:r>
          </w:p>
        </w:tc>
        <w:tc>
          <w:tcPr>
            <w:tcW w:w="162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Concepto</w:t>
            </w:r>
          </w:p>
        </w:tc>
        <w:tc>
          <w:tcPr>
            <w:tcW w:w="129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Dimensiones</w:t>
            </w:r>
          </w:p>
        </w:tc>
        <w:tc>
          <w:tcPr>
            <w:tcW w:w="154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111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Unidad de medida</w:t>
            </w:r>
          </w:p>
        </w:tc>
      </w:tr>
      <w:tr w:rsidR="00805C5A">
        <w:trPr>
          <w:trHeight w:val="2235"/>
        </w:trPr>
        <w:tc>
          <w:tcPr>
            <w:tcW w:w="1380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Independiente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Aislados nativos de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Metarhizium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spp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Aislados fúngicos nativos del género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Metarhizium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obtenidos de plantaciones de plátano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Caracterización morfológica, fisiológica, patogénica y cultural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Color, tamaño, forma y textura de colonia, morfología de conidios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Cualitativa / Observación directa</w:t>
            </w:r>
          </w:p>
        </w:tc>
      </w:tr>
      <w:tr w:rsidR="00805C5A">
        <w:trPr>
          <w:trHeight w:val="1980"/>
        </w:trPr>
        <w:tc>
          <w:tcPr>
            <w:tcW w:w="13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C5A" w:rsidRDefault="00805C5A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Temperatura (20, 25, 30 °C)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Grado de calor al que son expuestos los aislados durante su crecimiento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Condiciones térmicas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Rango térmico de incubación: 20, 24, 28 °C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Grados Celsius (°C)</w:t>
            </w:r>
          </w:p>
        </w:tc>
      </w:tr>
      <w:tr w:rsidR="00805C5A">
        <w:trPr>
          <w:trHeight w:val="1695"/>
        </w:trPr>
        <w:tc>
          <w:tcPr>
            <w:tcW w:w="13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Dependiente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Crecimiento micelial (CM)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Expansión del micelio en medio sólido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Expansión radial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Diámetro de las colonias hasta que al menos una llene placa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Milímetros (mm)</w:t>
            </w:r>
          </w:p>
        </w:tc>
      </w:tr>
      <w:tr w:rsidR="00805C5A">
        <w:trPr>
          <w:trHeight w:val="1710"/>
        </w:trPr>
        <w:tc>
          <w:tcPr>
            <w:tcW w:w="13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C5A" w:rsidRDefault="00805C5A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Producción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PdC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Capacidad del hongo para producir esporas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Concentración de esporas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Número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por unidad de volumen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mL</w:t>
            </w:r>
            <w:proofErr w:type="spellEnd"/>
          </w:p>
        </w:tc>
      </w:tr>
      <w:tr w:rsidR="00805C5A">
        <w:trPr>
          <w:trHeight w:val="1200"/>
        </w:trPr>
        <w:tc>
          <w:tcPr>
            <w:tcW w:w="138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05C5A" w:rsidRDefault="00805C5A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Germinación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GdC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Porcentaje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que logran germinar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Viabilidad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Porcentaje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germinadas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Porcentaje (%)</w:t>
            </w:r>
          </w:p>
        </w:tc>
      </w:tr>
      <w:tr w:rsidR="00805C5A">
        <w:trPr>
          <w:trHeight w:val="1800"/>
        </w:trPr>
        <w:tc>
          <w:tcPr>
            <w:tcW w:w="1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Mortalidad de adultos de 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M.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hemipterus</w:t>
            </w:r>
            <w:proofErr w:type="spellEnd"/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Porcentaje de adultos muertos tras la exposición a los aislados fúngicos</w:t>
            </w:r>
          </w:p>
        </w:tc>
        <w:tc>
          <w:tcPr>
            <w:tcW w:w="12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Mortalidad inducida por aislamiento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Porcentaje de adultos muertos por aislamiento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Porcentaje (%)</w:t>
            </w:r>
          </w:p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05C5A">
        <w:trPr>
          <w:trHeight w:val="2070"/>
        </w:trPr>
        <w:tc>
          <w:tcPr>
            <w:tcW w:w="138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20" w:type="dxa"/>
              <w:left w:w="20" w:type="dxa"/>
              <w:bottom w:w="20" w:type="dxa"/>
              <w:right w:w="2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57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de germinación TG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 xml:space="preserve">50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TG90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Tiempo requerido para alcanzar el 50% y 90% de germinación de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conidias</w:t>
            </w:r>
            <w:proofErr w:type="spellEnd"/>
          </w:p>
        </w:tc>
        <w:tc>
          <w:tcPr>
            <w:tcW w:w="129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Velocidad de germinación</w:t>
            </w:r>
          </w:p>
        </w:tc>
        <w:tc>
          <w:tcPr>
            <w:tcW w:w="1545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en horas desde la siembra hasta alcanzar el 50 y 90% de germinación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05C5A" w:rsidRDefault="00000000">
            <w:pPr>
              <w:spacing w:before="24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Horas (h)</w:t>
            </w:r>
          </w:p>
        </w:tc>
      </w:tr>
    </w:tbl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FD2978" w:rsidRDefault="00FD297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805C5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4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 Métodos </w:t>
      </w: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Obtención de muestras </w:t>
      </w:r>
    </w:p>
    <w:p w:rsidR="00805C5A" w:rsidRDefault="00000000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Larvas, pupas y adultos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serán obtenidos mediante un muestreo no probabilístico dirigido, en plantaciones de plátano ubicadas en el Centro Poblado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Ñunya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Jalca, Amazonas. Los adultos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micosados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serán colocados dentro de viales estériles y transferidos a un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Cooler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para su transporte al Laboratorio de Investigación en Sanidad Vegetal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2024).</w:t>
      </w: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Obtención de aislados</w:t>
      </w:r>
    </w:p>
    <w:p w:rsidR="00805C5A" w:rsidRDefault="00000000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 acuerdo</w:t>
      </w:r>
      <w:r w:rsidR="00EF7BF7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Torres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>. (2016)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r w:rsidR="001A1F71">
        <w:rPr>
          <w:rFonts w:ascii="Times New Roman" w:eastAsia="Times New Roman" w:hAnsi="Times New Roman" w:cs="Times New Roman"/>
          <w:sz w:val="24"/>
          <w:szCs w:val="24"/>
        </w:rPr>
        <w:t xml:space="preserve"> larvas, pupas y adultos,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 signos de micosis serán desinfectados superficialmente </w:t>
      </w:r>
      <w:r w:rsidR="00EA317F">
        <w:rPr>
          <w:rFonts w:ascii="Times New Roman" w:eastAsia="Times New Roman" w:hAnsi="Times New Roman" w:cs="Times New Roman"/>
          <w:sz w:val="24"/>
          <w:szCs w:val="24"/>
        </w:rPr>
        <w:t>utilizando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hipoclorito de sodio al 0,5 % durante 5 minutos, seguido de tres lavados con agua destilada estéril (ADE). Posteriormente, se colocarán individualmente en cámaras húmedas y se incubarán a 25 °C durante 8 días con el objetivo de inducir</w:t>
      </w:r>
      <w:r w:rsidR="004C710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esporulación. Para la propagación de los aislamientos, se empleará como sustrato el medio de cultivo</w:t>
      </w:r>
      <w:r w:rsidR="00EA317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A317F" w:rsidRPr="00EF7BF7">
        <w:rPr>
          <w:rFonts w:ascii="Times New Roman" w:hAnsi="Times New Roman" w:cs="Times New Roman"/>
          <w:sz w:val="24"/>
          <w:szCs w:val="24"/>
        </w:rPr>
        <w:t xml:space="preserve">Sabouraud </w:t>
      </w:r>
      <w:proofErr w:type="spellStart"/>
      <w:r w:rsidR="00EA317F" w:rsidRPr="00EF7BF7">
        <w:rPr>
          <w:rFonts w:ascii="Times New Roman" w:hAnsi="Times New Roman" w:cs="Times New Roman"/>
          <w:sz w:val="24"/>
          <w:szCs w:val="24"/>
        </w:rPr>
        <w:t>Dextrose</w:t>
      </w:r>
      <w:proofErr w:type="spellEnd"/>
      <w:r w:rsidR="00EA317F" w:rsidRPr="00EF7BF7">
        <w:rPr>
          <w:rFonts w:ascii="Times New Roman" w:hAnsi="Times New Roman" w:cs="Times New Roman"/>
          <w:sz w:val="24"/>
          <w:szCs w:val="24"/>
        </w:rPr>
        <w:t xml:space="preserve"> Agar</w:t>
      </w:r>
      <w:r w:rsidR="00EA317F">
        <w:rPr>
          <w:rFonts w:ascii="Times New Roman" w:hAnsi="Times New Roman" w:cs="Times New Roman"/>
          <w:sz w:val="24"/>
          <w:szCs w:val="24"/>
        </w:rPr>
        <w:t xml:space="preserve"> (SDA) + </w:t>
      </w:r>
      <w:r>
        <w:rPr>
          <w:rFonts w:ascii="Times New Roman" w:eastAsia="Times New Roman" w:hAnsi="Times New Roman" w:cs="Times New Roman"/>
          <w:sz w:val="24"/>
          <w:szCs w:val="24"/>
        </w:rPr>
        <w:t>0,1 % de extracto de levadura (ADS+EL).</w:t>
      </w: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Caracterización morfológica</w:t>
      </w:r>
    </w:p>
    <w:p w:rsidR="00805C5A" w:rsidRDefault="00EA317F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Para identificar se describirán las estructuras reproductivas de los aislados de acuerdo con </w:t>
      </w:r>
      <w:hyperlink r:id="rId11">
        <w:proofErr w:type="spellStart"/>
        <w:r w:rsidR="00805C5A">
          <w:rPr>
            <w:rFonts w:ascii="Times New Roman" w:eastAsia="Times New Roman" w:hAnsi="Times New Roman" w:cs="Times New Roman"/>
            <w:sz w:val="24"/>
            <w:szCs w:val="24"/>
          </w:rPr>
          <w:t>Bischoff</w:t>
        </w:r>
        <w:proofErr w:type="spellEnd"/>
        <w:r w:rsidR="00805C5A">
          <w:rPr>
            <w:rFonts w:ascii="Times New Roman" w:eastAsia="Times New Roman" w:hAnsi="Times New Roman" w:cs="Times New Roman"/>
            <w:sz w:val="24"/>
            <w:szCs w:val="24"/>
          </w:rPr>
          <w:t xml:space="preserve"> </w:t>
        </w:r>
      </w:hyperlink>
      <w:hyperlink r:id="rId12">
        <w:r w:rsidR="00805C5A">
          <w:rPr>
            <w:rFonts w:ascii="Times New Roman" w:eastAsia="Times New Roman" w:hAnsi="Times New Roman" w:cs="Times New Roman"/>
            <w:i/>
            <w:sz w:val="24"/>
            <w:szCs w:val="24"/>
          </w:rPr>
          <w:t>et al</w:t>
        </w:r>
      </w:hyperlink>
      <w:hyperlink r:id="rId13">
        <w:r w:rsidR="00805C5A">
          <w:rPr>
            <w:rFonts w:ascii="Times New Roman" w:eastAsia="Times New Roman" w:hAnsi="Times New Roman" w:cs="Times New Roman"/>
            <w:sz w:val="24"/>
            <w:szCs w:val="24"/>
          </w:rPr>
          <w:t>.</w:t>
        </w:r>
      </w:hyperlink>
      <w:hyperlink r:id="rId14">
        <w:r w:rsidR="00805C5A">
          <w:rPr>
            <w:rFonts w:ascii="Times New Roman" w:eastAsia="Times New Roman" w:hAnsi="Times New Roman" w:cs="Times New Roman"/>
            <w:sz w:val="24"/>
            <w:szCs w:val="24"/>
          </w:rPr>
          <w:t xml:space="preserve"> (</w:t>
        </w:r>
      </w:hyperlink>
      <w:hyperlink r:id="rId15">
        <w:r w:rsidR="00805C5A">
          <w:rPr>
            <w:rFonts w:ascii="Times New Roman" w:eastAsia="Times New Roman" w:hAnsi="Times New Roman" w:cs="Times New Roman"/>
            <w:sz w:val="24"/>
            <w:szCs w:val="24"/>
          </w:rPr>
          <w:t>2009)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(2012). Para la caracterización morfológica después de 14 días de crecimiento de los aislados en </w:t>
      </w:r>
      <w:r w:rsidR="00F474CA">
        <w:rPr>
          <w:rFonts w:ascii="Times New Roman" w:eastAsia="Times New Roman" w:hAnsi="Times New Roman" w:cs="Times New Roman"/>
          <w:sz w:val="24"/>
          <w:szCs w:val="24"/>
        </w:rPr>
        <w:t>placas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Petri</w:t>
      </w:r>
      <w:r w:rsidR="00F474CA">
        <w:rPr>
          <w:rFonts w:ascii="Times New Roman" w:eastAsia="Times New Roman" w:hAnsi="Times New Roman" w:cs="Times New Roman"/>
          <w:sz w:val="24"/>
          <w:szCs w:val="24"/>
        </w:rPr>
        <w:t xml:space="preserve"> con (SDA+EL)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se describirá características de la colonia: tamaño, morfología 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conidiación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2024).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r w:rsidR="00F474CA">
        <w:rPr>
          <w:rFonts w:ascii="Times New Roman" w:eastAsia="Times New Roman" w:hAnsi="Times New Roman" w:cs="Times New Roman"/>
          <w:sz w:val="24"/>
          <w:szCs w:val="24"/>
        </w:rPr>
        <w:t>realizará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13A41">
        <w:rPr>
          <w:rFonts w:ascii="Times New Roman" w:eastAsia="Times New Roman" w:hAnsi="Times New Roman" w:cs="Times New Roman"/>
          <w:sz w:val="24"/>
          <w:szCs w:val="24"/>
        </w:rPr>
        <w:t>microcultivo</w:t>
      </w:r>
      <w:proofErr w:type="spellEnd"/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para de</w:t>
      </w:r>
      <w:r>
        <w:rPr>
          <w:rFonts w:ascii="Times New Roman" w:eastAsia="Times New Roman" w:hAnsi="Times New Roman" w:cs="Times New Roman"/>
          <w:sz w:val="24"/>
          <w:szCs w:val="24"/>
        </w:rPr>
        <w:t>scripción microscópica,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inoculando </w:t>
      </w:r>
      <w:r>
        <w:rPr>
          <w:rFonts w:ascii="Times New Roman" w:eastAsia="Times New Roman" w:hAnsi="Times New Roman" w:cs="Times New Roman"/>
          <w:sz w:val="24"/>
          <w:szCs w:val="24"/>
        </w:rPr>
        <w:t>discos de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474CA">
        <w:rPr>
          <w:rFonts w:ascii="Times New Roman" w:eastAsia="Times New Roman" w:hAnsi="Times New Roman" w:cs="Times New Roman"/>
          <w:sz w:val="24"/>
          <w:szCs w:val="24"/>
        </w:rPr>
        <w:t>(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>SDA</w:t>
      </w:r>
      <w:r w:rsidR="00F474CA">
        <w:rPr>
          <w:rFonts w:ascii="Times New Roman" w:eastAsia="Times New Roman" w:hAnsi="Times New Roman" w:cs="Times New Roman"/>
          <w:sz w:val="24"/>
          <w:szCs w:val="24"/>
        </w:rPr>
        <w:t>+EL)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de 0.5 cm de diámetro, bajo un cubreobjet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>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Los discos inoculados se incubarán a 25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ºC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en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cámara húmeda </w:t>
      </w:r>
      <w:r w:rsidR="00513A41">
        <w:rPr>
          <w:rFonts w:ascii="Times New Roman" w:eastAsia="Times New Roman" w:hAnsi="Times New Roman" w:cs="Times New Roman"/>
          <w:sz w:val="24"/>
          <w:szCs w:val="24"/>
        </w:rPr>
        <w:t>por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5 días. Para el montaje de muestras y morfometría</w:t>
      </w:r>
      <w:r w:rsidR="00F474CA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los cubreobjetos con esporas se retirarán cuidadosamente de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microcultivos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con pinzas y serán transferidos a portaobjetos previamente preparados. Luego, los montajes se </w:t>
      </w:r>
      <w:r w:rsidR="00FD2978">
        <w:rPr>
          <w:rFonts w:ascii="Times New Roman" w:eastAsia="Times New Roman" w:hAnsi="Times New Roman" w:cs="Times New Roman"/>
          <w:sz w:val="24"/>
          <w:szCs w:val="24"/>
        </w:rPr>
        <w:t>secarán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con papel absorbente y sellados con esmalte de uñas transparente para su conservación. Se observarán las estructuras microscópicas con un microscopio Leica® (Leica Microsystems,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Wetzlar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Alemania) y se obtendrán imágenes para medir la longitud y el ancho de los conidios (Oliva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., 2024).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Las mediciones de las estructuras microscópicas se realizarán con el software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Image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 3.0.</w:t>
      </w:r>
    </w:p>
    <w:p w:rsidR="00105584" w:rsidRPr="00105584" w:rsidRDefault="00BC5994" w:rsidP="00105584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C5994">
        <w:rPr>
          <w:rFonts w:ascii="Times New Roman" w:eastAsia="Times New Roman" w:hAnsi="Times New Roman" w:cs="Times New Roman"/>
          <w:b/>
          <w:bCs/>
          <w:sz w:val="24"/>
          <w:szCs w:val="24"/>
        </w:rPr>
        <w:t>Caracterización molecular</w:t>
      </w:r>
    </w:p>
    <w:p w:rsidR="00F474CA" w:rsidRPr="00105584" w:rsidRDefault="00F474CA" w:rsidP="00105584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005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A partir de cultivos puros de 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 días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 xml:space="preserve"> de crecimiento</w:t>
      </w:r>
      <w:r w:rsidRPr="00F474CA">
        <w:rPr>
          <w:rFonts w:ascii="Times New Roman" w:eastAsia="Times New Roman" w:hAnsi="Times New Roman" w:cs="Times New Roman"/>
          <w:sz w:val="24"/>
          <w:szCs w:val="24"/>
        </w:rPr>
        <w:t>, se extraerá ADN genómico utilizando el método CTAB (Doyle &amp; Doyle, 1990), y su concentración será determinada por espectrofotometría. Para el análisis filogenético, se amplificarán las regiones ITS (ITS1-5.8S-ITS2) y β-tubulina mediante PCR, empleando los cebadores ITS5/ITS4 (White et al., 1990) y Bt2a/Bt2b (</w:t>
      </w:r>
      <w:proofErr w:type="spellStart"/>
      <w:r w:rsidRPr="00F474CA">
        <w:rPr>
          <w:rFonts w:ascii="Times New Roman" w:eastAsia="Times New Roman" w:hAnsi="Times New Roman" w:cs="Times New Roman"/>
          <w:sz w:val="24"/>
          <w:szCs w:val="24"/>
        </w:rPr>
        <w:t>Glass</w:t>
      </w:r>
      <w:proofErr w:type="spellEnd"/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 &amp; Donaldson, 1995), respectivamente. Las condiciones de amplificación incluirán desnaturalización inicial a 94 °C por 2 minutos, 40 ciclos (94 °C por 30 s, 55 °C por 45 s y 72 °C por 90 s), y una extensión final a 72 °C por 4 minutos. Las reacciones se prepararán en un volumen de 25 µL, conteniendo buffer 1X, MgCl</w:t>
      </w:r>
      <w:r w:rsidR="00E62974" w:rsidRPr="00E62974">
        <w:rPr>
          <w:rFonts w:ascii="Times New Roman" w:eastAsia="Times New Roman" w:hAnsi="Times New Roman" w:cs="Times New Roman"/>
          <w:sz w:val="24"/>
          <w:szCs w:val="24"/>
          <w:vertAlign w:val="subscript"/>
        </w:rPr>
        <w:t>2</w:t>
      </w:r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 (1.5 </w:t>
      </w:r>
      <w:proofErr w:type="spellStart"/>
      <w:r w:rsidRPr="00F474CA">
        <w:rPr>
          <w:rFonts w:ascii="Times New Roman" w:eastAsia="Times New Roman" w:hAnsi="Times New Roman" w:cs="Times New Roman"/>
          <w:sz w:val="24"/>
          <w:szCs w:val="24"/>
        </w:rPr>
        <w:t>mM</w:t>
      </w:r>
      <w:proofErr w:type="spellEnd"/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F474CA">
        <w:rPr>
          <w:rFonts w:ascii="Times New Roman" w:eastAsia="Times New Roman" w:hAnsi="Times New Roman" w:cs="Times New Roman"/>
          <w:sz w:val="24"/>
          <w:szCs w:val="24"/>
        </w:rPr>
        <w:t>dNTPs</w:t>
      </w:r>
      <w:proofErr w:type="spellEnd"/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 (0.2 </w:t>
      </w:r>
      <w:proofErr w:type="spellStart"/>
      <w:r w:rsidRPr="00F474CA">
        <w:rPr>
          <w:rFonts w:ascii="Times New Roman" w:eastAsia="Times New Roman" w:hAnsi="Times New Roman" w:cs="Times New Roman"/>
          <w:sz w:val="24"/>
          <w:szCs w:val="24"/>
        </w:rPr>
        <w:t>mM</w:t>
      </w:r>
      <w:proofErr w:type="spellEnd"/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), cebadores (0.4 µM), 1 U de </w:t>
      </w:r>
      <w:proofErr w:type="spellStart"/>
      <w:r w:rsidRPr="00F474CA">
        <w:rPr>
          <w:rFonts w:ascii="Times New Roman" w:eastAsia="Times New Roman" w:hAnsi="Times New Roman" w:cs="Times New Roman"/>
          <w:sz w:val="24"/>
          <w:szCs w:val="24"/>
        </w:rPr>
        <w:t>Taq</w:t>
      </w:r>
      <w:proofErr w:type="spellEnd"/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 polimerasa y 20 ng de ADN. Los productos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se enviarán a una empresa especializada para su secuenciación, y las secuencias obtenidas serán comparadas con la base de datos </w:t>
      </w:r>
      <w:proofErr w:type="spellStart"/>
      <w:r w:rsidRPr="00F474CA">
        <w:rPr>
          <w:rFonts w:ascii="Times New Roman" w:eastAsia="Times New Roman" w:hAnsi="Times New Roman" w:cs="Times New Roman"/>
          <w:sz w:val="24"/>
          <w:szCs w:val="24"/>
        </w:rPr>
        <w:t>GenBank</w:t>
      </w:r>
      <w:proofErr w:type="spellEnd"/>
      <w:r w:rsidRPr="00F474CA">
        <w:rPr>
          <w:rFonts w:ascii="Times New Roman" w:eastAsia="Times New Roman" w:hAnsi="Times New Roman" w:cs="Times New Roman"/>
          <w:sz w:val="24"/>
          <w:szCs w:val="24"/>
        </w:rPr>
        <w:t xml:space="preserve"> del NCBI para su identificación filogenética.</w:t>
      </w:r>
    </w:p>
    <w:p w:rsidR="00ED0F75" w:rsidRPr="00BC5994" w:rsidRDefault="00ED0F75" w:rsidP="00B43689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Caracterización fisiológica</w:t>
      </w:r>
    </w:p>
    <w:p w:rsidR="00805C5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Crecimiento micelial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partir de colonias con 8 días de crecimiento, se tomará un disco </w:t>
      </w:r>
      <w:r w:rsidR="00FD2978">
        <w:rPr>
          <w:rFonts w:ascii="Times New Roman" w:eastAsia="Times New Roman" w:hAnsi="Times New Roman" w:cs="Times New Roman"/>
          <w:sz w:val="24"/>
          <w:szCs w:val="24"/>
        </w:rPr>
        <w:t>de 0.5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cm desde el borde y se transferirá al centro de una</w:t>
      </w:r>
      <w:r w:rsidR="00105584">
        <w:rPr>
          <w:rFonts w:ascii="Times New Roman" w:eastAsia="Times New Roman" w:hAnsi="Times New Roman" w:cs="Times New Roman"/>
          <w:sz w:val="24"/>
          <w:szCs w:val="24"/>
        </w:rPr>
        <w:t xml:space="preserve"> placa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Petri de 90 mm de diámetr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 xml:space="preserve">o con 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>(SDA+EL)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Las placas se incubarán en condiciones de oscuridad a temperaturas de 20, 25 y 30 ± 1 °C. El crecimiento micelial (CM) se registrará cada dos días, hasta que el hongo cubra por completo la superficie de la placa. Cada combinación de aislamiento y temperatura se evaluará con cinco repeticiones. Para 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>definir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efecto de la temperatura sobre el crecimiento, se calculará</w:t>
      </w:r>
      <w:r w:rsidR="00B00A2C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incremento del crecimiento radial al comparar 20 °C con 25 °C, aplicando la fórmula: % inhibición/incremento = [(crecimiento a 25 °C × 100) / crecimiento a 20 °C]-100 (Torres </w:t>
      </w:r>
      <w:r w:rsidRPr="003958A6">
        <w:rPr>
          <w:rFonts w:ascii="Times New Roman" w:eastAsia="Times New Roman" w:hAnsi="Times New Roman" w:cs="Times New Roman"/>
          <w:i/>
          <w:iCs/>
          <w:sz w:val="24"/>
          <w:szCs w:val="24"/>
        </w:rPr>
        <w:t>et </w:t>
      </w:r>
      <w:proofErr w:type="spellStart"/>
      <w:r w:rsidRPr="003958A6">
        <w:rPr>
          <w:rFonts w:ascii="Times New Roman" w:eastAsia="Times New Roman" w:hAnsi="Times New Roman" w:cs="Times New Roman"/>
          <w:i/>
          <w:iCs/>
          <w:sz w:val="24"/>
          <w:szCs w:val="24"/>
        </w:rPr>
        <w:t>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2013).</w:t>
      </w:r>
    </w:p>
    <w:p w:rsidR="00E62974" w:rsidRDefault="00E62974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 xml:space="preserve"> Producción conidial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tomarán discos de 0.5 cm</w:t>
      </w:r>
      <w:r w:rsidR="00B00A2C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r>
        <w:rPr>
          <w:rFonts w:ascii="Times New Roman" w:eastAsia="Times New Roman" w:hAnsi="Times New Roman" w:cs="Times New Roman"/>
          <w:sz w:val="24"/>
          <w:szCs w:val="24"/>
        </w:rPr>
        <w:t>colonias de 8 días de</w:t>
      </w:r>
      <w:r w:rsidR="00B00A2C">
        <w:rPr>
          <w:rFonts w:ascii="Times New Roman" w:eastAsia="Times New Roman" w:hAnsi="Times New Roman" w:cs="Times New Roman"/>
          <w:sz w:val="24"/>
          <w:szCs w:val="24"/>
        </w:rPr>
        <w:t xml:space="preserve"> crecimiento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y se transferirán a</w:t>
      </w:r>
      <w:r w:rsidR="00B00A2C">
        <w:rPr>
          <w:rFonts w:ascii="Times New Roman" w:eastAsia="Times New Roman" w:hAnsi="Times New Roman" w:cs="Times New Roman"/>
          <w:sz w:val="24"/>
          <w:szCs w:val="24"/>
        </w:rPr>
        <w:t xml:space="preserve"> placas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Petri co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 xml:space="preserve">n 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>(SDA+EL)</w:t>
      </w:r>
      <w:r>
        <w:rPr>
          <w:rFonts w:ascii="Times New Roman" w:eastAsia="Times New Roman" w:hAnsi="Times New Roman" w:cs="Times New Roman"/>
          <w:sz w:val="24"/>
          <w:szCs w:val="24"/>
        </w:rPr>
        <w:t>. Estas placas serán incubadas en oscuridad durante 15 días a temperaturas de 20, 25 y 30 ± 1 °C. Finalizado este período, los conidios se recolectarán inundando la superficie</w:t>
      </w:r>
      <w:r w:rsidR="00B00A2C">
        <w:rPr>
          <w:rFonts w:ascii="Times New Roman" w:eastAsia="Times New Roman" w:hAnsi="Times New Roman" w:cs="Times New Roman"/>
          <w:sz w:val="24"/>
          <w:szCs w:val="24"/>
        </w:rPr>
        <w:t xml:space="preserve"> de la colonia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con agua destilada estéril (ADE) </w:t>
      </w:r>
      <w:r w:rsidR="00E62974">
        <w:rPr>
          <w:rFonts w:ascii="Times New Roman" w:eastAsia="Times New Roman" w:hAnsi="Times New Roman" w:cs="Times New Roman"/>
          <w:sz w:val="24"/>
          <w:szCs w:val="24"/>
        </w:rPr>
        <w:t>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80 al 0,1 %. La suspensión obtenida se homogeneizará durante un minuto usando un agitador magnético. Para separar los conidios del micelio, se filtrará la mezcla a través de gasa clínica estéril. La producción de conidios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por cada aislamiento se cuantificará mediante el uso de una cámara de Neubauer. Se establecerán cinco repeticiones por aislamiento. El número de conidios por mililitro se calculará aplicando la fórmula</w:t>
      </w:r>
      <w:r w:rsidR="00E3768E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Lipa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Slizynski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(1973):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 =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) (4 x 106) (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>/80)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Donde: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C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= </w:t>
      </w:r>
      <w:r w:rsidR="00E3768E">
        <w:rPr>
          <w:rFonts w:ascii="Times New Roman" w:eastAsia="Times New Roman" w:hAnsi="Times New Roman" w:cs="Times New Roman"/>
          <w:sz w:val="24"/>
          <w:szCs w:val="24"/>
        </w:rPr>
        <w:t>cantidad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de conidios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Cc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= número promedio de conidios contados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Fd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factor de dilución</w:t>
      </w:r>
    </w:p>
    <w:p w:rsidR="00805C5A" w:rsidRDefault="00000000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impacto de la temperatura sobre la producción de conidios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en medio de cultivo </w:t>
      </w:r>
      <w:r w:rsidR="00B703A7">
        <w:rPr>
          <w:rFonts w:ascii="Times New Roman" w:eastAsia="Times New Roman" w:hAnsi="Times New Roman" w:cs="Times New Roman"/>
          <w:sz w:val="24"/>
          <w:szCs w:val="24"/>
        </w:rPr>
        <w:t>(SDA+EL)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 analizará mediante el cálculo del porcentaje de inhibició</w:t>
      </w:r>
      <w:r w:rsidR="00E3768E">
        <w:rPr>
          <w:rFonts w:ascii="Times New Roman" w:eastAsia="Times New Roman" w:hAnsi="Times New Roman" w:cs="Times New Roman"/>
          <w:sz w:val="24"/>
          <w:szCs w:val="24"/>
        </w:rPr>
        <w:t>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comparando los valores obtenidos a 20 °C y </w:t>
      </w:r>
      <w:r w:rsidR="00B703A7">
        <w:rPr>
          <w:rFonts w:ascii="Times New Roman" w:eastAsia="Times New Roman" w:hAnsi="Times New Roman" w:cs="Times New Roman"/>
          <w:sz w:val="24"/>
          <w:szCs w:val="24"/>
        </w:rPr>
        <w:t>30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°C respecto a los de 2</w:t>
      </w:r>
      <w:r w:rsidR="00B703A7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°C. Para ello, se emplearán las siguientes fórmulas: % INH/INC =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25 °C × 100)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20 °C] - 100, y % INH/INC = [(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30 °C × 100)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PdC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 25 °C]-100 (Torres </w:t>
      </w:r>
      <w:r w:rsidRPr="00B703A7">
        <w:rPr>
          <w:rFonts w:ascii="Times New Roman" w:eastAsia="Times New Roman" w:hAnsi="Times New Roman" w:cs="Times New Roman"/>
          <w:i/>
          <w:iCs/>
          <w:sz w:val="24"/>
          <w:szCs w:val="24"/>
        </w:rPr>
        <w:t>et </w:t>
      </w:r>
      <w:proofErr w:type="spellStart"/>
      <w:r w:rsidRPr="00B703A7">
        <w:rPr>
          <w:rFonts w:ascii="Times New Roman" w:eastAsia="Times New Roman" w:hAnsi="Times New Roman" w:cs="Times New Roman"/>
          <w:i/>
          <w:iCs/>
          <w:sz w:val="24"/>
          <w:szCs w:val="24"/>
        </w:rPr>
        <w:t>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., 2013).</w:t>
      </w:r>
    </w:p>
    <w:p w:rsidR="00B703A7" w:rsidRDefault="00B703A7">
      <w:pPr>
        <w:spacing w:line="360" w:lineRule="auto"/>
        <w:ind w:left="1364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05C5A" w:rsidRDefault="00000000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Porcentaje de germinación</w:t>
      </w:r>
    </w:p>
    <w:p w:rsidR="00805C5A" w:rsidRDefault="00E3768E">
      <w:pPr>
        <w:spacing w:line="360" w:lineRule="auto"/>
        <w:ind w:left="1416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Utilizando cultivos de 20 días de crecimiento, se preparará una suspensión con 5 x 10⁶ conidios por mililitro. De esta, se tomarán 30 µL que serán inoculados en</w:t>
      </w:r>
      <w:r w:rsidR="00B703A7">
        <w:rPr>
          <w:rFonts w:ascii="Times New Roman" w:eastAsia="Times New Roman" w:hAnsi="Times New Roman" w:cs="Times New Roman"/>
          <w:sz w:val="24"/>
          <w:szCs w:val="24"/>
        </w:rPr>
        <w:t xml:space="preserve"> placas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de Petri con </w:t>
      </w:r>
      <w:r w:rsidR="00B703A7">
        <w:rPr>
          <w:rFonts w:ascii="Times New Roman" w:eastAsia="Times New Roman" w:hAnsi="Times New Roman" w:cs="Times New Roman"/>
          <w:sz w:val="24"/>
          <w:szCs w:val="24"/>
        </w:rPr>
        <w:t>(SDA+EL)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las cuales se incubarán a temperaturas de 20, 25 y 30 ± 1 °C. La evaluación de la germinación </w:t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comenzará a partir de la séptima hora, mediante la observación de 100 conidios por lectura, y se continuará hasta que alguno de los aislamientos alcance un 90 % de germinación (Torres </w:t>
      </w:r>
      <w:r w:rsidRPr="003958A6">
        <w:rPr>
          <w:rFonts w:ascii="Times New Roman" w:eastAsia="Times New Roman" w:hAnsi="Times New Roman" w:cs="Times New Roman"/>
          <w:i/>
          <w:iCs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>., 2016).</w:t>
      </w: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Evaluación de patogenicidad</w:t>
      </w:r>
    </w:p>
    <w:p w:rsidR="00ED0F75" w:rsidRDefault="00E3768E" w:rsidP="00B703A7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 realizará en adultos de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i/>
          <w:sz w:val="24"/>
          <w:szCs w:val="24"/>
        </w:rPr>
        <w:t>hemipterus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para ello se recolectarán de plantaciones donde se efectuó el muestreo inicial. Estos serán sumergidos durante un minuto en una suspensión con 1 x 10⁷ conidios por mililitro, complementada con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Tween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80 al 0,1 %. Los controles serán tratados de igual forma, pero utilizando solamente agua destilada estéril</w:t>
      </w:r>
      <w:r w:rsidR="009E21BB">
        <w:rPr>
          <w:rFonts w:ascii="Times New Roman" w:eastAsia="Times New Roman" w:hAnsi="Times New Roman" w:cs="Times New Roman"/>
          <w:sz w:val="24"/>
          <w:szCs w:val="24"/>
        </w:rPr>
        <w:t xml:space="preserve"> (ADS) +</w:t>
      </w:r>
      <w:r w:rsidR="009E21BB" w:rsidRPr="009E21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9E21BB">
        <w:rPr>
          <w:rFonts w:ascii="Times New Roman" w:eastAsia="Times New Roman" w:hAnsi="Times New Roman" w:cs="Times New Roman"/>
          <w:sz w:val="24"/>
          <w:szCs w:val="24"/>
        </w:rPr>
        <w:t>Tween</w:t>
      </w:r>
      <w:proofErr w:type="spellEnd"/>
      <w:r w:rsidR="009E21BB">
        <w:rPr>
          <w:rFonts w:ascii="Times New Roman" w:eastAsia="Times New Roman" w:hAnsi="Times New Roman" w:cs="Times New Roman"/>
          <w:sz w:val="24"/>
          <w:szCs w:val="24"/>
        </w:rPr>
        <w:t xml:space="preserve"> 80 al 0,1 %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9E21BB">
        <w:rPr>
          <w:rFonts w:ascii="Times New Roman" w:eastAsia="Times New Roman" w:hAnsi="Times New Roman" w:cs="Times New Roman"/>
          <w:sz w:val="24"/>
          <w:szCs w:val="24"/>
        </w:rPr>
        <w:t>Seguido</w:t>
      </w:r>
      <w:r>
        <w:rPr>
          <w:rFonts w:ascii="Times New Roman" w:eastAsia="Times New Roman" w:hAnsi="Times New Roman" w:cs="Times New Roman"/>
          <w:sz w:val="24"/>
          <w:szCs w:val="24"/>
        </w:rPr>
        <w:t>, los insectos tratados se colocarán en recipientes plásticos, agrupando 10 individuos por unidad experimental, con cinco repeticiones por cada aislamiento. Las condiciones de incubación serán de 25 ± 1 °C. La mortalidad será registrada diariamente y</w:t>
      </w:r>
      <w:r w:rsidR="009E21BB">
        <w:rPr>
          <w:rFonts w:ascii="Times New Roman" w:eastAsia="Times New Roman" w:hAnsi="Times New Roman" w:cs="Times New Roman"/>
          <w:sz w:val="24"/>
          <w:szCs w:val="24"/>
        </w:rPr>
        <w:t xml:space="preserve"> los adultos </w:t>
      </w:r>
      <w:r>
        <w:rPr>
          <w:rFonts w:ascii="Times New Roman" w:eastAsia="Times New Roman" w:hAnsi="Times New Roman" w:cs="Times New Roman"/>
          <w:sz w:val="24"/>
          <w:szCs w:val="24"/>
        </w:rPr>
        <w:t>muertos se transferirán a una cámara húmeda para favorecer la esporulación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Mayo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, 2024)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.</w:t>
      </w:r>
    </w:p>
    <w:p w:rsidR="00ED0F75" w:rsidRDefault="00ED0F75" w:rsidP="009E21BB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805C5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Producción de conidios en arroz</w:t>
      </w:r>
    </w:p>
    <w:p w:rsidR="00805C5A" w:rsidRDefault="00000000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Se seguirá la metodología utilizada por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Torres </w:t>
      </w:r>
      <w:r w:rsidRPr="003958A6">
        <w:rPr>
          <w:rFonts w:ascii="Times New Roman" w:eastAsia="Times New Roman" w:hAnsi="Times New Roman" w:cs="Times New Roman"/>
          <w:i/>
          <w:iCs/>
          <w:sz w:val="24"/>
          <w:szCs w:val="24"/>
        </w:rPr>
        <w:t>et al</w:t>
      </w:r>
      <w:r>
        <w:rPr>
          <w:rFonts w:ascii="Times New Roman" w:eastAsia="Times New Roman" w:hAnsi="Times New Roman" w:cs="Times New Roman"/>
          <w:sz w:val="24"/>
          <w:szCs w:val="24"/>
        </w:rPr>
        <w:t>. (2016)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empleando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50 gramos de arroz depositados en bolsas de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polipapel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, humedecidos con 12 mililitros de agua destilada, y esterilizados a 121 °C durante 20 minutos. Una vez frías, las bolsas serán inoculadas con 5 mililitros de suspensión </w:t>
      </w: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1 x 10⁶ conidios por mililitro, e incubadas durante 15 días</w:t>
      </w:r>
      <w:r w:rsidR="00B703A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con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temperatura</w:t>
      </w:r>
      <w:r w:rsidR="00B703A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de 25 ± 1 °C y bajo</w:t>
      </w:r>
      <w:r w:rsidR="00B703A7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fotoperiodo de 12 horas luz y 12 horas oscuridad. Para cada aislamiento se realizarán cinco repeticiones. Al término del periodo de incubación, los 50 gramos de arroz se mezclarán con 150 mililitros de</w:t>
      </w:r>
      <w:r w:rsidR="00D056C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ADS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más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Tween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80 al 0,1 %</w:t>
      </w:r>
      <w:r w:rsidR="00D056C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y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agit</w:t>
      </w:r>
      <w:r w:rsidR="00D056C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ados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durante 10 minutos. Luego, </w:t>
      </w:r>
      <w:r w:rsidR="00D056C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para separar los conidios del sustrato</w:t>
      </w:r>
      <w:r w:rsidR="004A28B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y micelio</w:t>
      </w:r>
      <w:r w:rsidR="00D056CC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se utilizará</w:t>
      </w:r>
      <w:r w:rsidR="004A28BB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una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gasa clínica. Finalmente, el número de conidios se cuantificará utilizando una cámara de Neubauer, estimando la producción por gramo (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PdC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 xml:space="preserve"> g⁻¹) mediante la fórmula de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Lipa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Slizynski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(1973)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  <w:t>, descrita anteriormente.</w:t>
      </w:r>
    </w:p>
    <w:p w:rsidR="00B703A7" w:rsidRDefault="00B703A7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B703A7" w:rsidRDefault="00B703A7">
      <w:pPr>
        <w:spacing w:line="360" w:lineRule="auto"/>
        <w:ind w:left="1004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</w:rPr>
      </w:pPr>
    </w:p>
    <w:p w:rsidR="00805C5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Análisis de datos</w:t>
      </w:r>
    </w:p>
    <w:p w:rsidR="009E21BB" w:rsidRDefault="009E21BB" w:rsidP="009E21BB">
      <w:pPr>
        <w:pStyle w:val="NormalWeb"/>
        <w:spacing w:line="360" w:lineRule="auto"/>
        <w:ind w:left="644"/>
        <w:jc w:val="both"/>
      </w:pPr>
      <w:r>
        <w:t>Los datos correspondientes al crecimiento micelial (CM), producción de conidios (</w:t>
      </w:r>
      <w:proofErr w:type="spellStart"/>
      <w:r>
        <w:t>PdC</w:t>
      </w:r>
      <w:proofErr w:type="spellEnd"/>
      <w:r>
        <w:t xml:space="preserve">) en medio SDA, </w:t>
      </w:r>
      <w:proofErr w:type="spellStart"/>
      <w:r>
        <w:t>PdC</w:t>
      </w:r>
      <w:proofErr w:type="spellEnd"/>
      <w:r>
        <w:t xml:space="preserve"> en arroz y mortalidad serán analizados empleando un diseño completamente aleatorizado (DCA), considerando </w:t>
      </w:r>
      <w:r>
        <w:rPr>
          <w:rStyle w:val="nfasis"/>
        </w:rPr>
        <w:t>n</w:t>
      </w:r>
      <w:r>
        <w:t xml:space="preserve"> tratamientos (aislamientos). Previamente al análisis estadístico, los valores de mortalidad se transformarán mediante la función arcoseno de la raíz cuadrada de la proporción, mientras que los datos de CM y </w:t>
      </w:r>
      <w:proofErr w:type="spellStart"/>
      <w:r>
        <w:t>PdC</w:t>
      </w:r>
      <w:proofErr w:type="spellEnd"/>
      <w:r>
        <w:t xml:space="preserve"> serán sometidos a la transformación logarítmica log</w:t>
      </w:r>
      <w:r w:rsidR="004A28BB">
        <w:t xml:space="preserve"> </w:t>
      </w:r>
      <w:r>
        <w:t>(x + 1). La comparación entre tratamientos se llevará a cabo mediante un análisis de varianza (ANOVA) con un nivel de significancia de α = 0.05, seguido por la prueba de comparaciones múltiples de Tukey, utilizando el software R.</w:t>
      </w:r>
    </w:p>
    <w:p w:rsidR="00ED0F75" w:rsidRPr="004A28BB" w:rsidRDefault="009E21BB" w:rsidP="004A28BB">
      <w:pPr>
        <w:pStyle w:val="NormalWeb"/>
        <w:spacing w:line="360" w:lineRule="auto"/>
        <w:ind w:left="644"/>
        <w:jc w:val="both"/>
      </w:pPr>
      <w:r>
        <w:t>Adicionalmente, los tiempos necesarios para alcanzar el 50 % y el 90 % de germinación de conidios (TG</w:t>
      </w:r>
      <w:r w:rsidRPr="009E21BB">
        <w:rPr>
          <w:vertAlign w:val="subscript"/>
        </w:rPr>
        <w:t>50</w:t>
      </w:r>
      <w:r>
        <w:t xml:space="preserve"> y TG</w:t>
      </w:r>
      <w:r w:rsidRPr="009E21BB">
        <w:rPr>
          <w:vertAlign w:val="subscript"/>
        </w:rPr>
        <w:t>90</w:t>
      </w:r>
      <w:r>
        <w:t>) serán estimados mediante modelos de regresión logística, también implementados en R.</w:t>
      </w:r>
    </w:p>
    <w:p w:rsidR="00805C5A" w:rsidRPr="003F1FA0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Cronograma</w:t>
      </w:r>
    </w:p>
    <w:p w:rsidR="003F1FA0" w:rsidRPr="003F1FA0" w:rsidRDefault="003F1FA0" w:rsidP="003F1FA0">
      <w:pPr>
        <w:spacing w:before="240" w:after="240" w:line="360" w:lineRule="auto"/>
        <w:ind w:left="284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F1FA0">
        <w:rPr>
          <w:rFonts w:ascii="Times New Roman" w:eastAsia="Times New Roman" w:hAnsi="Times New Roman" w:cs="Times New Roman"/>
          <w:b/>
          <w:sz w:val="24"/>
          <w:szCs w:val="24"/>
        </w:rPr>
        <w:t xml:space="preserve">Tabla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Pr="003F1FA0">
        <w:rPr>
          <w:rFonts w:ascii="Times New Roman" w:eastAsia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</w:rPr>
        <w:t>Cronograma de actividades</w:t>
      </w:r>
    </w:p>
    <w:tbl>
      <w:tblPr>
        <w:tblStyle w:val="EstiloTablaAPA"/>
        <w:tblW w:w="0" w:type="auto"/>
        <w:tblInd w:w="1004" w:type="dxa"/>
        <w:tblLook w:val="04A0" w:firstRow="1" w:lastRow="0" w:firstColumn="1" w:lastColumn="0" w:noHBand="0" w:noVBand="1"/>
      </w:tblPr>
      <w:tblGrid>
        <w:gridCol w:w="2682"/>
        <w:gridCol w:w="1559"/>
        <w:gridCol w:w="1559"/>
        <w:gridCol w:w="1699"/>
      </w:tblGrid>
      <w:tr w:rsidR="000325E8" w:rsidRPr="000325E8" w:rsidTr="00187CE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1"/>
        </w:trPr>
        <w:tc>
          <w:tcPr>
            <w:tcW w:w="2682" w:type="dxa"/>
            <w:vMerge w:val="restart"/>
            <w:tcBorders>
              <w:top w:val="single" w:sz="4" w:space="0" w:color="auto"/>
            </w:tcBorders>
          </w:tcPr>
          <w:p w:rsidR="000325E8" w:rsidRPr="000325E8" w:rsidRDefault="000325E8" w:rsidP="000325E8">
            <w:pPr>
              <w:contextualSpacing/>
              <w:rPr>
                <w:b/>
              </w:rPr>
            </w:pPr>
            <w:r w:rsidRPr="000325E8">
              <w:rPr>
                <w:b/>
              </w:rPr>
              <w:t xml:space="preserve">Etapas </w:t>
            </w:r>
          </w:p>
        </w:tc>
        <w:tc>
          <w:tcPr>
            <w:tcW w:w="1559" w:type="dxa"/>
            <w:vMerge w:val="restart"/>
            <w:tcBorders>
              <w:top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  <w:rPr>
                <w:b/>
              </w:rPr>
            </w:pPr>
            <w:r w:rsidRPr="000325E8">
              <w:rPr>
                <w:b/>
              </w:rPr>
              <w:t>Duración</w:t>
            </w:r>
          </w:p>
          <w:p w:rsidR="000325E8" w:rsidRPr="000325E8" w:rsidRDefault="000325E8" w:rsidP="000325E8">
            <w:pPr>
              <w:contextualSpacing/>
              <w:jc w:val="center"/>
              <w:rPr>
                <w:b/>
              </w:rPr>
            </w:pPr>
            <w:r w:rsidRPr="000325E8">
              <w:rPr>
                <w:b/>
              </w:rPr>
              <w:t>(meses)</w:t>
            </w:r>
          </w:p>
        </w:tc>
        <w:tc>
          <w:tcPr>
            <w:tcW w:w="3258" w:type="dxa"/>
            <w:gridSpan w:val="2"/>
            <w:tcBorders>
              <w:top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  <w:rPr>
                <w:b/>
              </w:rPr>
            </w:pPr>
            <w:r w:rsidRPr="000325E8">
              <w:rPr>
                <w:b/>
              </w:rPr>
              <w:t>Periodo</w:t>
            </w:r>
          </w:p>
        </w:tc>
      </w:tr>
      <w:tr w:rsidR="000325E8" w:rsidRPr="000325E8" w:rsidTr="00187CEC">
        <w:trPr>
          <w:trHeight w:val="131"/>
        </w:trPr>
        <w:tc>
          <w:tcPr>
            <w:tcW w:w="2682" w:type="dxa"/>
            <w:vMerge/>
            <w:tcBorders>
              <w:top w:val="nil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</w:pPr>
          </w:p>
        </w:tc>
        <w:tc>
          <w:tcPr>
            <w:tcW w:w="1559" w:type="dxa"/>
            <w:vMerge/>
            <w:tcBorders>
              <w:top w:val="nil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Inicio</w:t>
            </w: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Termino</w:t>
            </w:r>
          </w:p>
        </w:tc>
      </w:tr>
      <w:tr w:rsidR="000325E8" w:rsidRPr="000325E8" w:rsidTr="00187CEC">
        <w:tc>
          <w:tcPr>
            <w:tcW w:w="2682" w:type="dxa"/>
          </w:tcPr>
          <w:p w:rsidR="000325E8" w:rsidRPr="000325E8" w:rsidRDefault="000325E8" w:rsidP="000325E8">
            <w:pPr>
              <w:contextualSpacing/>
            </w:pPr>
            <w:r w:rsidRPr="000325E8">
              <w:t xml:space="preserve">Recolección de muestras 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15-07-25</w:t>
            </w:r>
          </w:p>
        </w:tc>
        <w:tc>
          <w:tcPr>
            <w:tcW w:w="169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15-08-25</w:t>
            </w:r>
          </w:p>
        </w:tc>
      </w:tr>
      <w:tr w:rsidR="000325E8" w:rsidRPr="000325E8" w:rsidTr="00187CEC">
        <w:tc>
          <w:tcPr>
            <w:tcW w:w="2682" w:type="dxa"/>
          </w:tcPr>
          <w:p w:rsidR="000325E8" w:rsidRPr="000325E8" w:rsidRDefault="000325E8" w:rsidP="000325E8">
            <w:pPr>
              <w:contextualSpacing/>
            </w:pPr>
            <w:r w:rsidRPr="000325E8">
              <w:t xml:space="preserve">Recolección de datos 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4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15-08-25</w:t>
            </w:r>
          </w:p>
        </w:tc>
        <w:tc>
          <w:tcPr>
            <w:tcW w:w="169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</w:t>
            </w:r>
            <w:r>
              <w:t>12</w:t>
            </w:r>
            <w:r w:rsidRPr="000325E8">
              <w:t>-25</w:t>
            </w:r>
          </w:p>
        </w:tc>
      </w:tr>
      <w:tr w:rsidR="000325E8" w:rsidRPr="000325E8" w:rsidTr="00187CEC">
        <w:tc>
          <w:tcPr>
            <w:tcW w:w="2682" w:type="dxa"/>
          </w:tcPr>
          <w:p w:rsidR="000325E8" w:rsidRPr="000325E8" w:rsidRDefault="000325E8" w:rsidP="000325E8">
            <w:pPr>
              <w:contextualSpacing/>
            </w:pPr>
            <w:r w:rsidRPr="000325E8">
              <w:t xml:space="preserve">Análisis de datos  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</w:t>
            </w:r>
            <w:r>
              <w:t>12</w:t>
            </w:r>
            <w:r w:rsidRPr="000325E8">
              <w:t>-25</w:t>
            </w:r>
          </w:p>
        </w:tc>
        <w:tc>
          <w:tcPr>
            <w:tcW w:w="169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</w:t>
            </w:r>
            <w:r>
              <w:t>01</w:t>
            </w:r>
            <w:r w:rsidRPr="000325E8">
              <w:t>-25</w:t>
            </w:r>
          </w:p>
        </w:tc>
      </w:tr>
      <w:tr w:rsidR="000325E8" w:rsidRPr="000325E8" w:rsidTr="00187CEC">
        <w:tc>
          <w:tcPr>
            <w:tcW w:w="2682" w:type="dxa"/>
          </w:tcPr>
          <w:p w:rsidR="000325E8" w:rsidRPr="000325E8" w:rsidRDefault="000325E8" w:rsidP="000325E8">
            <w:pPr>
              <w:contextualSpacing/>
            </w:pPr>
            <w:r w:rsidRPr="000325E8">
              <w:t>Elaboración de informe de tesis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</w:t>
            </w:r>
            <w:r>
              <w:t>01</w:t>
            </w:r>
            <w:r w:rsidRPr="000325E8">
              <w:t>-25</w:t>
            </w:r>
          </w:p>
        </w:tc>
        <w:tc>
          <w:tcPr>
            <w:tcW w:w="169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</w:t>
            </w:r>
            <w:r>
              <w:t>2</w:t>
            </w:r>
            <w:r w:rsidRPr="000325E8">
              <w:t>-26</w:t>
            </w:r>
          </w:p>
        </w:tc>
      </w:tr>
      <w:tr w:rsidR="000325E8" w:rsidRPr="000325E8" w:rsidTr="00187CEC">
        <w:tc>
          <w:tcPr>
            <w:tcW w:w="2682" w:type="dxa"/>
          </w:tcPr>
          <w:p w:rsidR="000325E8" w:rsidRPr="000325E8" w:rsidRDefault="000325E8" w:rsidP="000325E8">
            <w:pPr>
              <w:contextualSpacing/>
            </w:pPr>
            <w:r w:rsidRPr="000325E8">
              <w:t xml:space="preserve">Revisión y corrección de informe 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0.5</w:t>
            </w:r>
          </w:p>
        </w:tc>
        <w:tc>
          <w:tcPr>
            <w:tcW w:w="155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</w:t>
            </w:r>
            <w:r>
              <w:t>2</w:t>
            </w:r>
            <w:r w:rsidRPr="000325E8">
              <w:t>-26</w:t>
            </w:r>
          </w:p>
        </w:tc>
        <w:tc>
          <w:tcPr>
            <w:tcW w:w="1699" w:type="dxa"/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</w:t>
            </w:r>
            <w:r>
              <w:t>2</w:t>
            </w:r>
            <w:r w:rsidRPr="000325E8">
              <w:t>-26</w:t>
            </w:r>
          </w:p>
        </w:tc>
      </w:tr>
      <w:tr w:rsidR="000325E8" w:rsidRPr="000325E8" w:rsidTr="00187CEC">
        <w:tc>
          <w:tcPr>
            <w:tcW w:w="2682" w:type="dxa"/>
            <w:tcBorders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</w:pPr>
            <w:r w:rsidRPr="000325E8">
              <w:t xml:space="preserve">Presentación y sustentación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0.5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</w:t>
            </w:r>
            <w:r>
              <w:t>2</w:t>
            </w:r>
            <w:r w:rsidRPr="000325E8">
              <w:t>-26</w:t>
            </w:r>
          </w:p>
        </w:tc>
        <w:tc>
          <w:tcPr>
            <w:tcW w:w="1699" w:type="dxa"/>
            <w:tcBorders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15-0</w:t>
            </w:r>
            <w:r>
              <w:t>3</w:t>
            </w:r>
            <w:r w:rsidRPr="000325E8">
              <w:t>-26</w:t>
            </w:r>
          </w:p>
        </w:tc>
      </w:tr>
      <w:tr w:rsidR="000325E8" w:rsidRPr="000325E8" w:rsidTr="00187CEC">
        <w:tc>
          <w:tcPr>
            <w:tcW w:w="2682" w:type="dxa"/>
            <w:tcBorders>
              <w:top w:val="single" w:sz="4" w:space="0" w:color="auto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</w:pPr>
            <w:proofErr w:type="gramStart"/>
            <w:r w:rsidRPr="000325E8">
              <w:t>Total</w:t>
            </w:r>
            <w:proofErr w:type="gramEnd"/>
            <w:r w:rsidRPr="000325E8">
              <w:t xml:space="preserve"> de meses (inicio-fin)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8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................</w:t>
            </w:r>
          </w:p>
        </w:tc>
        <w:tc>
          <w:tcPr>
            <w:tcW w:w="1699" w:type="dxa"/>
            <w:tcBorders>
              <w:top w:val="single" w:sz="4" w:space="0" w:color="auto"/>
              <w:bottom w:val="single" w:sz="4" w:space="0" w:color="auto"/>
            </w:tcBorders>
          </w:tcPr>
          <w:p w:rsidR="000325E8" w:rsidRPr="000325E8" w:rsidRDefault="000325E8" w:rsidP="000325E8">
            <w:pPr>
              <w:contextualSpacing/>
              <w:jc w:val="center"/>
            </w:pPr>
            <w:r w:rsidRPr="000325E8">
              <w:t>..................</w:t>
            </w:r>
          </w:p>
        </w:tc>
      </w:tr>
    </w:tbl>
    <w:p w:rsidR="00ED0F75" w:rsidRPr="00ED0F75" w:rsidRDefault="00000000" w:rsidP="00ED0F75">
      <w:pPr>
        <w:pStyle w:val="Ttulo1"/>
        <w:numPr>
          <w:ilvl w:val="0"/>
          <w:numId w:val="1"/>
        </w:numPr>
        <w:spacing w:line="360" w:lineRule="auto"/>
        <w:ind w:hanging="36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Referencias bibliográficas</w:t>
      </w:r>
    </w:p>
    <w:p w:rsidR="00805C5A" w:rsidRDefault="00805C5A"/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Algarate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D. C., &amp; Marianella, O. (2023). Determinación del efecto de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anisopliae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para el control de adultos de </w:t>
      </w:r>
      <w:proofErr w:type="spellStart"/>
      <w:r w:rsidRPr="004A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Cryptocephalus</w:t>
      </w:r>
      <w:proofErr w:type="spellEnd"/>
      <w:r w:rsidRPr="004A28B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. En condiciones de laboratorio. https://hdl.handle.net/20.500.14414/17611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Aw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M. S., &amp;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Hue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S. M. (2017).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Mode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Infection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Fungus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Their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Potential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as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Biological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Agents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Journal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Fungi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3(2),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Article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2. https://doi.org/10.3390/jof3020030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Baró, Y., Schuster, C., Gato, Y., Márquez, M. E., &amp;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Leclerque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A. (2022).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Characterization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identification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virulence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species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Cuba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control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sweet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potato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weevil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Cylas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formicarius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Fabricius (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Coleoptera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Brentidae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Journal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Applied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Microbiology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132(5), 3705-3716. </w:t>
      </w:r>
      <w:hyperlink r:id="rId16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>https://doi.org/10.1111/jam.15460</w:t>
        </w:r>
      </w:hyperlink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hyperlink r:id="rId17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 xml:space="preserve">Bischoff, J. F., Rehner ,Stephen A., &amp; and Humber, R. A. (2009). A multilocus phylogeny of the </w:t>
        </w:r>
      </w:hyperlink>
      <w:hyperlink r:id="rId18">
        <w:r w:rsidRPr="004A28BB">
          <w:rPr>
            <w:rFonts w:ascii="Times New Roman" w:eastAsia="Times New Roman" w:hAnsi="Times New Roman" w:cs="Times New Roman"/>
            <w:i/>
            <w:sz w:val="24"/>
            <w:szCs w:val="24"/>
          </w:rPr>
          <w:t>Metarhizium anisopliae</w:t>
        </w:r>
      </w:hyperlink>
      <w:hyperlink r:id="rId19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 xml:space="preserve"> lineage. </w:t>
        </w:r>
      </w:hyperlink>
      <w:hyperlink r:id="rId20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>Mycologia</w:t>
        </w:r>
      </w:hyperlink>
      <w:hyperlink r:id="rId21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 xml:space="preserve">, </w:t>
        </w:r>
      </w:hyperlink>
      <w:hyperlink r:id="rId22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>101</w:t>
        </w:r>
      </w:hyperlink>
      <w:hyperlink r:id="rId23">
        <w:r w:rsidRPr="004A28BB">
          <w:rPr>
            <w:rFonts w:ascii="Times New Roman" w:eastAsia="Times New Roman" w:hAnsi="Times New Roman" w:cs="Times New Roman"/>
            <w:sz w:val="24"/>
            <w:szCs w:val="24"/>
          </w:rPr>
          <w:t>(4), 512-530. https://doi.org/10.3852/07-202</w:t>
        </w:r>
      </w:hyperlink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Chuquibala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-Checan, B., Torres-de la Cruz, M., Leiva, S.,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Hernandez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-Diaz, E., Rubio, K.,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Goñas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M., Arce-Inga, M., &amp; Oliva-Cruz, M. (2023). In Vitro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Biological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Activity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Beauveria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bassiana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Beauveria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peruviensis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and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against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Hypothenemus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hampei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Coleoptera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Curculionidae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). International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Journal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Agronomy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2023(1), 4982399. </w:t>
      </w:r>
      <w:hyperlink r:id="rId24" w:history="1">
        <w:r w:rsidRPr="004A28BB">
          <w:rPr>
            <w:rFonts w:ascii="Times New Roman" w:hAnsi="Times New Roman" w:cs="Times New Roman"/>
            <w:color w:val="000000"/>
            <w:sz w:val="24"/>
            <w:szCs w:val="24"/>
          </w:rPr>
          <w:t>https://doi.org/10.1155/2023/4982399</w:t>
        </w:r>
      </w:hyperlink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Doyle JJ, Doyle JL 1990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Isolation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plant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DNA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fresh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tissue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Focus 12:13- 15.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Fang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G., S.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Hammar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R. Rebecca. 1992. A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quick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inexpensive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method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removing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polysaccharides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plant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genomic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DNA.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BioTechniques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13:52-56.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Gerónimo-Torres, J. D. C., Torres-de-la-Cruz, M., Cruz, M. P.,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De-la-Cruz-Pérez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, A., Ortiz-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garcía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C. F., &amp;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Cappello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-García, S. (2016). Caracterización de aislamientos nativos de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Beauveria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bassiana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y su patogenicidad hacia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Hypothenemus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hampei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, en Tabasco, México. Revista Colombiana de Entomología, 42(1), 28-35.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Glass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NL, Donaldson G (1995)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Development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primer sets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designed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for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use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with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PCR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to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amplify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conserved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genes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from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filamentous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Ascomycetes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Applied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Environmental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Microbiology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61: 1323–1330.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Humber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R. A. (2012).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Chapter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VI -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Identification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entomopathogenic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fungi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En L. A.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Lacey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(Ed.), Manual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Techniques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Invertebrate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Pathology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Second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Edition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) (pp. 151-187).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Academic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Press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. https://doi.org/10.1016/B978-0-12-386899-2.00006-3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Lipa, J. J., &amp;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Slizynski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K. (1973).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Wskazówki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metodyczne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terminologia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do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wyznaczania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średniej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dawki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śmiertelnej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(LD50) w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patologii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owadów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toksykologii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Prace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Naukowe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Instytutu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Ochrony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Roślin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, 15(1). http://agro.icm.edu.pl/agro/element/bwmeta1.element.agro-a6c704fd-061e-4c7e-bbcd-add4213ad0fe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Mayo Hernández, M. Á. (2024). Caracterización de aislamientos nativos de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para el control biológico de la chinche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Antiteuchus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Tripterus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Hemiptera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Pentatomidae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) en Tabasco, México. https://ri.ujat.mx/handle/200.500.12107/4470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Oliva-Cruz, M., Altamirano-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Tantalean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A., Chuquizuta-Torres, R., Oliva-Cruz, C., Maicelo-Quintana, J. L., Leiva-Espinoza, S. T., Culqui, L.,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Mendez-Fasabi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L. D., Rojas Ventura, H. M.,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Corazon-Guivin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M. A., &amp;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Juarez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-Contreras, L. (2024).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Isolation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Characterization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Native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Isolates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As a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Biocontrol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Agent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Hypothenemus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hampei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 Rodríguez de Mendoza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Province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—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Peru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Agronomy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14(7),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Article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7. https://doi.org/10.3390/agronomy14071341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Torres de la C., M., Cortez M., H., Ortiz G., C. F.,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Cappello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G., S., &amp; de la Cruz P., A. (2013). Caracterización de aislamientos nativos de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anisopliae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y su patogenicidad hacia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Aeneolamia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postica</w:t>
      </w: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en Tabasco, México. Revista 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Valle, S., Carrera, K., </w:t>
      </w:r>
      <w:proofErr w:type="gramStart"/>
      <w:r w:rsidRPr="004A28BB">
        <w:rPr>
          <w:rFonts w:ascii="Times New Roman" w:eastAsia="Times New Roman" w:hAnsi="Times New Roman" w:cs="Times New Roman"/>
          <w:sz w:val="24"/>
          <w:szCs w:val="24"/>
        </w:rPr>
        <w:t>Alemán</w:t>
      </w:r>
      <w:proofErr w:type="gram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, R., Caicedo, W., Valle, S., Carrera, K., </w:t>
      </w:r>
      <w:proofErr w:type="gramStart"/>
      <w:r w:rsidRPr="004A28BB">
        <w:rPr>
          <w:rFonts w:ascii="Times New Roman" w:eastAsia="Times New Roman" w:hAnsi="Times New Roman" w:cs="Times New Roman"/>
          <w:sz w:val="24"/>
          <w:szCs w:val="24"/>
        </w:rPr>
        <w:t>Alemán</w:t>
      </w:r>
      <w:proofErr w:type="gram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, R., &amp; </w:t>
      </w:r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Colombiana de Entomología, 39(1), 40-46. Caicedo, W. (2021). Caracterización de aislamientos nativos de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Metarhizium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spp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Para el control de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Mahanarva</w:t>
      </w:r>
      <w:proofErr w:type="spellEnd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andigena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 el cultivar de caña de azúcar POJ93 en la Amazonia ecuatoriana. </w:t>
      </w:r>
      <w:proofErr w:type="spellStart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>Idesia</w:t>
      </w:r>
      <w:proofErr w:type="spellEnd"/>
      <w:r w:rsidRPr="004A28BB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(Arica), 39(1), 69-75. https://doi.org/10.4067/S0718-34292021000100069</w:t>
      </w:r>
    </w:p>
    <w:p w:rsidR="00B43689" w:rsidRPr="004A28BB" w:rsidRDefault="00B43689">
      <w:pPr>
        <w:pBdr>
          <w:top w:val="nil"/>
          <w:left w:val="nil"/>
          <w:bottom w:val="nil"/>
          <w:right w:val="nil"/>
          <w:between w:val="nil"/>
        </w:pBdr>
        <w:spacing w:after="0" w:line="480" w:lineRule="auto"/>
        <w:ind w:left="720" w:hanging="720"/>
        <w:rPr>
          <w:rFonts w:ascii="Times New Roman" w:eastAsia="Times New Roman" w:hAnsi="Times New Roman" w:cs="Times New Roman"/>
          <w:sz w:val="24"/>
          <w:szCs w:val="24"/>
        </w:rPr>
      </w:pPr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White TJ,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Bruns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T, Lee SJ, Taylor J (1990)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Amplification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direct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sequencing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of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fungal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ribosomal RNA genes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sz w:val="24"/>
          <w:szCs w:val="24"/>
        </w:rPr>
        <w:t>phylogenetics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PCR </w:t>
      </w:r>
      <w:proofErr w:type="spellStart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>protocols</w:t>
      </w:r>
      <w:proofErr w:type="spellEnd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: a guide </w:t>
      </w:r>
      <w:proofErr w:type="spellStart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>to</w:t>
      </w:r>
      <w:proofErr w:type="spellEnd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>methods</w:t>
      </w:r>
      <w:proofErr w:type="spellEnd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</w:t>
      </w:r>
      <w:proofErr w:type="spellStart"/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>applications</w:t>
      </w:r>
      <w:proofErr w:type="spellEnd"/>
      <w:r w:rsidRPr="004A28B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4A28BB">
        <w:rPr>
          <w:rFonts w:ascii="Times New Roman" w:eastAsia="Times New Roman" w:hAnsi="Times New Roman" w:cs="Times New Roman"/>
          <w:i/>
          <w:iCs/>
          <w:sz w:val="24"/>
          <w:szCs w:val="24"/>
        </w:rPr>
        <w:t>18</w:t>
      </w:r>
      <w:r w:rsidRPr="004A28BB">
        <w:rPr>
          <w:rFonts w:ascii="Times New Roman" w:eastAsia="Times New Roman" w:hAnsi="Times New Roman" w:cs="Times New Roman"/>
          <w:sz w:val="24"/>
          <w:szCs w:val="24"/>
        </w:rPr>
        <w:t>(1), 315-322.</w:t>
      </w:r>
    </w:p>
    <w:sectPr w:rsidR="00B43689" w:rsidRPr="004A28BB">
      <w:pgSz w:w="11906" w:h="16838"/>
      <w:pgMar w:top="1417" w:right="1417" w:bottom="1417" w:left="1984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82FFC207-6047-4857-A94D-3DCBB8A88DF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3D70323-8125-4C1E-90CC-88BB0A641006}"/>
    <w:embedBold r:id="rId3" w:fontKey="{9F35022E-E7A4-40F8-AB78-3D933F2AEC1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1EE58D73-0245-4793-AABD-F47E01839926}"/>
    <w:embedItalic r:id="rId5" w:fontKey="{19AB2041-ACD1-4AD8-A066-BD237E0554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0541784-CD8C-494B-AC42-4249D48426F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E0BCB"/>
    <w:multiLevelType w:val="multilevel"/>
    <w:tmpl w:val="1DCA0E5A"/>
    <w:lvl w:ilvl="0">
      <w:start w:val="1"/>
      <w:numFmt w:val="bullet"/>
      <w:lvlText w:val="▪"/>
      <w:lvlJc w:val="left"/>
      <w:pPr>
        <w:ind w:left="1364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084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04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24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244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964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84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04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24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DE7FF0"/>
    <w:multiLevelType w:val="multilevel"/>
    <w:tmpl w:val="FFFC0106"/>
    <w:lvl w:ilvl="0">
      <w:start w:val="1"/>
      <w:numFmt w:val="decimal"/>
      <w:lvlText w:val="%1."/>
      <w:lvlJc w:val="left"/>
      <w:pPr>
        <w:ind w:left="644" w:hanging="359"/>
      </w:pPr>
      <w:rPr>
        <w:rFonts w:ascii="Times New Roman" w:eastAsia="Times New Roman" w:hAnsi="Times New Roman" w:cs="Times New Roman"/>
        <w:b/>
        <w:color w:val="000000"/>
      </w:rPr>
    </w:lvl>
    <w:lvl w:ilvl="1">
      <w:start w:val="1"/>
      <w:numFmt w:val="decimal"/>
      <w:lvlText w:val="%1.%2."/>
      <w:lvlJc w:val="left"/>
      <w:pPr>
        <w:ind w:left="1004" w:hanging="360"/>
      </w:pPr>
      <w:rPr>
        <w:rFonts w:ascii="Times New Roman" w:eastAsia="Times New Roman" w:hAnsi="Times New Roman" w:cs="Times New Roman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724" w:hanging="720"/>
      </w:pPr>
      <w:rPr>
        <w:b/>
        <w:sz w:val="24"/>
        <w:szCs w:val="24"/>
      </w:rPr>
    </w:lvl>
    <w:lvl w:ilvl="3">
      <w:start w:val="1"/>
      <w:numFmt w:val="decimal"/>
      <w:lvlText w:val="%1.%2.%3.%4."/>
      <w:lvlJc w:val="left"/>
      <w:pPr>
        <w:ind w:left="2084" w:hanging="720"/>
      </w:pPr>
      <w:rPr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804" w:hanging="1080"/>
      </w:pPr>
    </w:lvl>
    <w:lvl w:ilvl="5">
      <w:start w:val="1"/>
      <w:numFmt w:val="decimal"/>
      <w:lvlText w:val="%1.%2.%3.%4.%5.%6."/>
      <w:lvlJc w:val="left"/>
      <w:pPr>
        <w:ind w:left="3164" w:hanging="1080"/>
      </w:pPr>
    </w:lvl>
    <w:lvl w:ilvl="6">
      <w:start w:val="1"/>
      <w:numFmt w:val="decimal"/>
      <w:lvlText w:val="%1.%2.%3.%4.%5.%6.%7."/>
      <w:lvlJc w:val="left"/>
      <w:pPr>
        <w:ind w:left="3884" w:hanging="1440"/>
      </w:pPr>
    </w:lvl>
    <w:lvl w:ilvl="7">
      <w:start w:val="1"/>
      <w:numFmt w:val="decimal"/>
      <w:lvlText w:val="%1.%2.%3.%4.%5.%6.%7.%8."/>
      <w:lvlJc w:val="left"/>
      <w:pPr>
        <w:ind w:left="4244" w:hanging="1440"/>
      </w:pPr>
    </w:lvl>
    <w:lvl w:ilvl="8">
      <w:start w:val="1"/>
      <w:numFmt w:val="decimal"/>
      <w:lvlText w:val="%1.%2.%3.%4.%5.%6.%7.%8.%9."/>
      <w:lvlJc w:val="left"/>
      <w:pPr>
        <w:ind w:left="4964" w:hanging="1800"/>
      </w:pPr>
    </w:lvl>
  </w:abstractNum>
  <w:num w:numId="1" w16cid:durableId="595283077">
    <w:abstractNumId w:val="1"/>
  </w:num>
  <w:num w:numId="2" w16cid:durableId="1970624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C5A"/>
    <w:rsid w:val="000325E8"/>
    <w:rsid w:val="00105584"/>
    <w:rsid w:val="001A1F71"/>
    <w:rsid w:val="00256B8A"/>
    <w:rsid w:val="002F0934"/>
    <w:rsid w:val="003958A6"/>
    <w:rsid w:val="003F1FA0"/>
    <w:rsid w:val="004A28BB"/>
    <w:rsid w:val="004C7106"/>
    <w:rsid w:val="00513A41"/>
    <w:rsid w:val="00561CE5"/>
    <w:rsid w:val="005A44D1"/>
    <w:rsid w:val="006114CF"/>
    <w:rsid w:val="00703016"/>
    <w:rsid w:val="007B3F31"/>
    <w:rsid w:val="007E0E64"/>
    <w:rsid w:val="00805C5A"/>
    <w:rsid w:val="009E21BB"/>
    <w:rsid w:val="00A45A16"/>
    <w:rsid w:val="00B00A2C"/>
    <w:rsid w:val="00B40FA8"/>
    <w:rsid w:val="00B43689"/>
    <w:rsid w:val="00B703A7"/>
    <w:rsid w:val="00BA1BE1"/>
    <w:rsid w:val="00BC5994"/>
    <w:rsid w:val="00CC59B4"/>
    <w:rsid w:val="00D056CC"/>
    <w:rsid w:val="00E3768E"/>
    <w:rsid w:val="00E62974"/>
    <w:rsid w:val="00EA317F"/>
    <w:rsid w:val="00ED0F75"/>
    <w:rsid w:val="00EF7BF7"/>
    <w:rsid w:val="00F077F5"/>
    <w:rsid w:val="00F474CA"/>
    <w:rsid w:val="00F7076F"/>
    <w:rsid w:val="00FD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D5B32AC"/>
  <w15:docId w15:val="{10234100-05A8-4DE6-9EAA-26E154A93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EstiloTablaAPA">
    <w:name w:val="EstiloTablaAPA"/>
    <w:basedOn w:val="Tablanormal"/>
    <w:uiPriority w:val="99"/>
    <w:rsid w:val="000325E8"/>
    <w:pPr>
      <w:spacing w:after="0" w:line="360" w:lineRule="auto"/>
    </w:pPr>
    <w:rPr>
      <w:rFonts w:ascii="Times New Roman" w:hAnsi="Times New Roman" w:cs="Times New Roman"/>
      <w:sz w:val="24"/>
      <w:lang w:eastAsia="en-US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bottom w:val="single" w:sz="4" w:space="0" w:color="auto"/>
        </w:tcBorders>
      </w:tcPr>
    </w:tblStylePr>
  </w:style>
  <w:style w:type="paragraph" w:styleId="Prrafodelista">
    <w:name w:val="List Paragraph"/>
    <w:basedOn w:val="Normal"/>
    <w:uiPriority w:val="34"/>
    <w:qFormat/>
    <w:rsid w:val="003F1FA0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40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is">
    <w:name w:val="Emphasis"/>
    <w:basedOn w:val="Fuentedeprrafopredeter"/>
    <w:uiPriority w:val="20"/>
    <w:qFormat/>
    <w:rsid w:val="00B40FA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B4368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436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0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0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zotero.org/google-docs/?TwYphN" TargetMode="External"/><Relationship Id="rId13" Type="http://schemas.openxmlformats.org/officeDocument/2006/relationships/hyperlink" Target="https://www.zotero.org/google-docs/?hp8xAJ" TargetMode="External"/><Relationship Id="rId18" Type="http://schemas.openxmlformats.org/officeDocument/2006/relationships/hyperlink" Target="https://www.zotero.org/google-docs/?YbwEMk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zotero.org/google-docs/?YbwEMk" TargetMode="External"/><Relationship Id="rId7" Type="http://schemas.openxmlformats.org/officeDocument/2006/relationships/hyperlink" Target="https://www.zotero.org/google-docs/?TwYphN" TargetMode="External"/><Relationship Id="rId12" Type="http://schemas.openxmlformats.org/officeDocument/2006/relationships/hyperlink" Target="https://www.zotero.org/google-docs/?hp8xAJ" TargetMode="External"/><Relationship Id="rId17" Type="http://schemas.openxmlformats.org/officeDocument/2006/relationships/hyperlink" Target="https://www.zotero.org/google-docs/?YbwEMk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i.org/10.1111/jam.15460" TargetMode="External"/><Relationship Id="rId20" Type="http://schemas.openxmlformats.org/officeDocument/2006/relationships/hyperlink" Target="https://www.zotero.org/google-docs/?YbwEM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zotero.org/google-docs/?TwYphN" TargetMode="External"/><Relationship Id="rId11" Type="http://schemas.openxmlformats.org/officeDocument/2006/relationships/hyperlink" Target="https://www.zotero.org/google-docs/?hp8xAJ" TargetMode="External"/><Relationship Id="rId24" Type="http://schemas.openxmlformats.org/officeDocument/2006/relationships/hyperlink" Target="https://doi.org/10.1155/2023/4982399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zotero.org/google-docs/?hp8xAJ" TargetMode="External"/><Relationship Id="rId23" Type="http://schemas.openxmlformats.org/officeDocument/2006/relationships/hyperlink" Target="https://www.zotero.org/google-docs/?YbwEMk" TargetMode="External"/><Relationship Id="rId10" Type="http://schemas.openxmlformats.org/officeDocument/2006/relationships/hyperlink" Target="https://www.zotero.org/google-docs/?vCyHeF" TargetMode="External"/><Relationship Id="rId19" Type="http://schemas.openxmlformats.org/officeDocument/2006/relationships/hyperlink" Target="https://www.zotero.org/google-docs/?YbwEM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zotero.org/google-docs/?vCyHeF" TargetMode="External"/><Relationship Id="rId14" Type="http://schemas.openxmlformats.org/officeDocument/2006/relationships/hyperlink" Target="https://www.zotero.org/google-docs/?hp8xAJ" TargetMode="External"/><Relationship Id="rId22" Type="http://schemas.openxmlformats.org/officeDocument/2006/relationships/hyperlink" Target="https://www.zotero.org/google-docs/?YbwEMk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876</TotalTime>
  <Pages>17</Pages>
  <Words>4195</Words>
  <Characters>23076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Edwin Mondragon</cp:lastModifiedBy>
  <cp:revision>10</cp:revision>
  <dcterms:created xsi:type="dcterms:W3CDTF">2025-06-18T03:22:00Z</dcterms:created>
  <dcterms:modified xsi:type="dcterms:W3CDTF">2025-06-23T03:13:00Z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a3a4e33951ee40598d79a9ef7aa5f2f0</vt:lpwstr>
  </property>
  <property fmtid="{D5CDD505-2E9C-101B-9397-08002B2CF9AE}" pid="3" name="ZOTERO_PREF_1">
    <vt:lpwstr>&lt;data data-version="3" zotero-version="7.0.15"&gt;&lt;session id="a0XmjcPe"/&gt;&lt;style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