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数据对齐"/>
    <w:p>
      <w:pPr>
        <w:pStyle w:val="Heading1"/>
      </w:pPr>
      <w:r>
        <w:rPr>
          <w:rFonts w:hint="eastAsia"/>
        </w:rPr>
        <w:t xml:space="preserve">数据对齐</w:t>
      </w:r>
    </w:p>
    <w:bookmarkStart w:id="9" w:name="数据简介"/>
    <w:p>
      <w:pPr>
        <w:pStyle w:val="Heading2"/>
      </w:pPr>
      <w:r>
        <w:rPr>
          <w:rFonts w:hint="eastAsia"/>
        </w:rPr>
        <w:t xml:space="preserve">数据简介</w:t>
      </w:r>
    </w:p>
    <w:p>
      <w:pPr>
        <w:pStyle w:val="FirstParagraph"/>
      </w:pPr>
      <w:r>
        <w:rPr>
          <w:rFonts w:hint="eastAsia"/>
        </w:rPr>
        <w:t xml:space="preserve">目前已有的私有与公开数据集信息如下（后续的GD即广东省中医院，GAM为广安门医院）：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原始资料与时间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主要对齐限制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GD_CRF </w:t>
            </w:r>
            <w:r>
              <w:rPr>
                <w:rFonts w:hint="eastAsia"/>
              </w:rPr>
              <w:t xml:space="preserve">广东省中医院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297次住院</w:t>
            </w:r>
            <w:r>
              <w:t xml:space="preserve"> / </w:t>
            </w:r>
            <w:r>
              <w:rPr>
                <w:rFonts w:hint="eastAsia"/>
              </w:rPr>
              <w:t xml:space="preserve">295人；医院v1.0评价集为</w:t>
            </w:r>
            <w:r>
              <w:t xml:space="preserve"> 292 </w:t>
            </w:r>
            <w:r>
              <w:rPr>
                <w:rFonts w:hint="eastAsia"/>
              </w:rPr>
              <w:t xml:space="preserve">次</w:t>
            </w:r>
            <w:r>
              <w:t xml:space="preserve"> / 38 </w:t>
            </w:r>
            <w:r>
              <w:rPr>
                <w:rFonts w:hint="eastAsia"/>
              </w:rPr>
              <w:t xml:space="preserve">个事件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</w:t>
            </w:r>
            <w:r>
              <w:t xml:space="preserve"> CRF </w:t>
            </w:r>
            <w:r>
              <w:rPr>
                <w:rFonts w:hint="eastAsia"/>
              </w:rPr>
              <w:t xml:space="preserve">宽表，一次住院跨多行；主要为日期精度、稀疏测量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缺少真实入院时间；无法恢复连续小时级轨迹；缺少统一重症判定说明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GAM_IP </w:t>
            </w:r>
            <w:r>
              <w:rPr>
                <w:rFonts w:hint="eastAsia"/>
              </w:rPr>
              <w:t xml:space="preserve">广安门住院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173次住院</w:t>
            </w:r>
            <w:r>
              <w:t xml:space="preserve"> </w:t>
            </w:r>
            <w:r>
              <w:rPr>
                <w:rFonts w:hint="eastAsia"/>
              </w:rPr>
              <w:t xml:space="preserve">/168人；医院v1.0训练集为</w:t>
            </w:r>
            <w:r>
              <w:t xml:space="preserve"> 163 </w:t>
            </w:r>
            <w:r>
              <w:rPr>
                <w:rFonts w:hint="eastAsia"/>
              </w:rPr>
              <w:t xml:space="preserve">次/10个事件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诊断、医嘱、检验、病历、检查等多表；部分时间来自文书</w:t>
            </w:r>
          </w:p>
        </w:tc>
        <w:tc>
          <w:tcPr/>
          <w:p>
            <w:pPr>
              <w:pStyle w:val="Compact"/>
            </w:pPr>
            <w:r>
              <w:t xml:space="preserve">109/173 </w:t>
            </w:r>
            <w:r>
              <w:rPr>
                <w:rFonts w:hint="eastAsia"/>
              </w:rPr>
              <w:t xml:space="preserve">首次流感阳性在入院</w:t>
            </w:r>
            <w:r>
              <w:t xml:space="preserve"> 48h </w:t>
            </w:r>
            <w:r>
              <w:rPr>
                <w:rFonts w:hint="eastAsia"/>
              </w:rPr>
              <w:t xml:space="preserve">后；测量时间和首次提及时间不等价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GAM_OP </w:t>
            </w:r>
            <w:r>
              <w:rPr>
                <w:rFonts w:hint="eastAsia"/>
              </w:rPr>
              <w:t xml:space="preserve">广安门门诊</w:t>
            </w:r>
          </w:p>
        </w:tc>
        <w:tc>
          <w:tcPr/>
          <w:p>
            <w:pPr>
              <w:pStyle w:val="Compact"/>
            </w:pPr>
            <w:r>
              <w:t xml:space="preserve">1166 </w:t>
            </w:r>
            <w:r>
              <w:rPr>
                <w:rFonts w:hint="eastAsia"/>
              </w:rPr>
              <w:t xml:space="preserve">次门诊</w:t>
            </w:r>
            <w:r>
              <w:t xml:space="preserve"> / 1136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门诊诊断、就诊、检验、检查、处方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年龄、性别和体征稀疏；主要辅助补充住院前流感证据，不直接并入住院任务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MIMIC-IV 3.1 + ED 2.2</w:t>
            </w:r>
          </w:p>
        </w:tc>
        <w:tc>
          <w:tcPr/>
          <w:p>
            <w:pPr>
              <w:pStyle w:val="Compact"/>
            </w:pPr>
            <w:r>
              <w:t xml:space="preserve">425,087 </w:t>
            </w:r>
            <w:r>
              <w:rPr>
                <w:rFonts w:hint="eastAsia"/>
              </w:rPr>
              <w:t xml:space="preserve">次</w:t>
            </w:r>
            <w:r>
              <w:t xml:space="preserve"> ED </w:t>
            </w:r>
            <w:r>
              <w:rPr>
                <w:rFonts w:hint="eastAsia"/>
              </w:rPr>
              <w:t xml:space="preserve">就诊；诊断规则筛出</w:t>
            </w:r>
            <w:r>
              <w:t xml:space="preserve"> 2,187 </w:t>
            </w:r>
            <w:r>
              <w:rPr>
                <w:rFonts w:hint="eastAsia"/>
              </w:rPr>
              <w:t xml:space="preserve">次；住院/转院子集</w:t>
            </w:r>
            <w:r>
              <w:t xml:space="preserve"> 674 </w:t>
            </w:r>
            <w:r>
              <w:rPr>
                <w:rFonts w:hint="eastAsia"/>
              </w:rPr>
              <w:t xml:space="preserve">次；可联结</w:t>
            </w:r>
            <w:r>
              <w:t xml:space="preserve"> </w:t>
            </w:r>
            <w:r>
              <w:rPr>
                <w:rFonts w:hint="eastAsia"/>
              </w:rPr>
              <w:t xml:space="preserve">659个hadm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急诊首值、住院检验、ICU</w:t>
            </w:r>
            <w:r>
              <w:t xml:space="preserve"> </w:t>
            </w:r>
            <w:r>
              <w:rPr>
                <w:rFonts w:hint="eastAsia"/>
              </w:rPr>
              <w:t xml:space="preserve">高频记录；患者日期经平移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急诊/ICU</w:t>
            </w:r>
            <w:r>
              <w:t xml:space="preserve"> </w:t>
            </w:r>
            <w:r>
              <w:rPr>
                <w:rFonts w:hint="eastAsia"/>
              </w:rPr>
              <w:t xml:space="preserve">与中国普通病房场景不同；流感诊断规则不等于病原学阳性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eICU-CRD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  <w:r>
              <w:t xml:space="preserve"> </w:t>
            </w:r>
            <w:r>
              <w:rPr>
                <w:rFonts w:hint="eastAsia"/>
              </w:rPr>
              <w:t xml:space="preserve">QC：200,859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unit stay、139,367 </w:t>
            </w:r>
            <w:r>
              <w:rPr>
                <w:rFonts w:hint="eastAsia"/>
              </w:rPr>
              <w:t xml:space="preserve">个患者；成人首</w:t>
            </w:r>
            <w:r>
              <w:t xml:space="preserve"> unit ARI </w:t>
            </w:r>
            <w:r>
              <w:rPr>
                <w:rFonts w:hint="eastAsia"/>
              </w:rPr>
              <w:t xml:space="preserve">候选</w:t>
            </w:r>
            <w:r>
              <w:t xml:space="preserve"> 15,929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多院</w:t>
            </w:r>
            <w:r>
              <w:t xml:space="preserve"> </w:t>
            </w:r>
            <w:r>
              <w:rPr>
                <w:rFonts w:hint="eastAsia"/>
              </w:rPr>
              <w:t xml:space="preserve">ICU；时间以相对入科分钟</w:t>
            </w:r>
            <w:r>
              <w:t xml:space="preserve"> offset </w:t>
            </w:r>
            <w:r>
              <w:rPr>
                <w:rFonts w:hint="eastAsia"/>
              </w:rPr>
              <w:t xml:space="preserve">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全员已在</w:t>
            </w:r>
            <w:r>
              <w:t xml:space="preserve"> </w:t>
            </w:r>
            <w:r>
              <w:rPr>
                <w:rFonts w:hint="eastAsia"/>
              </w:rPr>
              <w:t xml:space="preserve">ICU；当前筛选规则得到的严格流感候选为</w:t>
            </w:r>
            <w:r>
              <w:t xml:space="preserve"> </w:t>
            </w:r>
            <w:r>
              <w:rPr>
                <w:rFonts w:hint="eastAsia"/>
              </w:rPr>
              <w:t xml:space="preserve">0；事件启动时间尚未冻结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MC-MED 1.0.0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盘点报告：118,385次visits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急诊</w:t>
            </w:r>
            <w:r>
              <w:t xml:space="preserve"> </w:t>
            </w:r>
            <w:r>
              <w:rPr>
                <w:rFonts w:hint="eastAsia"/>
              </w:rPr>
              <w:t xml:space="preserve">visits、numerics、labs、orders；分钟级时间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目前主要是字段和有界样本</w:t>
            </w:r>
            <w:r>
              <w:t xml:space="preserve"> </w:t>
            </w:r>
            <w:r>
              <w:rPr>
                <w:rFonts w:hint="eastAsia"/>
              </w:rPr>
              <w:t xml:space="preserve">QC；尚未形成正式桥接队列与统一</w:t>
            </w:r>
            <w:r>
              <w:t xml:space="preserve"> CDM </w:t>
            </w:r>
            <w:r>
              <w:rPr>
                <w:rFonts w:hint="eastAsia"/>
              </w:rPr>
              <w:t xml:space="preserve">验收</w:t>
            </w:r>
          </w:p>
        </w:tc>
      </w:tr>
    </w:tbl>
    <w:bookmarkEnd w:id="9"/>
    <w:bookmarkStart w:id="10" w:name="医院数据对齐"/>
    <w:p>
      <w:pPr>
        <w:pStyle w:val="Heading2"/>
      </w:pPr>
      <w:r>
        <w:rPr>
          <w:rFonts w:hint="eastAsia"/>
        </w:rPr>
        <w:t xml:space="preserve">医院数据对齐</w:t>
      </w:r>
    </w:p>
    <w:p>
      <w:pPr>
        <w:pStyle w:val="FirstParagraph"/>
      </w:pPr>
      <w:r>
        <w:rPr>
          <w:rFonts w:hint="eastAsia"/>
        </w:rPr>
        <w:t xml:space="preserve">显然患者层次的对齐是不现实的，因此目前考虑的将数据集间</w:t>
      </w:r>
      <w:r>
        <w:rPr>
          <w:rFonts w:hint="eastAsia"/>
          <w:b/>
          <w:bCs/>
        </w:rPr>
        <w:t xml:space="preserve">相同的临床变量</w:t>
      </w:r>
      <w:r>
        <w:rPr>
          <w:rFonts w:hint="eastAsia"/>
        </w:rPr>
        <w:t xml:space="preserve">放入共同编码、单位和时间表示，最后对齐的表结构如下：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粒度与功能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encounters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每次就诊一行；人口学、锚点、来源、流感证据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source、患者/就诊化名、anchor_rule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每条体征、检验或症状观测一行</w:t>
            </w:r>
          </w:p>
        </w:tc>
        <w:tc>
          <w:tcPr/>
          <w:p>
            <w:pPr>
              <w:pStyle w:val="Compact"/>
            </w:pPr>
            <w:r>
              <w:t xml:space="preserve">raw_name / raw_value、unit / unit_cdm、time_raw、time_precision、origin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就诊</w:t>
            </w:r>
            <w:r>
              <w:t xml:space="preserve"> × </w:t>
            </w:r>
            <w:r>
              <w:rPr>
                <w:rFonts w:hint="eastAsia"/>
              </w:rPr>
              <w:t xml:space="preserve">治疗；使用状态与起止时间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time_source、围术期插管、否定与首次提及依据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就诊</w:t>
            </w:r>
            <w:r>
              <w:t xml:space="preserve"> × </w:t>
            </w:r>
            <w:r>
              <w:rPr>
                <w:rFonts w:hint="eastAsia"/>
              </w:rPr>
              <w:t xml:space="preserve">并发症；人工/诊断依据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POA、判定依据、时间来源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complications_lab_rules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检验规则候选标签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候选阈值、可评估性；与临床判定分开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imaging / 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影像报告、清洗后的文书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检查类型、时间、来源；直接标识符去除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crf_view + </w:t>
            </w:r>
            <w:r>
              <w:rPr>
                <w:rFonts w:hint="eastAsia"/>
              </w:rPr>
              <w:t xml:space="preserve">字典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每次住院一行的同构宽表；变量和列定义</w:t>
            </w:r>
          </w:p>
        </w:tc>
        <w:tc>
          <w:tcPr/>
          <w:p>
            <w:pPr>
              <w:pStyle w:val="Compact"/>
            </w:pPr>
            <w:r>
              <w:t xml:space="preserve">adm、idx、lab</w:t>
            </w:r>
            <w:r>
              <w:rPr>
                <w:i/>
                <w:iCs/>
              </w:rPr>
              <w:t xml:space="preserve">、SEV</w:t>
            </w:r>
            <w:r>
              <w:t xml:space="preserve">、cmp_ </w:t>
            </w:r>
            <w:r>
              <w:rPr>
                <w:rFonts w:hint="eastAsia"/>
              </w:rPr>
              <w:t xml:space="preserve">区分派生口径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以下为某个患者的例子：</w:t>
      </w:r>
    </w:p>
    <w:p>
      <w:pPr>
        <w:pStyle w:val="BodyText"/>
      </w:pPr>
      <w:r>
        <w:rPr>
          <w:rFonts w:hint="eastAsia"/>
        </w:rPr>
        <w:t xml:space="preserve">encounter表中：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flu_dx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los_days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OUT007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events中：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VS006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SYM007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treatment和complication：</w:t>
      </w:r>
    </w:p>
    <w:p>
      <w:pPr>
        <w:pStyle w:val="BodyText"/>
      </w:pPr>
      <w:r>
        <w:rPr>
          <w:rStyle w:val="VerbatimChar"/>
        </w:rPr>
        <w:t xml:space="preserve">treatments</w:t>
      </w:r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TRT001</w:t>
      </w:r>
      <w:r>
        <w:rPr>
          <w:rFonts w:hint="eastAsia"/>
        </w:rPr>
        <w:t xml:space="preserve">：奥司他韦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TRT002</w:t>
      </w:r>
      <w:r>
        <w:rPr>
          <w:rFonts w:hint="eastAsia"/>
        </w:rPr>
        <w:t xml:space="preserve">：玛巴洛沙韦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TRT006</w:t>
      </w:r>
      <w:r>
        <w:rPr>
          <w:rFonts w:hint="eastAsia"/>
        </w:rPr>
        <w:t xml:space="preserve">：无创通气</w:t>
      </w:r>
    </w:p>
    <w:p>
      <w:pPr>
        <w:pStyle w:val="FirstParagraph"/>
      </w:pPr>
      <w:r>
        <w:rPr>
          <w:rStyle w:val="VerbatimChar"/>
        </w:rPr>
        <w:t xml:space="preserve">complications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CLP001</w:t>
      </w:r>
      <w:r>
        <w:rPr>
          <w:rFonts w:hint="eastAsia"/>
        </w:rPr>
        <w:t xml:space="preserve">：病毒性肺炎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CLP003</w:t>
      </w:r>
      <w:r>
        <w:rPr>
          <w:rFonts w:hint="eastAsia"/>
        </w:rPr>
        <w:t xml:space="preserve">：I</w:t>
      </w:r>
      <w:r>
        <w:t xml:space="preserve"> </w:t>
      </w:r>
      <w:r>
        <w:rPr>
          <w:rFonts w:hint="eastAsia"/>
        </w:rPr>
        <w:t xml:space="preserve">型呼吸衰竭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CLP012</w:t>
      </w:r>
      <w:r>
        <w:rPr>
          <w:rFonts w:hint="eastAsia"/>
        </w:rPr>
        <w:t xml:space="preserve">：脓毒症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CLP021</w:t>
      </w:r>
      <w:r>
        <w:rPr>
          <w:rFonts w:hint="eastAsia"/>
        </w:rPr>
        <w:t xml:space="preserve">：低钾血症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CLP022</w:t>
      </w:r>
      <w:r>
        <w:rPr>
          <w:rFonts w:hint="eastAsia"/>
        </w:rPr>
        <w:t xml:space="preserve">：低钠血症</w:t>
      </w:r>
    </w:p>
    <w:bookmarkEnd w:id="10"/>
    <w:bookmarkStart w:id="14" w:name="公开数据集对齐"/>
    <w:p>
      <w:pPr>
        <w:pStyle w:val="Heading2"/>
      </w:pPr>
      <w:r>
        <w:rPr>
          <w:rFonts w:hint="eastAsia"/>
        </w:rPr>
        <w:t xml:space="preserve">公开数据集对齐</w:t>
      </w:r>
    </w:p>
    <w:p>
      <w:pPr>
        <w:pStyle w:val="FirstParagraph"/>
      </w:pPr>
      <w:r>
        <w:rPr>
          <w:rFonts w:hint="eastAsia"/>
        </w:rPr>
        <w:t xml:space="preserve">现在MIMIC-III正在下载（速度很慢），先考虑对MIMIC-IV+MIMIC-IV-ED、eICU、MC-MED进行对齐，同时试图使公开数据集与目前的私有数据集也进行对齐。</w:t>
      </w:r>
    </w:p>
    <w:bookmarkStart w:id="11" w:name="mimic-ived"/>
    <w:p>
      <w:pPr>
        <w:pStyle w:val="Heading3"/>
      </w:pPr>
      <w:r>
        <w:t xml:space="preserve">MIMIC-IV+ED</w:t>
      </w:r>
    </w:p>
    <w:p>
      <w:pPr>
        <w:pStyle w:val="FirstParagraph"/>
      </w:pPr>
      <w:r>
        <w:rPr>
          <w:rFonts w:hint="eastAsia"/>
        </w:rPr>
        <w:t xml:space="preserve">对于此数据集，适配的程度比较高，目前已有</w:t>
      </w:r>
      <w:r>
        <w:rPr>
          <w:b/>
          <w:bCs/>
        </w:rPr>
        <w:t xml:space="preserve">425087 encounters、2472841 </w:t>
      </w:r>
      <w:r>
        <w:rPr>
          <w:rFonts w:hint="eastAsia"/>
          <w:b/>
          <w:bCs/>
        </w:rPr>
        <w:t xml:space="preserve">体征事件（events）、无treatments、36887</w:t>
      </w:r>
      <w:r>
        <w:rPr>
          <w:b/>
          <w:bCs/>
        </w:rPr>
        <w:t xml:space="preserve"> complications</w:t>
      </w:r>
      <w:r>
        <w:rPr>
          <w:rFonts w:hint="eastAsia"/>
        </w:rPr>
        <w:t xml:space="preserve">，但是MIMIC-IV-CXR中的</w:t>
      </w:r>
      <w:r>
        <w:rPr>
          <w:rFonts w:hint="eastAsia"/>
          <w:b/>
          <w:bCs/>
        </w:rPr>
        <w:t xml:space="preserve">影像报告还没有抽取</w:t>
      </w:r>
    </w:p>
    <w:bookmarkEnd w:id="11"/>
    <w:bookmarkStart w:id="12" w:name="eicu和mc-med"/>
    <w:p>
      <w:pPr>
        <w:pStyle w:val="Heading3"/>
      </w:pPr>
      <w:r>
        <w:rPr>
          <w:rFonts w:hint="eastAsia"/>
        </w:rPr>
        <w:t xml:space="preserve">eICU和MC-MED</w:t>
      </w:r>
    </w:p>
    <w:p>
      <w:pPr>
        <w:pStyle w:val="FirstParagraph"/>
      </w:pPr>
      <w:r>
        <w:rPr>
          <w:rFonts w:hint="eastAsia"/>
        </w:rPr>
        <w:t xml:space="preserve">这几个数据集问题比较类似，变量上可以部分对齐，但是流感相关症状不如MIMIC-IV多，属于ICU型数据集，而MIMIC-IV有脓毒症等与流感相关症状，我认为如果要进行公开数据集和私有数据集的对齐，可能更多地需要MIMIC。</w:t>
      </w:r>
    </w:p>
    <w:bookmarkEnd w:id="12"/>
    <w:bookmarkStart w:id="13" w:name="公开与私有的分析"/>
    <w:p>
      <w:pPr>
        <w:pStyle w:val="Heading3"/>
      </w:pPr>
      <w:r>
        <w:rPr>
          <w:rFonts w:hint="eastAsia"/>
        </w:rPr>
        <w:t xml:space="preserve">公开与私有的分析</w:t>
      </w:r>
    </w:p>
    <w:p>
      <w:pPr>
        <w:pStyle w:val="FirstParagraph"/>
      </w:pPr>
      <w:r>
        <w:rPr>
          <w:rFonts w:hint="eastAsia"/>
        </w:rPr>
        <w:t xml:space="preserve">就目前的分析而言，能够比较好的建立映射的主要是</w:t>
      </w:r>
      <w:r>
        <w:rPr>
          <w:rFonts w:hint="eastAsia"/>
          <w:b/>
          <w:bCs/>
        </w:rPr>
        <w:t xml:space="preserve">心率、血红蛋白、血小板</w:t>
      </w:r>
      <w:r>
        <w:rPr>
          <w:rFonts w:hint="eastAsia"/>
        </w:rPr>
        <w:t xml:space="preserve">等有统一单位或容易换算的指标，而对于有些指标，公开数据集与医院</w:t>
      </w:r>
      <w:r>
        <w:rPr>
          <w:rFonts w:hint="eastAsia"/>
          <w:b/>
          <w:bCs/>
        </w:rPr>
        <w:t xml:space="preserve">记录方式、记录标准、采用指标</w:t>
      </w:r>
      <w:r>
        <w:rPr>
          <w:rFonts w:hint="eastAsia"/>
        </w:rPr>
        <w:t xml:space="preserve">存在不一致，例如对于血压，医院普遍采用文本记录的收缩/舒张压，但MIMIC则还要分有创无创记录；以及还有些指标医院有而MIMIC没有，MIMIC有医院没有。</w:t>
      </w:r>
    </w:p>
    <w:p>
      <w:pPr>
        <w:pStyle w:val="BodyText"/>
      </w:pPr>
      <w:r>
        <w:rPr>
          <w:rFonts w:hint="eastAsia"/>
        </w:rPr>
        <w:t xml:space="preserve">综上，医院和公开数据集如果要对齐，大表结构可以保持不变，缺失就保留为null；变量与单位能换算就换算，而</w:t>
      </w:r>
      <w:r>
        <w:rPr>
          <w:rFonts w:hint="eastAsia"/>
          <w:b/>
          <w:bCs/>
        </w:rPr>
        <w:t xml:space="preserve">时间尺度</w:t>
      </w:r>
      <w:r>
        <w:rPr>
          <w:rFonts w:hint="eastAsia"/>
        </w:rPr>
        <w:t xml:space="preserve">也是一个比较麻烦的地方，医院基本上没有看到一名患者同一天的多次结果，化验主要是隔几天化验一次，因此时间尺度为天级，而公开数据集在这方面会更细，往往都是小时级的。</w:t>
      </w:r>
    </w:p>
    <w:p>
      <w:pPr>
        <w:pStyle w:val="BodyText"/>
      </w:pPr>
      <w:r>
        <w:rPr>
          <w:rFonts w:hint="eastAsia"/>
        </w:rPr>
        <w:t xml:space="preserve">因此，</w:t>
      </w:r>
      <w:r>
        <w:rPr>
          <w:rFonts w:hint="eastAsia"/>
          <w:b/>
          <w:bCs/>
        </w:rPr>
        <w:t xml:space="preserve">现在还需要更近一步的对数据集分析，对于难以对齐的变量，可能要先考虑不使用或者作为泛化验证的一部分？</w:t>
      </w:r>
      <w:r>
        <w:rPr>
          <w:rFonts w:hint="eastAsia"/>
        </w:rPr>
        <w:t xml:space="preserve">，时间尺度上，day级应该比较好，采用hour级的话医院数据集只能当作稀疏的时序验证集。</w:t>
      </w:r>
    </w:p>
    <w:bookmarkEnd w:id="13"/>
    <w:bookmarkEnd w:id="14"/>
    <w:bookmarkStart w:id="15" w:name="目前的实验设置"/>
    <w:p>
      <w:pPr>
        <w:pStyle w:val="Heading2"/>
      </w:pPr>
      <w:r>
        <w:rPr>
          <w:rFonts w:hint="eastAsia"/>
        </w:rPr>
        <w:t xml:space="preserve">目前的实验设置</w:t>
      </w:r>
    </w:p>
    <w:p>
      <w:pPr>
        <w:pStyle w:val="FirstParagraph"/>
      </w:pPr>
      <w:r>
        <w:rPr>
          <w:rFonts w:hint="eastAsia"/>
        </w:rPr>
        <w:t xml:space="preserve">目前实验做的是对</w:t>
      </w:r>
      <w:r>
        <w:rPr>
          <w:rFonts w:hint="eastAsia"/>
          <w:b/>
          <w:bCs/>
        </w:rPr>
        <w:t xml:space="preserve">事件进行预测</w:t>
      </w:r>
      <w:r>
        <w:rPr>
          <w:rFonts w:hint="eastAsia"/>
        </w:rPr>
        <w:t xml:space="preserve">，包括</w:t>
      </w:r>
      <w:r>
        <w:rPr>
          <w:rFonts w:hint="eastAsia"/>
          <w:b/>
          <w:bCs/>
        </w:rPr>
        <w:t xml:space="preserve">IMV（有创机械通气，即插管）、ICU（进入ICU治疗）、ECMO（体外设备辅助交换气体，即人工肺）、死亡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输入，目前对医院数据集和公开数据集进行分开实验，因为暂时还没有对二者进行对齐。医院组主要输入年龄、性别加上15项临床测量；而公开数据组的输入借鉴先前的实验，输入t-18，t-12、t-6，t四个时间点的序列，每个序列包括七项生命体征和体征的5项统计特征（last/max/min/mean/count）</w:t>
      </w:r>
    </w:p>
    <w:p>
      <w:pPr>
        <w:pStyle w:val="BodyText"/>
      </w:pPr>
      <w:r>
        <w:rPr>
          <w:rFonts w:hint="eastAsia"/>
        </w:rPr>
        <w:t xml:space="preserve">而对于基础模型选择，目前先使用的如下：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训练的部分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URB-65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尿素&gt;7、呼吸≥30、低血压、年龄≥65各1分；缺失不加分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只在GAM拟合分数→概率的一维LR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中位数插补→标准化→L2逻辑回归；C∈0.01/0.03/0.1/0.3/1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训练源内部交叉验证按log</w:t>
            </w:r>
            <w:r>
              <w:t xml:space="preserve"> </w:t>
            </w:r>
            <w:r>
              <w:rPr>
                <w:rFonts w:hint="eastAsia"/>
              </w:rPr>
              <w:t xml:space="preserve">loss选C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浅树：max_depth=2、num_leaves=4、learning_rate=.05；树数25/50/100/200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训练源内部交叉验证选树数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TabPFN 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本地预训练表格模型；n_estimators=8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使用训练表格和标签作为上下文；没有本任务梯度微调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MIRA R0b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每变量序列→冻结MIRA→末观测768维；15通道拼11,520维→标准化→PCA16→LR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编码器冻结；训练PCA与LR，C在训练内选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Qwen3-8B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结构化数值→固定中文提示→首词元logit(是)−logit(否)→一维LR概率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Qwen权重冻结，只训练概率映射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目前的结果为：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GD主集</w:t>
            </w:r>
            <w:r>
              <w:t xml:space="preserve"> </w:t>
            </w:r>
            <w:r>
              <w:rPr>
                <w:rFonts w:hint="eastAsia"/>
              </w:rPr>
              <w:t xml:space="preserve">AUROC（95%CI）</w:t>
            </w:r>
          </w:p>
        </w:tc>
        <w:tc>
          <w:tcPr/>
          <w:p>
            <w:pPr>
              <w:pStyle w:val="Compact"/>
            </w:pPr>
            <w:r>
              <w:t xml:space="preserve">AUPRC</w:t>
            </w:r>
          </w:p>
        </w:tc>
        <w:tc>
          <w:tcPr/>
          <w:p>
            <w:pPr>
              <w:pStyle w:val="Compact"/>
            </w:pPr>
            <w:r>
              <w:t xml:space="preserve">Brier↓</w:t>
            </w:r>
          </w:p>
        </w:tc>
        <w:tc>
          <w:tcPr/>
          <w:p>
            <w:pPr>
              <w:pStyle w:val="Compact"/>
            </w:pPr>
            <w:r>
              <w:t xml:space="preserve">O/E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URB-65</w:t>
            </w:r>
          </w:p>
        </w:tc>
        <w:tc>
          <w:tcPr/>
          <w:p>
            <w:pPr>
              <w:pStyle w:val="Compact"/>
            </w:pPr>
            <w:r>
              <w:t xml:space="preserve">0.631 (0.535–0.723)</w:t>
            </w:r>
          </w:p>
        </w:tc>
        <w:tc>
          <w:tcPr/>
          <w:p>
            <w:pPr>
              <w:pStyle w:val="Compact"/>
            </w:pPr>
            <w:r>
              <w:t xml:space="preserve">.192</w:t>
            </w:r>
          </w:p>
        </w:tc>
        <w:tc>
          <w:tcPr/>
          <w:p>
            <w:pPr>
              <w:pStyle w:val="Compact"/>
            </w:pPr>
            <w:r>
              <w:t xml:space="preserve">.113</w:t>
            </w:r>
          </w:p>
        </w:tc>
        <w:tc>
          <w:tcPr/>
          <w:p>
            <w:pPr>
              <w:pStyle w:val="Compact"/>
            </w:pPr>
            <w:r>
              <w:t xml:space="preserve">1.72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</w:t>
            </w:r>
          </w:p>
        </w:tc>
        <w:tc>
          <w:tcPr/>
          <w:p>
            <w:pPr>
              <w:pStyle w:val="Compact"/>
            </w:pPr>
            <w:r>
              <w:t xml:space="preserve">0.733 (0.627–0.826)</w:t>
            </w:r>
          </w:p>
        </w:tc>
        <w:tc>
          <w:tcPr/>
          <w:p>
            <w:pPr>
              <w:pStyle w:val="Compact"/>
            </w:pPr>
            <w:r>
              <w:t xml:space="preserve">.370</w:t>
            </w:r>
          </w:p>
        </w:tc>
        <w:tc>
          <w:tcPr/>
          <w:p>
            <w:pPr>
              <w:pStyle w:val="Compact"/>
            </w:pPr>
            <w:r>
              <w:t xml:space="preserve">.101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0.737 (0.651–0.817)</w:t>
            </w:r>
          </w:p>
        </w:tc>
        <w:tc>
          <w:tcPr/>
          <w:p>
            <w:pPr>
              <w:pStyle w:val="Compact"/>
            </w:pPr>
            <w:r>
              <w:t xml:space="preserve">.351</w:t>
            </w:r>
          </w:p>
        </w:tc>
        <w:tc>
          <w:tcPr/>
          <w:p>
            <w:pPr>
              <w:pStyle w:val="Compact"/>
            </w:pPr>
            <w:r>
              <w:t xml:space="preserve">.108</w:t>
            </w:r>
          </w:p>
        </w:tc>
        <w:tc>
          <w:tcPr/>
          <w:p>
            <w:pPr>
              <w:pStyle w:val="Compact"/>
            </w:pPr>
            <w:r>
              <w:t xml:space="preserve">1.92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TabPFN v2</w:t>
            </w:r>
          </w:p>
        </w:tc>
        <w:tc>
          <w:tcPr/>
          <w:p>
            <w:pPr>
              <w:pStyle w:val="Compact"/>
            </w:pPr>
            <w:r>
              <w:t xml:space="preserve">0.739 (0.653–0.821)</w:t>
            </w:r>
          </w:p>
        </w:tc>
        <w:tc>
          <w:tcPr/>
          <w:p>
            <w:pPr>
              <w:pStyle w:val="Compact"/>
            </w:pPr>
            <w:r>
              <w:t xml:space="preserve">.359</w:t>
            </w:r>
          </w:p>
        </w:tc>
        <w:tc>
          <w:tcPr/>
          <w:p>
            <w:pPr>
              <w:pStyle w:val="Compact"/>
            </w:pPr>
            <w:r>
              <w:t xml:space="preserve">.103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MIRA R0b</w:t>
            </w:r>
          </w:p>
        </w:tc>
        <w:tc>
          <w:tcPr/>
          <w:p>
            <w:pPr>
              <w:pStyle w:val="Compact"/>
            </w:pPr>
            <w:r>
              <w:t xml:space="preserve">0.609 (0.493–0.721)</w:t>
            </w:r>
          </w:p>
        </w:tc>
        <w:tc>
          <w:tcPr/>
          <w:p>
            <w:pPr>
              <w:pStyle w:val="Compact"/>
            </w:pPr>
            <w:r>
              <w:t xml:space="preserve">.264</w:t>
            </w:r>
          </w:p>
        </w:tc>
        <w:tc>
          <w:tcPr/>
          <w:p>
            <w:pPr>
              <w:pStyle w:val="Compact"/>
            </w:pPr>
            <w:r>
              <w:t xml:space="preserve">.117</w:t>
            </w:r>
          </w:p>
        </w:tc>
        <w:tc>
          <w:tcPr/>
          <w:p>
            <w:pPr>
              <w:pStyle w:val="Compact"/>
            </w:pPr>
            <w:r>
              <w:t xml:space="preserve">2.81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Qwen3-8B零样本</w:t>
            </w:r>
          </w:p>
        </w:tc>
        <w:tc>
          <w:tcPr/>
          <w:p>
            <w:pPr>
              <w:pStyle w:val="Compact"/>
            </w:pPr>
            <w:r>
              <w:t xml:space="preserve">0.731 (0.640–0.817)</w:t>
            </w:r>
          </w:p>
        </w:tc>
        <w:tc>
          <w:tcPr/>
          <w:p>
            <w:pPr>
              <w:pStyle w:val="Compact"/>
            </w:pPr>
            <w:r>
              <w:t xml:space="preserve">.314</w:t>
            </w:r>
          </w:p>
        </w:tc>
        <w:tc>
          <w:tcPr/>
          <w:p>
            <w:pPr>
              <w:pStyle w:val="Compact"/>
            </w:pPr>
            <w:r>
              <w:t xml:space="preserve">.106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目前的实验主要是验证可行性，还没有加入真正的奖惩函数，需要继续设计后续的实验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2026-09-28T06:51:35Z</dcterms:created>
  <dcterms:modified xsi:type="dcterms:W3CDTF">2026-09-28T06:51:35Z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