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79697D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79697D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06C96920" w14:textId="77777777" w:rsidR="009317C7" w:rsidRDefault="00E24D03" w:rsidP="009317C7">
      <w:pPr>
        <w:spacing w:before="81"/>
        <w:ind w:left="2977" w:right="848" w:firstLine="436"/>
        <w:jc w:val="right"/>
        <w:rPr>
          <w:rFonts w:ascii="Times New Roman" w:hAnsi="Times New Roman"/>
          <w:b/>
          <w:w w:val="99"/>
          <w:sz w:val="44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9317C7">
        <w:rPr>
          <w:rFonts w:ascii="Times New Roman" w:hAnsi="Times New Roman"/>
          <w:b/>
          <w:sz w:val="44"/>
        </w:rPr>
        <w:t>Pago de Contrato</w:t>
      </w:r>
      <w:r>
        <w:rPr>
          <w:rFonts w:ascii="Times New Roman" w:hAnsi="Times New Roman"/>
          <w:b/>
          <w:w w:val="99"/>
          <w:sz w:val="44"/>
        </w:rPr>
        <w:t xml:space="preserve"> </w:t>
      </w:r>
    </w:p>
    <w:p w14:paraId="6DD7C45A" w14:textId="0376FCB5" w:rsidR="00567887" w:rsidRDefault="00E24D03" w:rsidP="009317C7">
      <w:pPr>
        <w:spacing w:before="81"/>
        <w:ind w:left="2977" w:right="848" w:firstLine="436"/>
        <w:jc w:val="right"/>
        <w:rPr>
          <w:rFonts w:ascii="Times New Roman" w:hAnsi="Times New Roman"/>
          <w:b/>
          <w:w w:val="99"/>
          <w:sz w:val="44"/>
        </w:rPr>
      </w:pP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</w:p>
    <w:p w14:paraId="77D93E8A" w14:textId="2CE4BE53" w:rsidR="00B45DEC" w:rsidRDefault="009317C7" w:rsidP="009317C7">
      <w:pPr>
        <w:spacing w:before="81"/>
        <w:ind w:left="2977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w w:val="99"/>
          <w:sz w:val="44"/>
        </w:rPr>
        <w:t>Consulta de Contrato Activos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79697D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79697D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79697D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79697D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79697D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79697D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79697D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692AEA54" w:rsidR="00567887" w:rsidRPr="00D721A9" w:rsidRDefault="00567887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3982" w:type="dxa"/>
          </w:tcPr>
          <w:p w14:paraId="1A6E2A45" w14:textId="2E6C841D" w:rsidR="00567887" w:rsidRPr="009317C7" w:rsidRDefault="00567887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  <w:u w:val="single"/>
              </w:rPr>
            </w:pP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79697D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3D6CA9BB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D721A9">
        <w:rPr>
          <w:rFonts w:ascii="Times New Roman"/>
          <w:b/>
          <w:sz w:val="36"/>
        </w:rPr>
        <w:t>Consulta de Contratos Activos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4D4D192C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 xml:space="preserve">Cliente solicita </w:t>
      </w:r>
      <w:r w:rsidR="00D721A9">
        <w:rPr>
          <w:rFonts w:ascii="Times New Roman"/>
          <w:b/>
          <w:sz w:val="24"/>
        </w:rPr>
        <w:t>ver sus contratos activos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719BB34E" w14:textId="0B3895DD" w:rsidR="00567887" w:rsidRDefault="00E24D03" w:rsidP="00D721A9">
      <w:pPr>
        <w:pStyle w:val="Textoindependiente"/>
        <w:spacing w:before="61" w:line="276" w:lineRule="auto"/>
        <w:ind w:left="868" w:right="853"/>
        <w:rPr>
          <w:sz w:val="34"/>
        </w:rPr>
      </w:pPr>
      <w:r>
        <w:t xml:space="preserve">Permite al </w:t>
      </w:r>
      <w:r w:rsidR="00B45DEC">
        <w:t xml:space="preserve">usuario </w:t>
      </w:r>
      <w:r w:rsidR="00D721A9">
        <w:t>visualizar una lista con los contratos activos que tiene en su haber</w:t>
      </w: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48573683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B45DEC">
        <w:t xml:space="preserve">está </w:t>
      </w:r>
      <w:proofErr w:type="spellStart"/>
      <w:r w:rsidR="00B45DEC">
        <w:t>logeado</w:t>
      </w:r>
      <w:proofErr w:type="spellEnd"/>
      <w:r>
        <w:t>.</w:t>
      </w:r>
    </w:p>
    <w:p w14:paraId="006FABA1" w14:textId="44ECBC59" w:rsidR="00B45DEC" w:rsidRDefault="00E24D03" w:rsidP="00B45DEC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D721A9">
        <w:t>tiene al menos un contrato activo</w:t>
      </w:r>
      <w:r w:rsidR="00A05D38" w:rsidRPr="00A05D38">
        <w:t>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2F194F64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D721A9">
        <w:t>usuario selección el botón Ver Contratos Activos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28212E26" w14:textId="5F8EFD5F" w:rsidR="00416F58" w:rsidRDefault="00E24D03" w:rsidP="00416F58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416F58">
              <w:t xml:space="preserve">despliega un listado que contiene todos los </w:t>
            </w:r>
            <w:r w:rsidR="00D721A9">
              <w:t>contratos activos que tiene pendientes.</w:t>
            </w:r>
          </w:p>
          <w:p w14:paraId="4128765E" w14:textId="41F9D305" w:rsidR="00416F58" w:rsidRDefault="00416F58" w:rsidP="00416F58">
            <w:pPr>
              <w:pStyle w:val="TableParagraph"/>
              <w:spacing w:before="96"/>
              <w:ind w:left="1181" w:right="38" w:hanging="360"/>
            </w:pP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55C5AE1C" w14:textId="77777777" w:rsidR="00567887" w:rsidRDefault="00E24D03" w:rsidP="00F36C12">
            <w:pPr>
              <w:pStyle w:val="TableParagraph"/>
              <w:spacing w:before="2"/>
              <w:ind w:left="1149" w:right="280" w:hanging="360"/>
            </w:pPr>
            <w:r>
              <w:t>3. El actor</w:t>
            </w:r>
            <w:r w:rsidR="00CC72C2">
              <w:t xml:space="preserve"> selecciona la opción </w:t>
            </w:r>
          </w:p>
          <w:p w14:paraId="03EB2503" w14:textId="4A72A0F8" w:rsidR="00CC72C2" w:rsidRDefault="00CC72C2" w:rsidP="00F36C12">
            <w:pPr>
              <w:pStyle w:val="TableParagraph"/>
              <w:spacing w:before="2"/>
              <w:ind w:left="1149" w:right="280" w:hanging="142"/>
            </w:pPr>
            <w:r>
              <w:t>Finalizar contrato</w:t>
            </w:r>
            <w:r w:rsidR="00F36C12">
              <w:t xml:space="preserve">. </w:t>
            </w:r>
            <w:r w:rsidR="00F36C12">
              <w:t>Si se</w:t>
            </w:r>
            <w:r w:rsidR="00F36C12">
              <w:t xml:space="preserve"> </w:t>
            </w:r>
            <w:r w:rsidR="00F36C12">
              <w:t>escogiera la opción cancelar, se activa el flujo alternativo 2.2.1.</w:t>
            </w:r>
          </w:p>
        </w:tc>
        <w:tc>
          <w:tcPr>
            <w:tcW w:w="4750" w:type="dxa"/>
          </w:tcPr>
          <w:p w14:paraId="295F1FCB" w14:textId="5BAEE0A1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CC72C2">
              <w:t xml:space="preserve">espera la misma opción del otro actor y cuando </w:t>
            </w:r>
            <w:r w:rsidR="00F36C12">
              <w:t xml:space="preserve">ocurra, depositará el pago a la cuenta asociada del actor </w:t>
            </w:r>
            <w:proofErr w:type="spellStart"/>
            <w:r w:rsidR="00F36C12">
              <w:t>worker</w:t>
            </w:r>
            <w:proofErr w:type="spellEnd"/>
            <w:r w:rsidR="00F36C12">
              <w:t>.</w:t>
            </w:r>
          </w:p>
        </w:tc>
      </w:tr>
      <w:tr w:rsidR="00567887" w14:paraId="1FCA9F96" w14:textId="77777777" w:rsidTr="00A80C0E">
        <w:trPr>
          <w:trHeight w:val="1026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59300E12" w:rsidR="00567887" w:rsidRPr="00BB35C3" w:rsidRDefault="00BB35C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t xml:space="preserve">5. </w:t>
            </w:r>
            <w:r w:rsidR="00F36C12">
              <w:t>El sistema actualizará el estado del contrato a Finalizado.</w:t>
            </w:r>
          </w:p>
        </w:tc>
      </w:tr>
      <w:tr w:rsidR="00F36C12" w14:paraId="76EB277B" w14:textId="77777777" w:rsidTr="00A80C0E">
        <w:trPr>
          <w:trHeight w:val="1026"/>
        </w:trPr>
        <w:tc>
          <w:tcPr>
            <w:tcW w:w="4155" w:type="dxa"/>
          </w:tcPr>
          <w:p w14:paraId="64F2CA28" w14:textId="77777777" w:rsidR="00F36C12" w:rsidRDefault="00F36C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4248AE" w14:textId="2E5B2E9F" w:rsidR="00F36C12" w:rsidRDefault="00F36C12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t>6.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78490EC0" w14:textId="267B164B" w:rsidR="00567887" w:rsidRPr="00725C67" w:rsidRDefault="00BB35C3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Botón Cancelar: </w:t>
      </w:r>
      <w:r w:rsidR="00F36C12">
        <w:rPr>
          <w:rFonts w:ascii="Times New Roman" w:hAnsi="Times New Roman" w:cs="Times New Roman"/>
          <w:iCs/>
          <w:sz w:val="24"/>
          <w:szCs w:val="24"/>
        </w:rPr>
        <w:t>El sistema reembolsa el dinero al actor cliente y actualiza el estado del contrato a cancelado.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0B665DF6" w:rsidR="00725C67" w:rsidRPr="00F36C12" w:rsidRDefault="00F36C12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 xml:space="preserve">El actor </w:t>
      </w:r>
      <w:proofErr w:type="spellStart"/>
      <w:r>
        <w:rPr>
          <w:b w:val="0"/>
          <w:bCs w:val="0"/>
        </w:rPr>
        <w:t>worker</w:t>
      </w:r>
      <w:proofErr w:type="spellEnd"/>
      <w:r>
        <w:rPr>
          <w:b w:val="0"/>
          <w:bCs w:val="0"/>
        </w:rPr>
        <w:t xml:space="preserve"> recibe dinero en su cuenta.</w:t>
      </w:r>
    </w:p>
    <w:p w14:paraId="3A8025B6" w14:textId="5A9B1AF7" w:rsidR="00F36C12" w:rsidRDefault="00F36C12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>El contrato actualiza su estado.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30E2E6AA" w:rsidR="00567887" w:rsidRDefault="00567887">
      <w:pPr>
        <w:pStyle w:val="Textoindependiente"/>
        <w:rPr>
          <w:sz w:val="20"/>
        </w:rPr>
      </w:pPr>
    </w:p>
    <w:p w14:paraId="59DD5D47" w14:textId="344F5F79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00AB1C6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2FD9E17E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6BA1EAE2" w:rsidR="00567887" w:rsidRDefault="00F36C12">
      <w:pPr>
        <w:pStyle w:val="Textoindependiente"/>
        <w:spacing w:before="1"/>
        <w:rPr>
          <w:rFonts w:ascii="Times New Roman"/>
          <w:b/>
          <w:sz w:val="11"/>
        </w:rPr>
      </w:pPr>
      <w:r>
        <w:rPr>
          <w:noProof/>
        </w:rPr>
        <w:drawing>
          <wp:inline distT="0" distB="0" distL="0" distR="0" wp14:anchorId="6A9B945C" wp14:editId="1D3239ED">
            <wp:extent cx="5448300" cy="5210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1C24" w14:textId="3018798C" w:rsidR="00F36C12" w:rsidRDefault="00F36C12">
      <w:pPr>
        <w:pStyle w:val="Textoindependiente"/>
        <w:spacing w:before="1"/>
        <w:rPr>
          <w:rFonts w:ascii="Times New Roman"/>
          <w:b/>
          <w:sz w:val="11"/>
        </w:rPr>
      </w:pPr>
    </w:p>
    <w:p w14:paraId="35FBB325" w14:textId="141470A1" w:rsidR="00F36C12" w:rsidRDefault="00F36C12">
      <w:pPr>
        <w:rPr>
          <w:rFonts w:ascii="Times New Roman"/>
          <w:b/>
          <w:sz w:val="11"/>
        </w:rPr>
      </w:pPr>
      <w:r>
        <w:rPr>
          <w:rFonts w:ascii="Times New Roman"/>
          <w:b/>
          <w:sz w:val="11"/>
        </w:rPr>
        <w:br w:type="page"/>
      </w:r>
    </w:p>
    <w:p w14:paraId="6F319053" w14:textId="1E9F0040" w:rsidR="00F36C12" w:rsidRDefault="00F36C12">
      <w:pPr>
        <w:pStyle w:val="Textoindependiente"/>
        <w:spacing w:before="1"/>
        <w:rPr>
          <w:rFonts w:ascii="Times New Roman"/>
          <w:b/>
          <w:sz w:val="11"/>
        </w:rPr>
      </w:pPr>
    </w:p>
    <w:p w14:paraId="396AE14B" w14:textId="6323575C" w:rsidR="00F36C12" w:rsidRDefault="00F36C12">
      <w:pPr>
        <w:pStyle w:val="Textoindependiente"/>
        <w:spacing w:before="1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98BEF4" wp14:editId="0A2F2838">
            <wp:simplePos x="0" y="0"/>
            <wp:positionH relativeFrom="column">
              <wp:posOffset>387350</wp:posOffset>
            </wp:positionH>
            <wp:positionV relativeFrom="paragraph">
              <wp:posOffset>123190</wp:posOffset>
            </wp:positionV>
            <wp:extent cx="5438775" cy="50387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9C884" w14:textId="3AF1A3BD" w:rsidR="00F36C12" w:rsidRDefault="00F36C12">
      <w:pPr>
        <w:pStyle w:val="Textoindependiente"/>
        <w:spacing w:before="1"/>
        <w:rPr>
          <w:rFonts w:ascii="Times New Roman"/>
          <w:b/>
          <w:sz w:val="11"/>
        </w:rPr>
      </w:pPr>
    </w:p>
    <w:p w14:paraId="10CCF549" w14:textId="77777777" w:rsidR="00F36C12" w:rsidRDefault="00F36C12">
      <w:pPr>
        <w:pStyle w:val="Textoindependiente"/>
        <w:spacing w:before="1"/>
        <w:rPr>
          <w:rFonts w:ascii="Times New Roman"/>
          <w:b/>
          <w:sz w:val="11"/>
        </w:rPr>
      </w:pPr>
    </w:p>
    <w:p w14:paraId="44A59B55" w14:textId="77777777" w:rsidR="00F36C12" w:rsidRDefault="00F36C12">
      <w:pPr>
        <w:pStyle w:val="Textoindependiente"/>
        <w:spacing w:before="1"/>
        <w:rPr>
          <w:rFonts w:ascii="Times New Roman"/>
          <w:b/>
          <w:sz w:val="11"/>
        </w:rPr>
      </w:pPr>
    </w:p>
    <w:p w14:paraId="0BDA904A" w14:textId="77777777" w:rsidR="00F36C12" w:rsidRDefault="00F36C12">
      <w:pPr>
        <w:pStyle w:val="Textoindependiente"/>
        <w:spacing w:before="1"/>
        <w:rPr>
          <w:rFonts w:ascii="Times New Roman"/>
          <w:b/>
          <w:sz w:val="11"/>
        </w:rPr>
      </w:pPr>
    </w:p>
    <w:p w14:paraId="04563568" w14:textId="6875DAC6" w:rsidR="00F36C12" w:rsidRDefault="00F36C12">
      <w:pPr>
        <w:pStyle w:val="Textoindependiente"/>
        <w:spacing w:before="1"/>
        <w:rPr>
          <w:rFonts w:ascii="Times New Roman"/>
          <w:b/>
          <w:sz w:val="11"/>
        </w:rPr>
      </w:pPr>
    </w:p>
    <w:sectPr w:rsidR="00F36C12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D96D3" w14:textId="77777777" w:rsidR="0079697D" w:rsidRDefault="0079697D">
      <w:r>
        <w:separator/>
      </w:r>
    </w:p>
  </w:endnote>
  <w:endnote w:type="continuationSeparator" w:id="0">
    <w:p w14:paraId="2DA653B8" w14:textId="77777777" w:rsidR="0079697D" w:rsidRDefault="00796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79697D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06971" w14:textId="77777777" w:rsidR="0079697D" w:rsidRDefault="0079697D">
      <w:r>
        <w:separator/>
      </w:r>
    </w:p>
  </w:footnote>
  <w:footnote w:type="continuationSeparator" w:id="0">
    <w:p w14:paraId="3D28EF0D" w14:textId="77777777" w:rsidR="0079697D" w:rsidRDefault="00796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79697D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325120E0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Editar Rol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2E4E2B11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Asignación de Rol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2B6D1D"/>
    <w:rsid w:val="00416F58"/>
    <w:rsid w:val="00495890"/>
    <w:rsid w:val="004F23A7"/>
    <w:rsid w:val="00567887"/>
    <w:rsid w:val="0065588C"/>
    <w:rsid w:val="00725C67"/>
    <w:rsid w:val="00767058"/>
    <w:rsid w:val="0079697D"/>
    <w:rsid w:val="0081644A"/>
    <w:rsid w:val="00876D71"/>
    <w:rsid w:val="009317C7"/>
    <w:rsid w:val="00952FC6"/>
    <w:rsid w:val="00967D95"/>
    <w:rsid w:val="00A05D38"/>
    <w:rsid w:val="00A80C0E"/>
    <w:rsid w:val="00B45DEC"/>
    <w:rsid w:val="00BB35C3"/>
    <w:rsid w:val="00BD1BCF"/>
    <w:rsid w:val="00CC72C2"/>
    <w:rsid w:val="00D721A9"/>
    <w:rsid w:val="00E24D03"/>
    <w:rsid w:val="00F36C12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8</cp:revision>
  <dcterms:created xsi:type="dcterms:W3CDTF">2021-02-02T13:34:00Z</dcterms:created>
  <dcterms:modified xsi:type="dcterms:W3CDTF">2021-02-04T21:59:00Z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