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Codex Project Startfundament</w:t>
      </w:r>
    </w:p>
    <w:p>
      <w:pPr>
        <w:pStyle w:val="Subtitle"/>
      </w:pPr>
      <w:r>
        <w:t>Vaste setup voor het starten, sturen en bouwen van nieuwe applicaties met Codex</w:t>
      </w:r>
    </w:p>
    <w:p>
      <w:r>
        <w:t>Doel: een herbruikbaar fundament waarmee elk nieuw project begint met duidelijke productrichting, een sterk datamodel, passende agents, concrete bouwfases en vaste kwaliteitscontrole.</w:t>
      </w:r>
    </w:p>
    <w:tbl>
      <w:tblPr>
        <w:tblW w:type="dxa" w:w="9360"/>
        <w:jc w:val="left"/>
        <w:tblLayout w:type="fixed"/>
        <w:tblLook w:firstColumn="1" w:firstRow="1" w:lastColumn="0" w:lastRow="0" w:noHBand="0" w:noVBand="1" w:val="04A0"/>
      </w:tblPr>
      <w:tblGrid>
        <w:gridCol w:w="9360"/>
      </w:tblGrid>
      <w:tr>
        <w:tc>
          <w:tcPr>
            <w:tcW w:type="dxa" w:w="9360"/>
            <w:shd w:fill="EDF4F2"/>
            <w:tcBorders>
              <w:top w:val="single" w:sz="4" w:space="0" w:color="D8E4E0"/>
              <w:left w:val="single" w:sz="4" w:space="0" w:color="D8E4E0"/>
              <w:bottom w:val="single" w:sz="4" w:space="0" w:color="D8E4E0"/>
              <w:right w:val="single" w:sz="4" w:space="0" w:color="D8E4E0"/>
            </w:tcBorders>
            <w:tcMar>
              <w:top w:w="150" w:type="dxa"/>
              <w:start w:w="170" w:type="dxa"/>
              <w:bottom w:w="150" w:type="dxa"/>
              <w:end w:w="170" w:type="dxa"/>
            </w:tcMar>
          </w:tcPr>
          <w:p>
            <w:pPr>
              <w:spacing w:after="60"/>
            </w:pPr>
            <w:r>
              <w:rPr>
                <w:b/>
                <w:color w:val="12323A"/>
                <w:sz w:val="21"/>
              </w:rPr>
              <w:t>Kernprincipe</w:t>
            </w:r>
          </w:p>
          <w:p>
            <w:pPr>
              <w:spacing w:after="0"/>
            </w:pPr>
            <w:r>
              <w:t>Begin niet met schermen of features. Begin met producthelderheid, datafundament en de eerste waardevolle gebruikersflow. Daarna pas opschalen met extra agents, automatisering, SEO en optimalisatie.</w:t>
            </w:r>
          </w:p>
        </w:tc>
      </w:tr>
    </w:tbl>
    <w:p>
      <w:pPr>
        <w:pStyle w:val="Heading1"/>
      </w:pPr>
      <w:r>
        <w:t>1. Wanneer gebruik je dit document?</w:t>
      </w:r>
    </w:p>
    <w:p>
      <w:r>
        <w:t>Gebruik dit document bij elk nieuw project dat je met Codex wilt bouwen. Het is bedoeld als startbrief, agentconfiguratie en werkafspraak ineen.</w:t>
      </w:r>
    </w:p>
    <w:p>
      <w:pPr>
        <w:pStyle w:val="ListBullet"/>
      </w:pPr>
      <w:r>
        <w:t>Voor nieuwe apps, platformen, tools, dashboards, marketplaces en vergelijkingssites.</w:t>
      </w:r>
    </w:p>
    <w:p>
      <w:pPr>
        <w:pStyle w:val="ListBullet"/>
      </w:pPr>
      <w:r>
        <w:t>Voor projecten waarin productkwaliteit belangrijker is dan snel losse pagina's maken.</w:t>
      </w:r>
    </w:p>
    <w:p>
      <w:pPr>
        <w:pStyle w:val="ListBullet"/>
      </w:pPr>
      <w:r>
        <w:t>Voor situaties waarin meerdere Codex-agents parallel kunnen helpen zonder elkaars werk te overschrijven.</w:t>
      </w:r>
    </w:p>
    <w:p>
      <w:pPr>
        <w:pStyle w:val="ListBullet"/>
      </w:pPr>
      <w:r>
        <w:t>Voor het bewaken van scope, vertrouwen, logica, UX en technische kwaliteit vanaf dag een.</w:t>
      </w:r>
    </w:p>
    <w:p>
      <w:pPr>
        <w:pStyle w:val="Heading1"/>
      </w:pPr>
      <w:r>
        <w:t>2. De vaste startinput van jou</w:t>
      </w:r>
    </w:p>
    <w:p>
      <w:r>
        <w:t>Voor Codex is deze input genoeg om scherp te starten. Vul hem kort in. Een goede versie past op een pagina.</w:t>
      </w:r>
    </w:p>
    <w:tbl>
      <w:tblPr>
        <w:tblStyle w:val="TableGrid"/>
        <w:tblW w:type="dxa" w:w="9360"/>
        <w:jc w:val="left"/>
        <w:tblLayout w:type="fixed"/>
        <w:tblLook w:firstColumn="1" w:firstRow="1" w:lastColumn="0" w:lastRow="0" w:noHBand="0" w:noVBand="1" w:val="04A0"/>
      </w:tblPr>
      <w:tblGrid>
        <w:gridCol w:w="1700"/>
        <w:gridCol w:w="3900"/>
        <w:gridCol w:w="3760"/>
      </w:tblGrid>
      <w:tr>
        <w:tc>
          <w:tcPr>
            <w:tcW w:type="dxa" w:w="1700"/>
            <w:vAlign w:val="center"/>
            <w:shd w:fill="EDF4F2"/>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r>
              <w:rPr>
                <w:b/>
                <w:color w:val="12323A"/>
                <w:sz w:val="18"/>
              </w:rPr>
              <w:t>Onderdeel</w:t>
            </w:r>
          </w:p>
        </w:tc>
        <w:tc>
          <w:tcPr>
            <w:tcW w:type="dxa" w:w="3900"/>
            <w:vAlign w:val="center"/>
            <w:shd w:fill="EDF4F2"/>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r>
              <w:rPr>
                <w:b/>
                <w:color w:val="12323A"/>
                <w:sz w:val="18"/>
              </w:rPr>
              <w:t>Vraag</w:t>
            </w:r>
          </w:p>
        </w:tc>
        <w:tc>
          <w:tcPr>
            <w:tcW w:type="dxa" w:w="3760"/>
            <w:vAlign w:val="center"/>
            <w:shd w:fill="EDF4F2"/>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r>
              <w:rPr>
                <w:b/>
                <w:color w:val="12323A"/>
                <w:sz w:val="18"/>
              </w:rPr>
              <w:t>Waarom dit nodig is</w:t>
            </w:r>
          </w:p>
        </w:tc>
      </w:tr>
      <w:tr>
        <w:tc>
          <w:tcPr>
            <w:tcW w:type="dxa" w:w="17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Projectdoel</w:t>
            </w:r>
          </w:p>
        </w:tc>
        <w:tc>
          <w:tcPr>
            <w:tcW w:type="dxa" w:w="39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Wat bouwen we, voor wie, en welk probleem lossen we op?</w:t>
            </w:r>
          </w:p>
        </w:tc>
        <w:tc>
          <w:tcPr>
            <w:tcW w:type="dxa" w:w="376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Voorkomt dat Codex features bouwt zonder productrichting.</w:t>
            </w:r>
          </w:p>
        </w:tc>
      </w:tr>
      <w:tr>
        <w:tc>
          <w:tcPr>
            <w:tcW w:type="dxa" w:w="17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Doelgroep</w:t>
            </w:r>
          </w:p>
        </w:tc>
        <w:tc>
          <w:tcPr>
            <w:tcW w:type="dxa" w:w="39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Wie gebruikt dit, in welke context en met welk kennisniveau?</w:t>
            </w:r>
          </w:p>
        </w:tc>
        <w:tc>
          <w:tcPr>
            <w:tcW w:type="dxa" w:w="376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Bepaalt taal, UX, complexiteit en beslismomenten.</w:t>
            </w:r>
          </w:p>
        </w:tc>
      </w:tr>
      <w:tr>
        <w:tc>
          <w:tcPr>
            <w:tcW w:type="dxa" w:w="17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Kernjobs</w:t>
            </w:r>
          </w:p>
        </w:tc>
        <w:tc>
          <w:tcPr>
            <w:tcW w:type="dxa" w:w="39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Welke 3 tot 5 dingen moet de gebruiker kunnen bereiken?</w:t>
            </w:r>
          </w:p>
        </w:tc>
        <w:tc>
          <w:tcPr>
            <w:tcW w:type="dxa" w:w="376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Maakt prioritering concreet en toetsbaar.</w:t>
            </w:r>
          </w:p>
        </w:tc>
      </w:tr>
      <w:tr>
        <w:tc>
          <w:tcPr>
            <w:tcW w:type="dxa" w:w="17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Datamodel</w:t>
            </w:r>
          </w:p>
        </w:tc>
        <w:tc>
          <w:tcPr>
            <w:tcW w:type="dxa" w:w="39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Welke objecten bestaan er in het systeem?</w:t>
            </w:r>
          </w:p>
        </w:tc>
        <w:tc>
          <w:tcPr>
            <w:tcW w:type="dxa" w:w="376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Voorkomt dat pagina's voorlopen op een zwakke structuur.</w:t>
            </w:r>
          </w:p>
        </w:tc>
      </w:tr>
      <w:tr>
        <w:tc>
          <w:tcPr>
            <w:tcW w:type="dxa" w:w="17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Belangrijkste flow</w:t>
            </w:r>
          </w:p>
        </w:tc>
        <w:tc>
          <w:tcPr>
            <w:tcW w:type="dxa" w:w="39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Welke eerste route moet echt werken?</w:t>
            </w:r>
          </w:p>
        </w:tc>
        <w:tc>
          <w:tcPr>
            <w:tcW w:type="dxa" w:w="376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Dwingt focus op bruikbare waarde in plaats van brede schijnvoortgang.</w:t>
            </w:r>
          </w:p>
        </w:tc>
      </w:tr>
      <w:tr>
        <w:tc>
          <w:tcPr>
            <w:tcW w:type="dxa" w:w="17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Kwaliteitslat</w:t>
            </w:r>
          </w:p>
        </w:tc>
        <w:tc>
          <w:tcPr>
            <w:tcW w:type="dxa" w:w="39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Waar mag het product absoluut niet zwak zijn?</w:t>
            </w:r>
          </w:p>
        </w:tc>
        <w:tc>
          <w:tcPr>
            <w:tcW w:type="dxa" w:w="376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Bepaalt waar agents extra kritisch moeten zijn.</w:t>
            </w:r>
          </w:p>
        </w:tc>
      </w:tr>
      <w:tr>
        <w:tc>
          <w:tcPr>
            <w:tcW w:type="dxa" w:w="17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Commerciele logica</w:t>
            </w:r>
          </w:p>
        </w:tc>
        <w:tc>
          <w:tcPr>
            <w:tcW w:type="dxa" w:w="39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Hoe kan het product later waarde opleveren?</w:t>
            </w:r>
          </w:p>
        </w:tc>
        <w:tc>
          <w:tcPr>
            <w:tcW w:type="dxa" w:w="376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Helpt keuzes maken zonder vertrouwen te beschadigen.</w:t>
            </w:r>
          </w:p>
        </w:tc>
      </w:tr>
      <w:tr>
        <w:tc>
          <w:tcPr>
            <w:tcW w:type="dxa" w:w="17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Niet-doen lijst</w:t>
            </w:r>
          </w:p>
        </w:tc>
        <w:tc>
          <w:tcPr>
            <w:tcW w:type="dxa" w:w="39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Welke patronen moeten we vermijden?</w:t>
            </w:r>
          </w:p>
        </w:tc>
        <w:tc>
          <w:tcPr>
            <w:tcW w:type="dxa" w:w="376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Beschermt het product tegen generieke of schadelijke output.</w:t>
            </w:r>
          </w:p>
        </w:tc>
      </w:tr>
    </w:tbl>
    <w:p>
      <w:pPr>
        <w:pStyle w:val="Heading1"/>
      </w:pPr>
      <w:r>
        <w:t>3. Standaard projectbestanden</w:t>
      </w:r>
    </w:p>
    <w:p>
      <w:r>
        <w:t>Elk serieus project krijgt deze basisbestanden. Zie ze als het geheugen en de spelregels van het project.</w:t>
      </w:r>
    </w:p>
    <w:tbl>
      <w:tblPr>
        <w:tblStyle w:val="TableGrid"/>
        <w:tblW w:type="dxa" w:w="9360"/>
        <w:jc w:val="left"/>
        <w:tblLayout w:type="fixed"/>
        <w:tblLook w:firstColumn="1" w:firstRow="1" w:lastColumn="0" w:lastRow="0" w:noHBand="0" w:noVBand="1" w:val="04A0"/>
      </w:tblPr>
      <w:tblGrid>
        <w:gridCol w:w="1850"/>
        <w:gridCol w:w="4800"/>
        <w:gridCol w:w="2710"/>
      </w:tblGrid>
      <w:tr>
        <w:tc>
          <w:tcPr>
            <w:tcW w:type="dxa" w:w="1850"/>
            <w:vAlign w:val="center"/>
            <w:shd w:fill="EDF4F2"/>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r>
              <w:rPr>
                <w:b/>
                <w:color w:val="12323A"/>
                <w:sz w:val="18"/>
              </w:rPr>
              <w:t>Bestand</w:t>
            </w:r>
          </w:p>
        </w:tc>
        <w:tc>
          <w:tcPr>
            <w:tcW w:type="dxa" w:w="4800"/>
            <w:vAlign w:val="center"/>
            <w:shd w:fill="EDF4F2"/>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r>
              <w:rPr>
                <w:b/>
                <w:color w:val="12323A"/>
                <w:sz w:val="18"/>
              </w:rPr>
              <w:t>Functie</w:t>
            </w:r>
          </w:p>
        </w:tc>
        <w:tc>
          <w:tcPr>
            <w:tcW w:type="dxa" w:w="2710"/>
            <w:vAlign w:val="center"/>
            <w:shd w:fill="EDF4F2"/>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r>
              <w:rPr>
                <w:b/>
                <w:color w:val="12323A"/>
                <w:sz w:val="18"/>
              </w:rPr>
              <w:t>Wanneer aanpassen</w:t>
            </w:r>
          </w:p>
        </w:tc>
      </w:tr>
      <w:tr>
        <w:tc>
          <w:tcPr>
            <w:tcW w:type="dxa" w:w="185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AGENTS.md</w:t>
            </w:r>
          </w:p>
        </w:tc>
        <w:tc>
          <w:tcPr>
            <w:tcW w:type="dxa" w:w="48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Hoofdinstructies voor Codex: missie, principes, kwaliteit, tone of voice en workflow.</w:t>
            </w:r>
          </w:p>
        </w:tc>
        <w:tc>
          <w:tcPr>
            <w:tcW w:type="dxa" w:w="271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Bij wijziging van productprincipes of werkwijze.</w:t>
            </w:r>
          </w:p>
        </w:tc>
      </w:tr>
      <w:tr>
        <w:tc>
          <w:tcPr>
            <w:tcW w:type="dxa" w:w="185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AGENT-TEAM.md</w:t>
            </w:r>
          </w:p>
        </w:tc>
        <w:tc>
          <w:tcPr>
            <w:tcW w:type="dxa" w:w="48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Bibliotheek van specialistische agents, inclusief mandaat, output en file ownership.</w:t>
            </w:r>
          </w:p>
        </w:tc>
        <w:tc>
          <w:tcPr>
            <w:tcW w:type="dxa" w:w="271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Wanneer het team of de agentrollen veranderen.</w:t>
            </w:r>
          </w:p>
        </w:tc>
      </w:tr>
      <w:tr>
        <w:tc>
          <w:tcPr>
            <w:tcW w:type="dxa" w:w="185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PRODUCT.md</w:t>
            </w:r>
          </w:p>
        </w:tc>
        <w:tc>
          <w:tcPr>
            <w:tcW w:type="dxa" w:w="48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Productbrief: doelgroep, probleem, belofte, positionering en kernjobs.</w:t>
            </w:r>
          </w:p>
        </w:tc>
        <w:tc>
          <w:tcPr>
            <w:tcW w:type="dxa" w:w="271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Bij strategische keuzes of scopewijzigingen.</w:t>
            </w:r>
          </w:p>
        </w:tc>
      </w:tr>
      <w:tr>
        <w:tc>
          <w:tcPr>
            <w:tcW w:type="dxa" w:w="185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DATA_MODEL.md</w:t>
            </w:r>
          </w:p>
        </w:tc>
        <w:tc>
          <w:tcPr>
            <w:tcW w:type="dxa" w:w="48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Entiteiten, velden, relaties, enums en datakwaliteitseisen.</w:t>
            </w:r>
          </w:p>
        </w:tc>
        <w:tc>
          <w:tcPr>
            <w:tcW w:type="dxa" w:w="271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Voor elke nieuwe kernfunctie of datalaag.</w:t>
            </w:r>
          </w:p>
        </w:tc>
      </w:tr>
      <w:tr>
        <w:tc>
          <w:tcPr>
            <w:tcW w:type="dxa" w:w="185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ROADMAP.md</w:t>
            </w:r>
          </w:p>
        </w:tc>
        <w:tc>
          <w:tcPr>
            <w:tcW w:type="dxa" w:w="48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Fases, MVP, later/niet nu en releasevolgorde.</w:t>
            </w:r>
          </w:p>
        </w:tc>
        <w:tc>
          <w:tcPr>
            <w:tcW w:type="dxa" w:w="271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Na elke afgeronde bouwcyclus.</w:t>
            </w:r>
          </w:p>
        </w:tc>
      </w:tr>
      <w:tr>
        <w:tc>
          <w:tcPr>
            <w:tcW w:type="dxa" w:w="185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DECISIONS.md</w:t>
            </w:r>
          </w:p>
        </w:tc>
        <w:tc>
          <w:tcPr>
            <w:tcW w:type="dxa" w:w="48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Besluitenlogboek met datum, reden, trade-off en impact.</w:t>
            </w:r>
          </w:p>
        </w:tc>
        <w:tc>
          <w:tcPr>
            <w:tcW w:type="dxa" w:w="271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Bij elke belangrijke product- of architectuurkeuze.</w:t>
            </w:r>
          </w:p>
        </w:tc>
      </w:tr>
      <w:tr>
        <w:tc>
          <w:tcPr>
            <w:tcW w:type="dxa" w:w="185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TASKS.md</w:t>
            </w:r>
          </w:p>
        </w:tc>
        <w:tc>
          <w:tcPr>
            <w:tcW w:type="dxa" w:w="48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Concrete taken per fase, inclusief eigenaar en status.</w:t>
            </w:r>
          </w:p>
        </w:tc>
        <w:tc>
          <w:tcPr>
            <w:tcW w:type="dxa" w:w="271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Tijdens uitvoering en planning.</w:t>
            </w:r>
          </w:p>
        </w:tc>
      </w:tr>
      <w:tr>
        <w:tc>
          <w:tcPr>
            <w:tcW w:type="dxa" w:w="185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QUALITY.md</w:t>
            </w:r>
          </w:p>
        </w:tc>
        <w:tc>
          <w:tcPr>
            <w:tcW w:type="dxa" w:w="48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Validatieregels, testflows, releasechecks en Definition of Done.</w:t>
            </w:r>
          </w:p>
        </w:tc>
        <w:tc>
          <w:tcPr>
            <w:tcW w:type="dxa" w:w="271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Zodra flows live of breekbaar worden.</w:t>
            </w:r>
          </w:p>
        </w:tc>
      </w:tr>
    </w:tbl>
    <w:p>
      <w:pPr>
        <w:pStyle w:val="Heading1"/>
      </w:pPr>
      <w:r>
        <w:t>4. De vaste agentkern</w:t>
      </w:r>
    </w:p>
    <w:p>
      <w:r>
        <w:t>Gebruik niet standaard een groot agentteam. Start met een kleine kern. Voeg specialisten pas toe als hun werk echt los te trekken is.</w:t>
      </w:r>
    </w:p>
    <w:tbl>
      <w:tblPr>
        <w:tblStyle w:val="TableGrid"/>
        <w:tblW w:type="dxa" w:w="9360"/>
        <w:jc w:val="left"/>
        <w:tblLayout w:type="fixed"/>
        <w:tblLook w:firstColumn="1" w:firstRow="1" w:lastColumn="0" w:lastRow="0" w:noHBand="0" w:noVBand="1" w:val="04A0"/>
      </w:tblPr>
      <w:tblGrid>
        <w:gridCol w:w="2400"/>
        <w:gridCol w:w="2100"/>
        <w:gridCol w:w="4860"/>
      </w:tblGrid>
      <w:tr>
        <w:tc>
          <w:tcPr>
            <w:tcW w:type="dxa" w:w="2400"/>
            <w:vAlign w:val="center"/>
            <w:shd w:fill="EDF4F2"/>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r>
              <w:rPr>
                <w:b/>
                <w:color w:val="12323A"/>
                <w:sz w:val="18"/>
              </w:rPr>
              <w:t>Agent</w:t>
            </w:r>
          </w:p>
        </w:tc>
        <w:tc>
          <w:tcPr>
            <w:tcW w:type="dxa" w:w="2100"/>
            <w:vAlign w:val="center"/>
            <w:shd w:fill="EDF4F2"/>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r>
              <w:rPr>
                <w:b/>
                <w:color w:val="12323A"/>
                <w:sz w:val="18"/>
              </w:rPr>
              <w:t>Altijd / later</w:t>
            </w:r>
          </w:p>
        </w:tc>
        <w:tc>
          <w:tcPr>
            <w:tcW w:type="dxa" w:w="4860"/>
            <w:vAlign w:val="center"/>
            <w:shd w:fill="EDF4F2"/>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r>
              <w:rPr>
                <w:b/>
                <w:color w:val="12323A"/>
                <w:sz w:val="18"/>
              </w:rPr>
              <w:t>Mandaat</w:t>
            </w:r>
          </w:p>
        </w:tc>
      </w:tr>
      <w:tr>
        <w:tc>
          <w:tcPr>
            <w:tcW w:type="dxa" w:w="24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Lead Product Builder</w:t>
            </w:r>
          </w:p>
        </w:tc>
        <w:tc>
          <w:tcPr>
            <w:tcW w:type="dxa" w:w="21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Altijd</w:t>
            </w:r>
          </w:p>
        </w:tc>
        <w:tc>
          <w:tcPr>
            <w:tcW w:type="dxa" w:w="486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Bewaakt productrichting, scope, integratie, validatie en eindkwaliteit.</w:t>
            </w:r>
          </w:p>
        </w:tc>
      </w:tr>
      <w:tr>
        <w:tc>
          <w:tcPr>
            <w:tcW w:type="dxa" w:w="24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UX &amp; Flow Agent</w:t>
            </w:r>
          </w:p>
        </w:tc>
        <w:tc>
          <w:tcPr>
            <w:tcW w:type="dxa" w:w="21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Altijd bij gebruikersinteractie</w:t>
            </w:r>
          </w:p>
        </w:tc>
        <w:tc>
          <w:tcPr>
            <w:tcW w:type="dxa" w:w="486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Ontwerpt gebruikersroutes, informatiehierarchie, frictiereductie en beslismomenten.</w:t>
            </w:r>
          </w:p>
        </w:tc>
      </w:tr>
      <w:tr>
        <w:tc>
          <w:tcPr>
            <w:tcW w:type="dxa" w:w="24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Data &amp; Logic Agent</w:t>
            </w:r>
          </w:p>
        </w:tc>
        <w:tc>
          <w:tcPr>
            <w:tcW w:type="dxa" w:w="21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Altijd bij serieuze apps</w:t>
            </w:r>
          </w:p>
        </w:tc>
        <w:tc>
          <w:tcPr>
            <w:tcW w:type="dxa" w:w="486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Bewaakt datamodel, regels, enums, edge cases en uitlegbare logica.</w:t>
            </w:r>
          </w:p>
        </w:tc>
      </w:tr>
      <w:tr>
        <w:tc>
          <w:tcPr>
            <w:tcW w:type="dxa" w:w="24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Frontend Components Agent</w:t>
            </w:r>
          </w:p>
        </w:tc>
        <w:tc>
          <w:tcPr>
            <w:tcW w:type="dxa" w:w="21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Altijd bij appbouw</w:t>
            </w:r>
          </w:p>
        </w:tc>
        <w:tc>
          <w:tcPr>
            <w:tcW w:type="dxa" w:w="486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Maakt herbruikbare UI-componenten, scanbare layouts en responsive patronen.</w:t>
            </w:r>
          </w:p>
        </w:tc>
      </w:tr>
      <w:tr>
        <w:tc>
          <w:tcPr>
            <w:tcW w:type="dxa" w:w="24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Trust &amp; Content Agent</w:t>
            </w:r>
          </w:p>
        </w:tc>
        <w:tc>
          <w:tcPr>
            <w:tcW w:type="dxa" w:w="21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Altijd bij advies, vergelijking of gevoelige keuzes</w:t>
            </w:r>
          </w:p>
        </w:tc>
        <w:tc>
          <w:tcPr>
            <w:tcW w:type="dxa" w:w="486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Bewaakt uitleg, methodologie, copy, transparantie en claims.</w:t>
            </w:r>
          </w:p>
        </w:tc>
      </w:tr>
    </w:tbl>
    <w:p>
      <w:pPr>
        <w:pStyle w:val="Heading1"/>
      </w:pPr>
      <w:r>
        <w:t>5. Agents die je later toevoegt</w:t>
      </w:r>
    </w:p>
    <w:tbl>
      <w:tblPr>
        <w:tblStyle w:val="TableGrid"/>
        <w:tblW w:type="dxa" w:w="9360"/>
        <w:jc w:val="left"/>
        <w:tblLayout w:type="fixed"/>
        <w:tblLook w:firstColumn="1" w:firstRow="1" w:lastColumn="0" w:lastRow="0" w:noHBand="0" w:noVBand="1" w:val="04A0"/>
      </w:tblPr>
      <w:tblGrid>
        <w:gridCol w:w="2200"/>
        <w:gridCol w:w="3900"/>
        <w:gridCol w:w="3260"/>
      </w:tblGrid>
      <w:tr>
        <w:tc>
          <w:tcPr>
            <w:tcW w:type="dxa" w:w="2200"/>
            <w:vAlign w:val="center"/>
            <w:shd w:fill="EDF4F2"/>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r>
              <w:rPr>
                <w:b/>
                <w:color w:val="12323A"/>
                <w:sz w:val="18"/>
              </w:rPr>
              <w:t>Agent</w:t>
            </w:r>
          </w:p>
        </w:tc>
        <w:tc>
          <w:tcPr>
            <w:tcW w:type="dxa" w:w="3900"/>
            <w:vAlign w:val="center"/>
            <w:shd w:fill="EDF4F2"/>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r>
              <w:rPr>
                <w:b/>
                <w:color w:val="12323A"/>
                <w:sz w:val="18"/>
              </w:rPr>
              <w:t>Toevoegen wanneer</w:t>
            </w:r>
          </w:p>
        </w:tc>
        <w:tc>
          <w:tcPr>
            <w:tcW w:type="dxa" w:w="3260"/>
            <w:vAlign w:val="center"/>
            <w:shd w:fill="EDF4F2"/>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r>
              <w:rPr>
                <w:b/>
                <w:color w:val="12323A"/>
                <w:sz w:val="18"/>
              </w:rPr>
              <w:t>Niet te vroeg omdat</w:t>
            </w:r>
          </w:p>
        </w:tc>
      </w:tr>
      <w:tr>
        <w:tc>
          <w:tcPr>
            <w:tcW w:type="dxa" w:w="22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Backend/API Agent</w:t>
            </w:r>
          </w:p>
        </w:tc>
        <w:tc>
          <w:tcPr>
            <w:tcW w:type="dxa" w:w="39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Auth, databases, integraties of serverlogica substantieel worden.</w:t>
            </w:r>
          </w:p>
        </w:tc>
        <w:tc>
          <w:tcPr>
            <w:tcW w:type="dxa" w:w="326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Vroege projecten vaak eerst product- en datamodelhelderheid nodig hebben.</w:t>
            </w:r>
          </w:p>
        </w:tc>
      </w:tr>
      <w:tr>
        <w:tc>
          <w:tcPr>
            <w:tcW w:type="dxa" w:w="22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QA/Test Agent</w:t>
            </w:r>
          </w:p>
        </w:tc>
        <w:tc>
          <w:tcPr>
            <w:tcW w:type="dxa" w:w="39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Kernflows belangrijk of regressiegevoelig worden.</w:t>
            </w:r>
          </w:p>
        </w:tc>
        <w:tc>
          <w:tcPr>
            <w:tcW w:type="dxa" w:w="326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Testen zonder stabiele flow veel onderhoudsruis geeft.</w:t>
            </w:r>
          </w:p>
        </w:tc>
      </w:tr>
      <w:tr>
        <w:tc>
          <w:tcPr>
            <w:tcW w:type="dxa" w:w="22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SEO Agent</w:t>
            </w:r>
          </w:p>
        </w:tc>
        <w:tc>
          <w:tcPr>
            <w:tcW w:type="dxa" w:w="39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De productbasis en echte decision value staan.</w:t>
            </w:r>
          </w:p>
        </w:tc>
        <w:tc>
          <w:tcPr>
            <w:tcW w:type="dxa" w:w="326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SEO zonder productwaarde snel generieke content oplevert.</w:t>
            </w:r>
          </w:p>
        </w:tc>
      </w:tr>
      <w:tr>
        <w:tc>
          <w:tcPr>
            <w:tcW w:type="dxa" w:w="22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Performance Agent</w:t>
            </w:r>
          </w:p>
        </w:tc>
        <w:tc>
          <w:tcPr>
            <w:tcW w:type="dxa" w:w="39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Er meetbare traagheid, veel data of zware UI is.</w:t>
            </w:r>
          </w:p>
        </w:tc>
        <w:tc>
          <w:tcPr>
            <w:tcW w:type="dxa" w:w="326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Optimalisatie zonder knelpunt scope kan vervuilen.</w:t>
            </w:r>
          </w:p>
        </w:tc>
      </w:tr>
      <w:tr>
        <w:tc>
          <w:tcPr>
            <w:tcW w:type="dxa" w:w="22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Data Import Agent</w:t>
            </w:r>
          </w:p>
        </w:tc>
        <w:tc>
          <w:tcPr>
            <w:tcW w:type="dxa" w:w="39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Externe feeds, CSV's, scraping of matching nodig zijn.</w:t>
            </w:r>
          </w:p>
        </w:tc>
        <w:tc>
          <w:tcPr>
            <w:tcW w:type="dxa" w:w="326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Importlogica pas zinvol is na een stevig datamodel.</w:t>
            </w:r>
          </w:p>
        </w:tc>
      </w:tr>
      <w:tr>
        <w:tc>
          <w:tcPr>
            <w:tcW w:type="dxa" w:w="22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Analytics Agent</w:t>
            </w:r>
          </w:p>
        </w:tc>
        <w:tc>
          <w:tcPr>
            <w:tcW w:type="dxa" w:w="39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Er gebruikersflows zijn die je wilt meten en verbeteren.</w:t>
            </w:r>
          </w:p>
        </w:tc>
        <w:tc>
          <w:tcPr>
            <w:tcW w:type="dxa" w:w="326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Meten zonder duidelijke doelen leidt tot ijdele metrics.</w:t>
            </w:r>
          </w:p>
        </w:tc>
      </w:tr>
      <w:tr>
        <w:tc>
          <w:tcPr>
            <w:tcW w:type="dxa" w:w="22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Compliance/Legal Agent</w:t>
            </w:r>
          </w:p>
        </w:tc>
        <w:tc>
          <w:tcPr>
            <w:tcW w:type="dxa" w:w="39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Privacy, finance, health, claims of regelgeving relevant zijn.</w:t>
            </w:r>
          </w:p>
        </w:tc>
        <w:tc>
          <w:tcPr>
            <w:tcW w:type="dxa" w:w="326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Niet elk project juridische diepte nodig heeft vanaf dag een.</w:t>
            </w:r>
          </w:p>
        </w:tc>
      </w:tr>
    </w:tbl>
    <w:p>
      <w:r>
        <w:br w:type="page"/>
      </w:r>
    </w:p>
    <w:p>
      <w:pPr>
        <w:pStyle w:val="Heading1"/>
      </w:pPr>
      <w:r>
        <w:t>6. De vaste bouwworkflow</w:t>
      </w:r>
    </w:p>
    <w:p>
      <w:r>
        <w:t>Deze volgorde is de standaard. Alleen afwijken als het project daar echt om vraagt.</w:t>
      </w:r>
    </w:p>
    <w:tbl>
      <w:tblPr>
        <w:tblStyle w:val="TableGrid"/>
        <w:tblW w:type="dxa" w:w="9360"/>
        <w:jc w:val="left"/>
        <w:tblLayout w:type="fixed"/>
        <w:tblLook w:firstColumn="1" w:firstRow="1" w:lastColumn="0" w:lastRow="0" w:noHBand="0" w:noVBand="1" w:val="04A0"/>
      </w:tblPr>
      <w:tblGrid>
        <w:gridCol w:w="2100"/>
        <w:gridCol w:w="4350"/>
        <w:gridCol w:w="2910"/>
      </w:tblGrid>
      <w:tr>
        <w:tc>
          <w:tcPr>
            <w:tcW w:type="dxa" w:w="2100"/>
            <w:vAlign w:val="center"/>
            <w:shd w:fill="EDF4F2"/>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r>
              <w:rPr>
                <w:b/>
                <w:color w:val="12323A"/>
                <w:sz w:val="18"/>
              </w:rPr>
              <w:t>Fase</w:t>
            </w:r>
          </w:p>
        </w:tc>
        <w:tc>
          <w:tcPr>
            <w:tcW w:type="dxa" w:w="4350"/>
            <w:vAlign w:val="center"/>
            <w:shd w:fill="EDF4F2"/>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r>
              <w:rPr>
                <w:b/>
                <w:color w:val="12323A"/>
                <w:sz w:val="18"/>
              </w:rPr>
              <w:t>Output</w:t>
            </w:r>
          </w:p>
        </w:tc>
        <w:tc>
          <w:tcPr>
            <w:tcW w:type="dxa" w:w="2910"/>
            <w:vAlign w:val="center"/>
            <w:shd w:fill="EDF4F2"/>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r>
              <w:rPr>
                <w:b/>
                <w:color w:val="12323A"/>
                <w:sz w:val="18"/>
              </w:rPr>
              <w:t>Succescriterium</w:t>
            </w:r>
          </w:p>
        </w:tc>
      </w:tr>
      <w:tr>
        <w:tc>
          <w:tcPr>
            <w:tcW w:type="dxa" w:w="21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1. Productfundament</w:t>
            </w:r>
          </w:p>
        </w:tc>
        <w:tc>
          <w:tcPr>
            <w:tcW w:type="dxa" w:w="435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PRODUCT.md, kernjobs, doelgroep, niet-doen lijst.</w:t>
            </w:r>
          </w:p>
        </w:tc>
        <w:tc>
          <w:tcPr>
            <w:tcW w:type="dxa" w:w="291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Iedereen weet wat we bouwen en waarom.</w:t>
            </w:r>
          </w:p>
        </w:tc>
      </w:tr>
      <w:tr>
        <w:tc>
          <w:tcPr>
            <w:tcW w:type="dxa" w:w="21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2. Datafundament</w:t>
            </w:r>
          </w:p>
        </w:tc>
        <w:tc>
          <w:tcPr>
            <w:tcW w:type="dxa" w:w="435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DATA_MODEL.md met objecten, relaties, velden en enums.</w:t>
            </w:r>
          </w:p>
        </w:tc>
        <w:tc>
          <w:tcPr>
            <w:tcW w:type="dxa" w:w="291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Filters, logica en pagina's kunnen op dezelfde waarheid leunen.</w:t>
            </w:r>
          </w:p>
        </w:tc>
      </w:tr>
      <w:tr>
        <w:tc>
          <w:tcPr>
            <w:tcW w:type="dxa" w:w="21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3. Eerste kernflow</w:t>
            </w:r>
          </w:p>
        </w:tc>
        <w:tc>
          <w:tcPr>
            <w:tcW w:type="dxa" w:w="435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Een werkende route van intentie naar waarde.</w:t>
            </w:r>
          </w:p>
        </w:tc>
        <w:tc>
          <w:tcPr>
            <w:tcW w:type="dxa" w:w="291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Een gebruiker kan een echte taak afronden.</w:t>
            </w:r>
          </w:p>
        </w:tc>
      </w:tr>
      <w:tr>
        <w:tc>
          <w:tcPr>
            <w:tcW w:type="dxa" w:w="21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4. Vergelijking en vertrouwen</w:t>
            </w:r>
          </w:p>
        </w:tc>
        <w:tc>
          <w:tcPr>
            <w:tcW w:type="dxa" w:w="435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Vergelijking, uitleg, methodologie, pros/cons en alternatieven.</w:t>
            </w:r>
          </w:p>
        </w:tc>
        <w:tc>
          <w:tcPr>
            <w:tcW w:type="dxa" w:w="291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De gebruiker begrijpt waarom een uitkomst passend is.</w:t>
            </w:r>
          </w:p>
        </w:tc>
      </w:tr>
      <w:tr>
        <w:tc>
          <w:tcPr>
            <w:tcW w:type="dxa" w:w="21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5. Schaalbaarheid</w:t>
            </w:r>
          </w:p>
        </w:tc>
        <w:tc>
          <w:tcPr>
            <w:tcW w:type="dxa" w:w="435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Tests, admin, import, analytics, SEO, performance en automatisering.</w:t>
            </w:r>
          </w:p>
        </w:tc>
        <w:tc>
          <w:tcPr>
            <w:tcW w:type="dxa" w:w="291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Het product kan groeien zonder richting te verliezen.</w:t>
            </w:r>
          </w:p>
        </w:tc>
      </w:tr>
    </w:tbl>
    <w:tbl>
      <w:tblPr>
        <w:tblW w:type="dxa" w:w="9360"/>
        <w:jc w:val="left"/>
        <w:tblLayout w:type="fixed"/>
        <w:tblLook w:firstColumn="1" w:firstRow="1" w:lastColumn="0" w:lastRow="0" w:noHBand="0" w:noVBand="1" w:val="04A0"/>
      </w:tblPr>
      <w:tblGrid>
        <w:gridCol w:w="9360"/>
      </w:tblGrid>
      <w:tr>
        <w:tc>
          <w:tcPr>
            <w:tcW w:type="dxa" w:w="9360"/>
            <w:shd w:fill="EDF4F2"/>
            <w:tcBorders>
              <w:top w:val="single" w:sz="4" w:space="0" w:color="D8E4E0"/>
              <w:left w:val="single" w:sz="4" w:space="0" w:color="D8E4E0"/>
              <w:bottom w:val="single" w:sz="4" w:space="0" w:color="D8E4E0"/>
              <w:right w:val="single" w:sz="4" w:space="0" w:color="D8E4E0"/>
            </w:tcBorders>
            <w:tcMar>
              <w:top w:w="150" w:type="dxa"/>
              <w:start w:w="170" w:type="dxa"/>
              <w:bottom w:w="150" w:type="dxa"/>
              <w:end w:w="170" w:type="dxa"/>
            </w:tcMar>
          </w:tcPr>
          <w:p>
            <w:pPr>
              <w:spacing w:after="60"/>
            </w:pPr>
            <w:r>
              <w:rPr>
                <w:b/>
                <w:color w:val="12323A"/>
                <w:sz w:val="21"/>
              </w:rPr>
              <w:t>Beslisregel voor scope</w:t>
            </w:r>
          </w:p>
          <w:p>
            <w:pPr>
              <w:spacing w:after="0"/>
            </w:pPr>
            <w:r>
              <w:t>Een feature hoort nu alleen in scope als hij de eerste waardevolle flow duidelijk beter maakt, of als hij een fundament legt waar meerdere latere functies op steunen.</w:t>
            </w:r>
          </w:p>
        </w:tc>
      </w:tr>
    </w:tbl>
    <w:p>
      <w:pPr>
        <w:pStyle w:val="Heading1"/>
      </w:pPr>
      <w:r>
        <w:t>7. Multi-agent werkafspraak</w:t>
      </w:r>
    </w:p>
    <w:p>
      <w:r>
        <w:t>Gebruik meerdere agents alleen voor substantiele bouwcycli. De Lead Product Builder blijft eigenaar van richting, integratie en kwaliteit.</w:t>
      </w:r>
    </w:p>
    <w:p>
      <w:pPr>
        <w:pStyle w:val="ListNumber"/>
      </w:pPr>
      <w:r>
        <w:t>Definieer het gebruikersprobleem en het gewenste productresultaat.</w:t>
      </w:r>
    </w:p>
    <w:p>
      <w:pPr>
        <w:pStyle w:val="ListNumber"/>
      </w:pPr>
      <w:r>
        <w:t>Splits het werk in onafhankelijke scopes met duidelijke file ownership.</w:t>
      </w:r>
    </w:p>
    <w:p>
      <w:pPr>
        <w:pStyle w:val="ListNumber"/>
      </w:pPr>
      <w:r>
        <w:t>Laat agents parallel werken waar ze elkaar niet blokkeren.</w:t>
      </w:r>
    </w:p>
    <w:p>
      <w:pPr>
        <w:pStyle w:val="ListNumber"/>
      </w:pPr>
      <w:r>
        <w:t>Integreer alleen output die duidelijkheid, vertrouwen, vergelijking of persoonlijke begeleiding verbetert.</w:t>
      </w:r>
    </w:p>
    <w:p>
      <w:pPr>
        <w:pStyle w:val="ListNumber"/>
      </w:pPr>
      <w:r>
        <w:t>Valideer met typecheck, build en browsercheck waar toepasbaar.</w:t>
      </w:r>
    </w:p>
    <w:tbl>
      <w:tblPr>
        <w:tblW w:type="dxa" w:w="9360"/>
        <w:jc w:val="left"/>
        <w:tblLayout w:type="fixed"/>
        <w:tblLook w:firstColumn="1" w:firstRow="1" w:lastColumn="0" w:lastRow="0" w:noHBand="0" w:noVBand="1" w:val="04A0"/>
      </w:tblPr>
      <w:tblGrid>
        <w:gridCol w:w="9360"/>
      </w:tblGrid>
      <w:tr>
        <w:tc>
          <w:tcPr>
            <w:tcW w:type="dxa" w:w="9360"/>
            <w:shd w:fill="EDF4F2"/>
            <w:tcBorders>
              <w:top w:val="single" w:sz="4" w:space="0" w:color="D8E4E0"/>
              <w:left w:val="single" w:sz="4" w:space="0" w:color="D8E4E0"/>
              <w:bottom w:val="single" w:sz="4" w:space="0" w:color="D8E4E0"/>
              <w:right w:val="single" w:sz="4" w:space="0" w:color="D8E4E0"/>
            </w:tcBorders>
            <w:tcMar>
              <w:top w:w="150" w:type="dxa"/>
              <w:start w:w="170" w:type="dxa"/>
              <w:bottom w:w="150" w:type="dxa"/>
              <w:end w:w="170" w:type="dxa"/>
            </w:tcMar>
          </w:tcPr>
          <w:p>
            <w:r>
              <w:rPr>
                <w:b/>
                <w:color w:val="12323A"/>
                <w:sz w:val="21"/>
              </w:rPr>
              <w:t>Werkafspraak</w:t>
            </w:r>
          </w:p>
          <w:p>
            <w:pPr>
              <w:spacing w:after="0"/>
            </w:pPr>
            <w:r>
              <w:t>Jij hoeft niet zelf perfecte tickets te schrijven. Jij hoeft vooral goede input, voorkeuren en feedback te geven. Codex is verantwoordelijk voor het vertalen daarvan naar uitvoerbare tickets, het inzetten van de juiste agent en het bewaken van productkwaliteit.</w:t>
            </w:r>
          </w:p>
        </w:tc>
      </w:tr>
    </w:tbl>
    <w:p>
      <w:pPr>
        <w:pStyle w:val="ListNumber"/>
      </w:pPr>
      <w:r>
        <w:t>Codex controleert, integreert, valideert en koppelt terug wat is veranderd en waarom.</w:t>
      </w:r>
    </w:p>
    <w:p>
      <w:pPr>
        <w:pStyle w:val="ListNumber"/>
      </w:pPr>
      <w:r>
        <w:t>De gekozen agent voert het ticket uit binnen een afgebakende file ownership.</w:t>
      </w:r>
    </w:p>
    <w:p>
      <w:pPr>
        <w:pStyle w:val="ListNumber"/>
      </w:pPr>
      <w:r>
        <w:t>Codex schrijft tickets met concrete acceptatiecriteria en bepaalt de juiste agent of agents.</w:t>
      </w:r>
    </w:p>
    <w:p>
      <w:pPr>
        <w:pStyle w:val="ListNumber"/>
      </w:pPr>
      <w:r>
        <w:t>Codex maakt het scherp: user problem, gewenste uitkomst, scope en risico's.</w:t>
      </w:r>
    </w:p>
    <w:p>
      <w:pPr>
        <w:pStyle w:val="ListNumber"/>
      </w:pPr>
      <w:r>
        <w:t>Jij beschrijft wat je wilt bereiken, eventueel ruw of onvolledig.</w:t>
      </w:r>
    </w:p>
    <w:p>
      <w:r>
        <w:t>Elke bouwcyclus loopt volgens deze samenwerking:</w:t>
      </w:r>
    </w:p>
    <w:tbl>
      <w:tblPr>
        <w:tblStyle w:val="TableGrid"/>
        <w:tblW w:type="dxa" w:w="9360"/>
        <w:jc w:val="left"/>
        <w:tblLayout w:type="fixed"/>
        <w:tblLook w:firstColumn="1" w:firstRow="1" w:lastColumn="0" w:lastRow="0" w:noHBand="0" w:noVBand="1" w:val="04A0"/>
      </w:tblPr>
      <w:tblGrid>
        <w:gridCol w:w="1900"/>
        <w:gridCol w:w="4550"/>
        <w:gridCol w:w="2910"/>
      </w:tblGrid>
      <w:tr>
        <w:tc>
          <w:tcPr>
            <w:tcW w:type="dxa" w:w="1900"/>
            <w:vAlign w:val="center"/>
            <w:shd w:fill="EDF4F2"/>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r>
              <w:rPr>
                <w:b/>
                <w:color w:val="12323A"/>
                <w:sz w:val="18"/>
              </w:rPr>
              <w:t>Rol</w:t>
            </w:r>
          </w:p>
        </w:tc>
        <w:tc>
          <w:tcPr>
            <w:tcW w:type="dxa" w:w="4550"/>
            <w:vAlign w:val="center"/>
            <w:shd w:fill="EDF4F2"/>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r>
              <w:rPr>
                <w:b/>
                <w:color w:val="12323A"/>
                <w:sz w:val="18"/>
              </w:rPr>
              <w:t>Verantwoordelijkheid</w:t>
            </w:r>
          </w:p>
        </w:tc>
        <w:tc>
          <w:tcPr>
            <w:tcW w:type="dxa" w:w="2910"/>
            <w:vAlign w:val="center"/>
            <w:shd w:fill="EDF4F2"/>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r>
              <w:rPr>
                <w:b/>
                <w:color w:val="12323A"/>
                <w:sz w:val="18"/>
              </w:rPr>
              <w:t>Output</w:t>
            </w:r>
          </w:p>
        </w:tc>
      </w:tr>
      <w:tr>
        <w:tc>
          <w:tcPr>
            <w:tcW w:type="dxa" w:w="19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Jij</w:t>
            </w:r>
          </w:p>
        </w:tc>
        <w:tc>
          <w:tcPr>
            <w:tcW w:type="dxa" w:w="455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Geeft context, doelen, voorkeuren, voorbeelden, grenzen en feedback op wat goed of niet goed voelt.</w:t>
            </w:r>
          </w:p>
        </w:tc>
        <w:tc>
          <w:tcPr>
            <w:tcW w:type="dxa" w:w="291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Input, keuzes, prioriteiten en akkoord op belangrijke richting.</w:t>
            </w:r>
          </w:p>
        </w:tc>
      </w:tr>
      <w:tr>
        <w:tc>
          <w:tcPr>
            <w:tcW w:type="dxa" w:w="19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Codex als Product Owner</w:t>
            </w:r>
          </w:p>
        </w:tc>
        <w:tc>
          <w:tcPr>
            <w:tcW w:type="dxa" w:w="455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Scherpt het probleem aan, bewaakt productwaarde, vertaalt input naar tickets en kiest welke agent nodig is.</w:t>
            </w:r>
          </w:p>
        </w:tc>
        <w:tc>
          <w:tcPr>
            <w:tcW w:type="dxa" w:w="291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Heldere tickets, acceptatiecriteria, agentbriefings en prioritering.</w:t>
            </w:r>
          </w:p>
        </w:tc>
      </w:tr>
      <w:tr>
        <w:tc>
          <w:tcPr>
            <w:tcW w:type="dxa" w:w="19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Specialistische agents</w:t>
            </w:r>
          </w:p>
        </w:tc>
        <w:tc>
          <w:tcPr>
            <w:tcW w:type="dxa" w:w="455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Voeren afgebakende taken uit binnen hun eigen scope en zonder elkaars files te overschrijven.</w:t>
            </w:r>
          </w:p>
        </w:tc>
        <w:tc>
          <w:tcPr>
            <w:tcW w:type="dxa" w:w="291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Analyse, code, copy, data-aanpassingen, componenten of testresultaten.</w:t>
            </w:r>
          </w:p>
        </w:tc>
      </w:tr>
      <w:tr>
        <w:tc>
          <w:tcPr>
            <w:tcW w:type="dxa" w:w="19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Codex als Lead Integrator</w:t>
            </w:r>
          </w:p>
        </w:tc>
        <w:tc>
          <w:tcPr>
            <w:tcW w:type="dxa" w:w="455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Reviewt agentoutput, integreert alleen wat waarde toevoegt, test de flow en vat het resultaat samen.</w:t>
            </w:r>
          </w:p>
        </w:tc>
        <w:tc>
          <w:tcPr>
            <w:tcW w:type="dxa" w:w="291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Werkende verbetering, validatie en volgende concrete stap.</w:t>
            </w:r>
          </w:p>
        </w:tc>
      </w:tr>
    </w:tbl>
    <w:p>
      <w:r>
        <w:t>De vaste samenwerking is bewust simpel: jij bepaalt richting, wensen, prioriteiten en feedback; Codex vertaalt die input naar concrete productkeuzes, tickets, agentopdrachten en kwaliteitscontrole.</w:t>
      </w:r>
    </w:p>
    <w:p>
      <w:pPr>
        <w:pStyle w:val="Heading1"/>
      </w:pPr>
      <w:r>
        <w:t>8. Samenwerkingsmodel: jij input, Codex product owner</w:t>
      </w:r>
    </w:p>
    <w:p>
      <w:pPr>
        <w:pStyle w:val="Heading1"/>
      </w:pPr>
      <w:r/>
      <w:r>
        <w:t>9. Standaard prompts voor agents</w:t>
      </w:r>
    </w:p>
    <w:p>
      <w:r>
        <w:t>Gebruik dit patroon wanneer je een specialist inschakelt:</w:t>
      </w:r>
    </w:p>
    <w:tbl>
      <w:tblPr>
        <w:tblStyle w:val="TableGrid"/>
        <w:tblW w:type="dxa" w:w="9360"/>
        <w:jc w:val="left"/>
        <w:tblLayout w:type="fixed"/>
        <w:tblLook w:firstColumn="1" w:firstRow="1" w:lastColumn="0" w:lastRow="0" w:noHBand="0" w:noVBand="1" w:val="04A0"/>
      </w:tblPr>
      <w:tblGrid>
        <w:gridCol w:w="2350"/>
        <w:gridCol w:w="7010"/>
      </w:tblGrid>
      <w:tr>
        <w:tc>
          <w:tcPr>
            <w:tcW w:type="dxa" w:w="2350"/>
            <w:vAlign w:val="center"/>
            <w:shd w:fill="EDF4F2"/>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r>
              <w:rPr>
                <w:b/>
                <w:color w:val="12323A"/>
                <w:sz w:val="18"/>
              </w:rPr>
              <w:t>Promptonderdeel</w:t>
            </w:r>
          </w:p>
        </w:tc>
        <w:tc>
          <w:tcPr>
            <w:tcW w:type="dxa" w:w="7010"/>
            <w:vAlign w:val="center"/>
            <w:shd w:fill="EDF4F2"/>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r>
              <w:rPr>
                <w:b/>
                <w:color w:val="12323A"/>
                <w:sz w:val="18"/>
              </w:rPr>
              <w:t>Invullen</w:t>
            </w:r>
          </w:p>
        </w:tc>
      </w:tr>
      <w:tr>
        <w:tc>
          <w:tcPr>
            <w:tcW w:type="dxa" w:w="235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User problem</w:t>
            </w:r>
          </w:p>
        </w:tc>
        <w:tc>
          <w:tcPr>
            <w:tcW w:type="dxa" w:w="701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Welk probleem van de gebruiker lossen we op?</w:t>
            </w:r>
          </w:p>
        </w:tc>
      </w:tr>
      <w:tr>
        <w:tc>
          <w:tcPr>
            <w:tcW w:type="dxa" w:w="235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Product surface</w:t>
            </w:r>
          </w:p>
        </w:tc>
        <w:tc>
          <w:tcPr>
            <w:tcW w:type="dxa" w:w="701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Welke pagina, flow, component, datalaag of contentsectie raakt dit?</w:t>
            </w:r>
          </w:p>
        </w:tc>
      </w:tr>
      <w:tr>
        <w:tc>
          <w:tcPr>
            <w:tcW w:type="dxa" w:w="235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Scope</w:t>
            </w:r>
          </w:p>
        </w:tc>
        <w:tc>
          <w:tcPr>
            <w:tcW w:type="dxa" w:w="701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Wat moet de agent exact onderzoeken of aanpassen?</w:t>
            </w:r>
          </w:p>
        </w:tc>
      </w:tr>
      <w:tr>
        <w:tc>
          <w:tcPr>
            <w:tcW w:type="dxa" w:w="235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Ownership</w:t>
            </w:r>
          </w:p>
        </w:tc>
        <w:tc>
          <w:tcPr>
            <w:tcW w:type="dxa" w:w="701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Welke bestanden of modules zijn van deze agent?</w:t>
            </w:r>
          </w:p>
        </w:tc>
      </w:tr>
      <w:tr>
        <w:tc>
          <w:tcPr>
            <w:tcW w:type="dxa" w:w="235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Do not change</w:t>
            </w:r>
          </w:p>
        </w:tc>
        <w:tc>
          <w:tcPr>
            <w:tcW w:type="dxa" w:w="701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Welke bestanden, keuzes of gedrag moet ongemoeid blijven?</w:t>
            </w:r>
          </w:p>
        </w:tc>
      </w:tr>
      <w:tr>
        <w:tc>
          <w:tcPr>
            <w:tcW w:type="dxa" w:w="235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Output</w:t>
            </w:r>
          </w:p>
        </w:tc>
        <w:tc>
          <w:tcPr>
            <w:tcW w:type="dxa" w:w="701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Wil je analyse, patch, component, copy, testplan of beslisadvies?</w:t>
            </w:r>
          </w:p>
        </w:tc>
      </w:tr>
      <w:tr>
        <w:tc>
          <w:tcPr>
            <w:tcW w:type="dxa" w:w="235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Quality bar</w:t>
            </w:r>
          </w:p>
        </w:tc>
        <w:tc>
          <w:tcPr>
            <w:tcW w:type="dxa" w:w="701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Waar moet de agent extra streng op zijn?</w:t>
            </w:r>
          </w:p>
        </w:tc>
      </w:tr>
    </w:tbl>
    <w:p>
      <w:pPr>
        <w:pStyle w:val="Heading1"/>
      </w:pPr>
      <w:r/>
      <w:r>
        <w:t>10. Definition of Done</w:t>
      </w:r>
    </w:p>
    <w:p>
      <w:r>
        <w:t>Een bouwcyclus is pas klaar als de waarde, werking en kwaliteit zichtbaar zijn gecontroleerd.</w:t>
      </w:r>
    </w:p>
    <w:p>
      <w:pPr>
        <w:pStyle w:val="ListBullet"/>
      </w:pPr>
      <w:r>
        <w:t>Het werk is verbonden aan een concreet gebruikersprobleem.</w:t>
      </w:r>
    </w:p>
    <w:p>
      <w:pPr>
        <w:pStyle w:val="ListBullet"/>
      </w:pPr>
      <w:r>
        <w:t>Het datamodel of de productlogica is niet impliciet of verstopt in losse UI.</w:t>
      </w:r>
    </w:p>
    <w:p>
      <w:pPr>
        <w:pStyle w:val="ListBullet"/>
      </w:pPr>
      <w:r>
        <w:t>User-facing copy is passend voor de doelgroep en taal van het project.</w:t>
      </w:r>
    </w:p>
    <w:p>
      <w:pPr>
        <w:pStyle w:val="ListBullet"/>
      </w:pPr>
      <w:r>
        <w:t>Nieuwe aanbevelingen, scores of claims zijn uitlegbaar en niet overdreven zeker.</w:t>
      </w:r>
    </w:p>
    <w:p>
      <w:pPr>
        <w:pStyle w:val="ListBullet"/>
      </w:pPr>
      <w:r>
        <w:t>Typecheck en production build zijn uitgevoerd waar toepasbaar.</w:t>
      </w:r>
    </w:p>
    <w:p>
      <w:pPr>
        <w:pStyle w:val="ListBullet"/>
      </w:pPr>
      <w:r>
        <w:t>Belangrijke gewijzigde flows zijn in de browser bekeken.</w:t>
      </w:r>
    </w:p>
    <w:p>
      <w:pPr>
        <w:pStyle w:val="ListBullet"/>
      </w:pPr>
      <w:r>
        <w:t>Nieuwe beslissingen zijn toegevoegd aan DECISIONS.md.</w:t>
      </w:r>
    </w:p>
    <w:p>
      <w:pPr>
        <w:pStyle w:val="ListBullet"/>
      </w:pPr>
      <w:r>
        <w:t>De volgende concrete stap is helder.</w:t>
      </w:r>
    </w:p>
    <w:p>
      <w:r>
        <w:br w:type="page"/>
      </w:r>
    </w:p>
    <w:p>
      <w:pPr>
        <w:pStyle w:val="Heading1"/>
      </w:pPr>
      <w:r/>
      <w:r>
        <w:t>11. Invulbare projectbrief</w:t>
      </w:r>
    </w:p>
    <w:p>
      <w:r>
        <w:t>Kopieer deze structuur bij de start van een nieuw project.</w:t>
      </w:r>
    </w:p>
    <w:tbl>
      <w:tblPr>
        <w:tblStyle w:val="TableGrid"/>
        <w:tblW w:type="dxa" w:w="9360"/>
        <w:jc w:val="left"/>
        <w:tblLayout w:type="fixed"/>
        <w:tblLook w:firstColumn="1" w:firstRow="1" w:lastColumn="0" w:lastRow="0" w:noHBand="0" w:noVBand="1" w:val="04A0"/>
      </w:tblPr>
      <w:tblGrid>
        <w:gridCol w:w="2500"/>
        <w:gridCol w:w="6860"/>
      </w:tblGrid>
      <w:tr>
        <w:tc>
          <w:tcPr>
            <w:tcW w:type="dxa" w:w="2500"/>
            <w:vAlign w:val="center"/>
            <w:shd w:fill="EDF4F2"/>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r>
              <w:rPr>
                <w:b/>
                <w:color w:val="12323A"/>
                <w:sz w:val="18"/>
              </w:rPr>
              <w:t>Veld</w:t>
            </w:r>
          </w:p>
        </w:tc>
        <w:tc>
          <w:tcPr>
            <w:tcW w:type="dxa" w:w="6860"/>
            <w:vAlign w:val="center"/>
            <w:shd w:fill="EDF4F2"/>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r>
              <w:rPr>
                <w:b/>
                <w:color w:val="12323A"/>
                <w:sz w:val="18"/>
              </w:rPr>
              <w:t>Invulling</w:t>
            </w:r>
          </w:p>
        </w:tc>
      </w:tr>
      <w:tr>
        <w:tc>
          <w:tcPr>
            <w:tcW w:type="dxa" w:w="25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Projectnaam</w:t>
            </w:r>
          </w:p>
        </w:tc>
        <w:tc>
          <w:tcPr>
            <w:tcW w:type="dxa" w:w="686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r>
          </w:p>
        </w:tc>
      </w:tr>
      <w:tr>
        <w:tc>
          <w:tcPr>
            <w:tcW w:type="dxa" w:w="25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Doelgroep</w:t>
            </w:r>
          </w:p>
        </w:tc>
        <w:tc>
          <w:tcPr>
            <w:tcW w:type="dxa" w:w="686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r>
          </w:p>
        </w:tc>
      </w:tr>
      <w:tr>
        <w:tc>
          <w:tcPr>
            <w:tcW w:type="dxa" w:w="25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Probleem</w:t>
            </w:r>
          </w:p>
        </w:tc>
        <w:tc>
          <w:tcPr>
            <w:tcW w:type="dxa" w:w="686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r>
          </w:p>
        </w:tc>
      </w:tr>
      <w:tr>
        <w:tc>
          <w:tcPr>
            <w:tcW w:type="dxa" w:w="25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Belofte</w:t>
            </w:r>
          </w:p>
        </w:tc>
        <w:tc>
          <w:tcPr>
            <w:tcW w:type="dxa" w:w="686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r>
          </w:p>
        </w:tc>
      </w:tr>
      <w:tr>
        <w:tc>
          <w:tcPr>
            <w:tcW w:type="dxa" w:w="25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Kernjobs</w:t>
            </w:r>
          </w:p>
        </w:tc>
        <w:tc>
          <w:tcPr>
            <w:tcW w:type="dxa" w:w="686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r>
          </w:p>
        </w:tc>
      </w:tr>
      <w:tr>
        <w:tc>
          <w:tcPr>
            <w:tcW w:type="dxa" w:w="25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Belangrijkste flow</w:t>
            </w:r>
          </w:p>
        </w:tc>
        <w:tc>
          <w:tcPr>
            <w:tcW w:type="dxa" w:w="686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r>
          </w:p>
        </w:tc>
      </w:tr>
      <w:tr>
        <w:tc>
          <w:tcPr>
            <w:tcW w:type="dxa" w:w="25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Belangrijkste dataobjecten</w:t>
            </w:r>
          </w:p>
        </w:tc>
        <w:tc>
          <w:tcPr>
            <w:tcW w:type="dxa" w:w="686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r>
          </w:p>
        </w:tc>
      </w:tr>
      <w:tr>
        <w:tc>
          <w:tcPr>
            <w:tcW w:type="dxa" w:w="25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Kwaliteitslat</w:t>
            </w:r>
          </w:p>
        </w:tc>
        <w:tc>
          <w:tcPr>
            <w:tcW w:type="dxa" w:w="686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r>
          </w:p>
        </w:tc>
      </w:tr>
      <w:tr>
        <w:tc>
          <w:tcPr>
            <w:tcW w:type="dxa" w:w="25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Commerciele logica</w:t>
            </w:r>
          </w:p>
        </w:tc>
        <w:tc>
          <w:tcPr>
            <w:tcW w:type="dxa" w:w="686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r>
          </w:p>
        </w:tc>
      </w:tr>
      <w:tr>
        <w:tc>
          <w:tcPr>
            <w:tcW w:type="dxa" w:w="25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Niet-doen lijst</w:t>
            </w:r>
          </w:p>
        </w:tc>
        <w:tc>
          <w:tcPr>
            <w:tcW w:type="dxa" w:w="686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r>
          </w:p>
        </w:tc>
      </w:tr>
      <w:tr>
        <w:tc>
          <w:tcPr>
            <w:tcW w:type="dxa" w:w="25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MVP-grens</w:t>
            </w:r>
          </w:p>
        </w:tc>
        <w:tc>
          <w:tcPr>
            <w:tcW w:type="dxa" w:w="686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r>
          </w:p>
        </w:tc>
      </w:tr>
      <w:tr>
        <w:tc>
          <w:tcPr>
            <w:tcW w:type="dxa" w:w="25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Eerste concrete bouwstap</w:t>
            </w:r>
          </w:p>
        </w:tc>
        <w:tc>
          <w:tcPr>
            <w:tcW w:type="dxa" w:w="686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r>
          </w:p>
        </w:tc>
      </w:tr>
    </w:tbl>
    <w:p>
      <w:pPr>
        <w:pStyle w:val="Heading1"/>
      </w:pPr>
      <w:r/>
      <w:r>
        <w:t>12. Voorbeeld: hardloopschoenenplatform</w:t>
      </w:r>
    </w:p>
    <w:p>
      <w:r>
        <w:t>Deze case laat zien hoe de setup concreet wordt ingevuld.</w:t>
      </w:r>
    </w:p>
    <w:tbl>
      <w:tblPr>
        <w:tblStyle w:val="TableGrid"/>
        <w:tblW w:type="dxa" w:w="9360"/>
        <w:jc w:val="left"/>
        <w:tblLayout w:type="fixed"/>
        <w:tblLook w:firstColumn="1" w:firstRow="1" w:lastColumn="0" w:lastRow="0" w:noHBand="0" w:noVBand="1" w:val="04A0"/>
      </w:tblPr>
      <w:tblGrid>
        <w:gridCol w:w="2300"/>
        <w:gridCol w:w="7060"/>
      </w:tblGrid>
      <w:tr>
        <w:tc>
          <w:tcPr>
            <w:tcW w:type="dxa" w:w="2300"/>
            <w:vAlign w:val="center"/>
            <w:shd w:fill="EDF4F2"/>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r>
              <w:rPr>
                <w:b/>
                <w:color w:val="12323A"/>
                <w:sz w:val="18"/>
              </w:rPr>
              <w:t>Onderdeel</w:t>
            </w:r>
          </w:p>
        </w:tc>
        <w:tc>
          <w:tcPr>
            <w:tcW w:type="dxa" w:w="7060"/>
            <w:vAlign w:val="center"/>
            <w:shd w:fill="EDF4F2"/>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r>
              <w:rPr>
                <w:b/>
                <w:color w:val="12323A"/>
                <w:sz w:val="18"/>
              </w:rPr>
              <w:t>Voorbeeldinvulling</w:t>
            </w:r>
          </w:p>
        </w:tc>
      </w:tr>
      <w:tr>
        <w:tc>
          <w:tcPr>
            <w:tcW w:type="dxa" w:w="23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Projectdoel</w:t>
            </w:r>
          </w:p>
        </w:tc>
        <w:tc>
          <w:tcPr>
            <w:tcW w:type="dxa" w:w="706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De meest vertrouwde Nederlandse plek om hardloopschoenen te ontdekken, vergelijken en kiezen.</w:t>
            </w:r>
          </w:p>
        </w:tc>
      </w:tr>
      <w:tr>
        <w:tc>
          <w:tcPr>
            <w:tcW w:type="dxa" w:w="23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Kernjobs</w:t>
            </w:r>
          </w:p>
        </w:tc>
        <w:tc>
          <w:tcPr>
            <w:tcW w:type="dxa" w:w="706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Markt begrijpen, persoonlijke fit vinden, opties vergelijken, uitkomst vertrouwen.</w:t>
            </w:r>
          </w:p>
        </w:tc>
      </w:tr>
      <w:tr>
        <w:tc>
          <w:tcPr>
            <w:tcW w:type="dxa" w:w="23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Datafundament</w:t>
            </w:r>
          </w:p>
        </w:tc>
        <w:tc>
          <w:tcPr>
            <w:tcW w:type="dxa" w:w="706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Merk, model, versie, categorie, ondergrond, demping, stabiliteit, pasvorm, prijs, reviews en retaileroffers.</w:t>
            </w:r>
          </w:p>
        </w:tc>
      </w:tr>
      <w:tr>
        <w:tc>
          <w:tcPr>
            <w:tcW w:type="dxa" w:w="23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Eerste kernflow</w:t>
            </w:r>
          </w:p>
        </w:tc>
        <w:tc>
          <w:tcPr>
            <w:tcW w:type="dxa" w:w="706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Keuzehulp -&gt; aanbevelingen -&gt; alternatieven -&gt; productdetail -&gt; prijsvergelijking.</w:t>
            </w:r>
          </w:p>
        </w:tc>
      </w:tr>
      <w:tr>
        <w:tc>
          <w:tcPr>
            <w:tcW w:type="dxa" w:w="23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Trustregel</w:t>
            </w:r>
          </w:p>
        </w:tc>
        <w:tc>
          <w:tcPr>
            <w:tcW w:type="dxa" w:w="706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Advies moet uitlegbaar zijn en productkwaliteit moet gescheiden blijven van retailerinformatie.</w:t>
            </w:r>
          </w:p>
        </w:tc>
      </w:tr>
      <w:tr>
        <w:tc>
          <w:tcPr>
            <w:tcW w:type="dxa" w:w="230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Niet doen</w:t>
            </w:r>
          </w:p>
        </w:tc>
        <w:tc>
          <w:tcPr>
            <w:tcW w:type="dxa" w:w="7060"/>
            <w:vAlign w:val="center"/>
            <w:tcBorders>
              <w:top w:val="single" w:sz="6" w:space="0" w:color="CBD6D2"/>
              <w:left w:val="single" w:sz="6" w:space="0" w:color="CBD6D2"/>
              <w:bottom w:val="single" w:sz="6" w:space="0" w:color="CBD6D2"/>
              <w:right w:val="single" w:sz="6" w:space="0" w:color="CBD6D2"/>
            </w:tcBorders>
            <w:tcMar>
              <w:top w:w="110" w:type="dxa"/>
              <w:start w:w="140" w:type="dxa"/>
              <w:bottom w:w="110" w:type="dxa"/>
              <w:end w:w="140" w:type="dxa"/>
            </w:tcMar>
          </w:tcPr>
          <w:p>
            <w:pPr>
              <w:spacing w:after="0"/>
            </w:pPr>
            <w:r>
              <w:rPr>
                <w:sz w:val="18"/>
              </w:rPr>
              <w:t>Geen generieke top-10 affiliatepagina's als kernervaring.</w:t>
            </w:r>
          </w:p>
        </w:tc>
      </w:tr>
    </w:tbl>
    <w:p>
      <w:pPr>
        <w:pStyle w:val="Heading1"/>
      </w:pPr>
      <w:r/>
      <w:r>
        <w:t>13. Eerste 90 minuten van elk project</w:t>
      </w:r>
    </w:p>
    <w:p>
      <w:pPr>
        <w:pStyle w:val="ListNumber"/>
      </w:pPr>
      <w:r>
        <w:t>Maak PRODUCT.md met probleem, doelgroep, belofte en kernjobs.</w:t>
      </w:r>
    </w:p>
    <w:p>
      <w:pPr>
        <w:pStyle w:val="ListNumber"/>
      </w:pPr>
      <w:r>
        <w:t>Maak DATA_MODEL.md met de eerste objecten, velden en open vragen.</w:t>
      </w:r>
    </w:p>
    <w:p>
      <w:pPr>
        <w:pStyle w:val="ListNumber"/>
      </w:pPr>
      <w:r>
        <w:t>Maak ROADMAP.md met MVP, later en niet nu.</w:t>
      </w:r>
    </w:p>
    <w:p>
      <w:pPr>
        <w:pStyle w:val="ListNumber"/>
      </w:pPr>
      <w:r>
        <w:t>Maak AGENT-TEAM.md met de kleine vaste kern en eventuele projectspecifieke specialisten.</w:t>
      </w:r>
    </w:p>
    <w:p>
      <w:pPr>
        <w:pStyle w:val="ListNumber"/>
      </w:pPr>
      <w:r>
        <w:t>Kies een eerste kernflow en bouw alleen wat nodig is om die flow bruikbaar te maken.</w:t>
      </w:r>
    </w:p>
    <w:p>
      <w:pPr>
        <w:pStyle w:val="Heading1"/>
      </w:pPr>
      <w:r/>
      <w:r>
        <w:t>14. De belangrijkste regel</w:t>
      </w:r>
    </w:p>
    <w:tbl>
      <w:tblPr>
        <w:tblW w:type="dxa" w:w="9360"/>
        <w:jc w:val="left"/>
        <w:tblLayout w:type="fixed"/>
        <w:tblLook w:firstColumn="1" w:firstRow="1" w:lastColumn="0" w:lastRow="0" w:noHBand="0" w:noVBand="1" w:val="04A0"/>
      </w:tblPr>
      <w:tblGrid>
        <w:gridCol w:w="9360"/>
      </w:tblGrid>
      <w:tr>
        <w:tc>
          <w:tcPr>
            <w:tcW w:type="dxa" w:w="9360"/>
            <w:shd w:fill="EDF4F2"/>
            <w:tcBorders>
              <w:top w:val="single" w:sz="4" w:space="0" w:color="D8E4E0"/>
              <w:left w:val="single" w:sz="4" w:space="0" w:color="D8E4E0"/>
              <w:bottom w:val="single" w:sz="4" w:space="0" w:color="D8E4E0"/>
              <w:right w:val="single" w:sz="4" w:space="0" w:color="D8E4E0"/>
            </w:tcBorders>
            <w:tcMar>
              <w:top w:w="150" w:type="dxa"/>
              <w:start w:w="170" w:type="dxa"/>
              <w:bottom w:w="150" w:type="dxa"/>
              <w:end w:w="170" w:type="dxa"/>
            </w:tcMar>
          </w:tcPr>
          <w:p>
            <w:pPr>
              <w:spacing w:after="60"/>
            </w:pPr>
            <w:r>
              <w:rPr>
                <w:b/>
                <w:color w:val="12323A"/>
                <w:sz w:val="21"/>
              </w:rPr>
              <w:t>Van verwarring naar vertrouwen</w:t>
            </w:r>
          </w:p>
          <w:p>
            <w:pPr>
              <w:spacing w:after="0"/>
            </w:pPr>
            <w:r>
              <w:t>Een goed Codex-project bouwt niet gewoon features. Het bouwt een systeem dat gebruikers helpt van verwarring naar vertrouwen te gaan. Alles wat daar niet aan bijdraagt, moet wachten of verdwijnen.</w:t>
            </w:r>
          </w:p>
        </w:tc>
      </w:tr>
    </w:tbl>
    <w:sectPr w:rsidR="00FC693F" w:rsidRPr="0006063C" w:rsidSect="00034616">
      <w:headerReference w:type="default" r:id="rId9"/>
      <w:footerReference w:type="default" r:id="rId10"/>
      <w:pgSz w:w="12240" w:h="15840"/>
      <w:pgMar w:top="1296"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87681"/>
        <w:sz w:val="17"/>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3" w:color="CBD6D2"/>
      </w:pBdr>
    </w:pPr>
    <w:r>
      <w:rPr>
        <w:rFonts w:ascii="Arial" w:hAnsi="Arial"/>
        <w:color w:val="687681"/>
        <w:sz w:val="17"/>
      </w:rPr>
      <w:t>Codex Project Startfundament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eastAsia="Arial"/>
      <w:color w:val="1F2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2323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1F4E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1232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eastAsia="Arial"/>
      <w:b/>
      <w:color w:val="12323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ascii="Arial" w:hAnsi="Arial" w:eastAsia="Arial"/>
      <w:i/>
      <w:iCs/>
      <w:color w:val="68768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18" w:hanging="259"/>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18" w:hanging="259"/>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