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AB1C" w14:textId="365F3FA5" w:rsidR="00DF6157" w:rsidRDefault="00D45165" w:rsidP="00B60016">
      <w:pPr>
        <w:pStyle w:val="Kop1"/>
        <w:rPr>
          <w:noProof/>
          <w:sz w:val="28"/>
          <w:szCs w:val="28"/>
        </w:rPr>
      </w:pPr>
      <w:r w:rsidRPr="002A488E">
        <w:rPr>
          <w:noProof/>
          <w:sz w:val="28"/>
          <w:szCs w:val="28"/>
        </w:rPr>
        <w:t xml:space="preserve">Gebruiksaanwijzing </w:t>
      </w:r>
      <w:r w:rsidR="0015555B">
        <w:rPr>
          <w:noProof/>
          <w:sz w:val="28"/>
          <w:szCs w:val="28"/>
        </w:rPr>
        <w:t xml:space="preserve">excel </w:t>
      </w:r>
      <w:r w:rsidRPr="002A488E">
        <w:rPr>
          <w:noProof/>
          <w:sz w:val="28"/>
          <w:szCs w:val="28"/>
        </w:rPr>
        <w:t>T-scores en Percentiel Rangorde scores</w:t>
      </w:r>
    </w:p>
    <w:p w14:paraId="68B865C7" w14:textId="05258346" w:rsidR="004F7B43" w:rsidRDefault="004F7B43" w:rsidP="004F7B43"/>
    <w:p w14:paraId="0B29D133" w14:textId="563547FA" w:rsidR="004F7B43" w:rsidRPr="004F7B43" w:rsidRDefault="004F7B43" w:rsidP="004F7B43">
      <w:r>
        <w:t>Edwin de Beurs</w:t>
      </w:r>
    </w:p>
    <w:p w14:paraId="58542C4D" w14:textId="77777777" w:rsidR="00B60016" w:rsidRPr="002A488E" w:rsidRDefault="00B60016" w:rsidP="00B60016">
      <w:pPr>
        <w:pStyle w:val="Kop2"/>
        <w:rPr>
          <w:noProof/>
          <w:sz w:val="24"/>
          <w:szCs w:val="24"/>
        </w:rPr>
      </w:pPr>
      <w:r w:rsidRPr="002A488E">
        <w:rPr>
          <w:noProof/>
          <w:sz w:val="24"/>
          <w:szCs w:val="24"/>
        </w:rPr>
        <w:t>Inleiding</w:t>
      </w:r>
    </w:p>
    <w:p w14:paraId="74D571E3" w14:textId="478F40CF" w:rsidR="008B2E1D" w:rsidRPr="002A488E" w:rsidRDefault="0050545E">
      <w:pPr>
        <w:rPr>
          <w:noProof/>
          <w:sz w:val="20"/>
          <w:szCs w:val="20"/>
        </w:rPr>
      </w:pPr>
      <w:r w:rsidRPr="002A488E">
        <w:rPr>
          <w:noProof/>
          <w:sz w:val="20"/>
          <w:szCs w:val="20"/>
        </w:rPr>
        <w:t>Dit</w:t>
      </w:r>
      <w:r w:rsidR="00D45165" w:rsidRPr="002A488E">
        <w:rPr>
          <w:noProof/>
          <w:sz w:val="20"/>
          <w:szCs w:val="20"/>
        </w:rPr>
        <w:t xml:space="preserve"> Excel bestand </w:t>
      </w:r>
      <w:r w:rsidRPr="002A488E">
        <w:rPr>
          <w:noProof/>
          <w:sz w:val="20"/>
          <w:szCs w:val="20"/>
        </w:rPr>
        <w:t xml:space="preserve">bevat werkbladen waarmee </w:t>
      </w:r>
      <w:r w:rsidR="00DF6157" w:rsidRPr="002A488E">
        <w:rPr>
          <w:noProof/>
          <w:sz w:val="20"/>
          <w:szCs w:val="20"/>
        </w:rPr>
        <w:t xml:space="preserve">voor </w:t>
      </w:r>
      <w:r w:rsidR="00E611D0" w:rsidRPr="002A488E">
        <w:rPr>
          <w:noProof/>
          <w:sz w:val="20"/>
          <w:szCs w:val="20"/>
        </w:rPr>
        <w:t>een aan</w:t>
      </w:r>
      <w:r w:rsidR="00DF6157" w:rsidRPr="002A488E">
        <w:rPr>
          <w:noProof/>
          <w:sz w:val="20"/>
          <w:szCs w:val="20"/>
        </w:rPr>
        <w:t xml:space="preserve">tal vragenlijsten </w:t>
      </w:r>
      <w:r w:rsidR="00D45165" w:rsidRPr="002A488E">
        <w:rPr>
          <w:noProof/>
          <w:sz w:val="20"/>
          <w:szCs w:val="20"/>
        </w:rPr>
        <w:t xml:space="preserve">ruwe schaalscores </w:t>
      </w:r>
      <w:r w:rsidRPr="002A488E">
        <w:rPr>
          <w:noProof/>
          <w:sz w:val="20"/>
          <w:szCs w:val="20"/>
        </w:rPr>
        <w:t xml:space="preserve">kunnen worden </w:t>
      </w:r>
      <w:r w:rsidR="00E611D0" w:rsidRPr="002A488E">
        <w:rPr>
          <w:noProof/>
          <w:sz w:val="20"/>
          <w:szCs w:val="20"/>
        </w:rPr>
        <w:t>om</w:t>
      </w:r>
      <w:r w:rsidRPr="002A488E">
        <w:rPr>
          <w:noProof/>
          <w:sz w:val="20"/>
          <w:szCs w:val="20"/>
        </w:rPr>
        <w:t>ge</w:t>
      </w:r>
      <w:r w:rsidR="00E611D0" w:rsidRPr="002A488E">
        <w:rPr>
          <w:noProof/>
          <w:sz w:val="20"/>
          <w:szCs w:val="20"/>
        </w:rPr>
        <w:t xml:space="preserve">zet naar </w:t>
      </w:r>
      <w:r w:rsidR="00D45165" w:rsidRPr="002A488E">
        <w:rPr>
          <w:noProof/>
          <w:sz w:val="20"/>
          <w:szCs w:val="20"/>
        </w:rPr>
        <w:t xml:space="preserve">T-scores en Percentiel Rangorde </w:t>
      </w:r>
      <w:r w:rsidRPr="002A488E">
        <w:rPr>
          <w:noProof/>
          <w:sz w:val="20"/>
          <w:szCs w:val="20"/>
        </w:rPr>
        <w:t xml:space="preserve">(PR) </w:t>
      </w:r>
      <w:r w:rsidR="00D45165" w:rsidRPr="002A488E">
        <w:rPr>
          <w:noProof/>
          <w:sz w:val="20"/>
          <w:szCs w:val="20"/>
        </w:rPr>
        <w:t xml:space="preserve">scores. </w:t>
      </w:r>
    </w:p>
    <w:p w14:paraId="15F746C2" w14:textId="12681DDC" w:rsidR="0029766E" w:rsidRDefault="003C62ED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Bij</w:t>
      </w:r>
      <w:r w:rsidR="008B2E1D" w:rsidRPr="002A488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een ruim aantal</w:t>
      </w:r>
      <w:r w:rsidR="008B2E1D" w:rsidRPr="002A488E">
        <w:rPr>
          <w:noProof/>
          <w:sz w:val="20"/>
          <w:szCs w:val="20"/>
        </w:rPr>
        <w:t xml:space="preserve"> </w:t>
      </w:r>
      <w:r w:rsidR="0050545E" w:rsidRPr="002A488E">
        <w:rPr>
          <w:noProof/>
          <w:sz w:val="20"/>
          <w:szCs w:val="20"/>
        </w:rPr>
        <w:t xml:space="preserve">werkbladen </w:t>
      </w:r>
      <w:r w:rsidR="00DF6157" w:rsidRPr="002A488E">
        <w:rPr>
          <w:noProof/>
          <w:sz w:val="20"/>
          <w:szCs w:val="20"/>
        </w:rPr>
        <w:t>geldt dat</w:t>
      </w:r>
      <w:r w:rsidR="008B2E1D" w:rsidRPr="002A488E">
        <w:rPr>
          <w:noProof/>
          <w:sz w:val="20"/>
          <w:szCs w:val="20"/>
        </w:rPr>
        <w:t xml:space="preserve"> </w:t>
      </w:r>
      <w:r w:rsidR="008B2E1D" w:rsidRPr="003C62ED">
        <w:rPr>
          <w:i/>
          <w:iCs/>
          <w:noProof/>
          <w:sz w:val="20"/>
          <w:szCs w:val="20"/>
        </w:rPr>
        <w:t>itemscores</w:t>
      </w:r>
      <w:r w:rsidR="008B2E1D" w:rsidRPr="002A488E">
        <w:rPr>
          <w:noProof/>
          <w:sz w:val="20"/>
          <w:szCs w:val="20"/>
        </w:rPr>
        <w:t xml:space="preserve"> van een respondent </w:t>
      </w:r>
      <w:r w:rsidR="00DF6157" w:rsidRPr="002A488E">
        <w:rPr>
          <w:noProof/>
          <w:sz w:val="20"/>
          <w:szCs w:val="20"/>
        </w:rPr>
        <w:t xml:space="preserve">kunnen </w:t>
      </w:r>
      <w:r w:rsidR="008B2E1D" w:rsidRPr="002A488E">
        <w:rPr>
          <w:noProof/>
          <w:sz w:val="20"/>
          <w:szCs w:val="20"/>
        </w:rPr>
        <w:t>worden</w:t>
      </w:r>
      <w:r w:rsidR="00E611D0" w:rsidRPr="002A488E">
        <w:rPr>
          <w:noProof/>
          <w:sz w:val="20"/>
          <w:szCs w:val="20"/>
        </w:rPr>
        <w:t xml:space="preserve"> ingevuld</w:t>
      </w:r>
      <w:r w:rsidR="008B2E1D" w:rsidRPr="002A488E">
        <w:rPr>
          <w:noProof/>
          <w:sz w:val="20"/>
          <w:szCs w:val="20"/>
        </w:rPr>
        <w:t xml:space="preserve">. </w:t>
      </w:r>
      <w:r w:rsidR="00E022C5" w:rsidRPr="002A488E">
        <w:rPr>
          <w:noProof/>
          <w:sz w:val="20"/>
          <w:szCs w:val="20"/>
        </w:rPr>
        <w:t>Het</w:t>
      </w:r>
      <w:r w:rsidR="008B2E1D" w:rsidRPr="002A488E">
        <w:rPr>
          <w:noProof/>
          <w:sz w:val="20"/>
          <w:szCs w:val="20"/>
        </w:rPr>
        <w:t xml:space="preserve"> Excel </w:t>
      </w:r>
      <w:r w:rsidR="00E022C5" w:rsidRPr="002A488E">
        <w:rPr>
          <w:noProof/>
          <w:sz w:val="20"/>
          <w:szCs w:val="20"/>
        </w:rPr>
        <w:t>werkblad</w:t>
      </w:r>
      <w:r w:rsidR="008B2E1D" w:rsidRPr="002A488E">
        <w:rPr>
          <w:noProof/>
          <w:sz w:val="20"/>
          <w:szCs w:val="20"/>
        </w:rPr>
        <w:t xml:space="preserve"> bereken</w:t>
      </w:r>
      <w:r w:rsidR="00DF6157" w:rsidRPr="002A488E">
        <w:rPr>
          <w:noProof/>
          <w:sz w:val="20"/>
          <w:szCs w:val="20"/>
        </w:rPr>
        <w:t>t</w:t>
      </w:r>
      <w:r w:rsidR="008B2E1D" w:rsidRPr="002A488E">
        <w:rPr>
          <w:noProof/>
          <w:sz w:val="20"/>
          <w:szCs w:val="20"/>
        </w:rPr>
        <w:t xml:space="preserve"> </w:t>
      </w:r>
      <w:r w:rsidR="00E611D0" w:rsidRPr="002A488E">
        <w:rPr>
          <w:noProof/>
          <w:sz w:val="20"/>
          <w:szCs w:val="20"/>
        </w:rPr>
        <w:t xml:space="preserve">dan </w:t>
      </w:r>
      <w:r w:rsidR="008B2E1D" w:rsidRPr="002A488E">
        <w:rPr>
          <w:noProof/>
          <w:sz w:val="20"/>
          <w:szCs w:val="20"/>
        </w:rPr>
        <w:t>de schaalscore</w:t>
      </w:r>
      <w:r w:rsidR="00E611D0" w:rsidRPr="002A488E">
        <w:rPr>
          <w:noProof/>
          <w:sz w:val="20"/>
          <w:szCs w:val="20"/>
        </w:rPr>
        <w:t>(s)</w:t>
      </w:r>
      <w:r w:rsidR="008B2E1D" w:rsidRPr="002A488E">
        <w:rPr>
          <w:noProof/>
          <w:sz w:val="20"/>
          <w:szCs w:val="20"/>
        </w:rPr>
        <w:t xml:space="preserve"> en </w:t>
      </w:r>
      <w:r w:rsidR="00323AA7" w:rsidRPr="002A488E">
        <w:rPr>
          <w:noProof/>
          <w:sz w:val="20"/>
          <w:szCs w:val="20"/>
        </w:rPr>
        <w:t xml:space="preserve">voegt die </w:t>
      </w:r>
      <w:r>
        <w:rPr>
          <w:noProof/>
          <w:sz w:val="20"/>
          <w:szCs w:val="20"/>
        </w:rPr>
        <w:t xml:space="preserve">toe </w:t>
      </w:r>
      <w:r w:rsidR="00323AA7" w:rsidRPr="002A488E">
        <w:rPr>
          <w:noProof/>
          <w:sz w:val="20"/>
          <w:szCs w:val="20"/>
        </w:rPr>
        <w:t>in de kolom</w:t>
      </w:r>
      <w:r w:rsidR="008B2E1D" w:rsidRPr="002A488E">
        <w:rPr>
          <w:noProof/>
          <w:sz w:val="20"/>
          <w:szCs w:val="20"/>
        </w:rPr>
        <w:t xml:space="preserve"> onder </w:t>
      </w:r>
      <w:r w:rsidR="00C84C49" w:rsidRPr="002A488E">
        <w:rPr>
          <w:noProof/>
          <w:sz w:val="20"/>
          <w:szCs w:val="20"/>
        </w:rPr>
        <w:t>“</w:t>
      </w:r>
      <w:r w:rsidR="00C84C49" w:rsidRPr="002A488E">
        <w:rPr>
          <w:b/>
          <w:bCs/>
          <w:noProof/>
          <w:sz w:val="20"/>
          <w:szCs w:val="20"/>
        </w:rPr>
        <w:t>Sug.:</w:t>
      </w:r>
      <w:r w:rsidR="00C84C49" w:rsidRPr="002A488E">
        <w:rPr>
          <w:noProof/>
          <w:sz w:val="20"/>
          <w:szCs w:val="20"/>
        </w:rPr>
        <w:t xml:space="preserve">“. </w:t>
      </w:r>
      <w:r w:rsidR="008B2E1D" w:rsidRPr="002A488E">
        <w:rPr>
          <w:noProof/>
          <w:sz w:val="20"/>
          <w:szCs w:val="20"/>
        </w:rPr>
        <w:t xml:space="preserve">De </w:t>
      </w:r>
      <w:r w:rsidR="003D36C2">
        <w:rPr>
          <w:noProof/>
          <w:sz w:val="20"/>
          <w:szCs w:val="20"/>
        </w:rPr>
        <w:t xml:space="preserve">hier </w:t>
      </w:r>
      <w:r w:rsidR="008B2E1D" w:rsidRPr="002A488E">
        <w:rPr>
          <w:noProof/>
          <w:sz w:val="20"/>
          <w:szCs w:val="20"/>
        </w:rPr>
        <w:t xml:space="preserve">gesuggereerde schaalscores kunnen </w:t>
      </w:r>
      <w:r w:rsidR="003D36C2">
        <w:rPr>
          <w:noProof/>
          <w:sz w:val="20"/>
          <w:szCs w:val="20"/>
        </w:rPr>
        <w:t xml:space="preserve">vervolgens </w:t>
      </w:r>
      <w:r w:rsidR="00323AA7" w:rsidRPr="002A488E">
        <w:rPr>
          <w:noProof/>
          <w:sz w:val="20"/>
          <w:szCs w:val="20"/>
        </w:rPr>
        <w:t xml:space="preserve">door de gebruiker </w:t>
      </w:r>
      <w:r w:rsidR="00DF6157" w:rsidRPr="002A488E">
        <w:rPr>
          <w:noProof/>
          <w:sz w:val="20"/>
          <w:szCs w:val="20"/>
        </w:rPr>
        <w:t xml:space="preserve">worden </w:t>
      </w:r>
      <w:r w:rsidR="008B2E1D" w:rsidRPr="002A488E">
        <w:rPr>
          <w:noProof/>
          <w:sz w:val="20"/>
          <w:szCs w:val="20"/>
        </w:rPr>
        <w:t>ingevuld</w:t>
      </w:r>
      <w:r w:rsidR="00DF6157" w:rsidRPr="002A488E">
        <w:rPr>
          <w:noProof/>
          <w:sz w:val="20"/>
          <w:szCs w:val="20"/>
        </w:rPr>
        <w:t xml:space="preserve"> (of </w:t>
      </w:r>
      <w:r w:rsidR="00E611D0" w:rsidRPr="002A488E">
        <w:rPr>
          <w:noProof/>
          <w:sz w:val="20"/>
          <w:szCs w:val="20"/>
        </w:rPr>
        <w:t xml:space="preserve">met </w:t>
      </w:r>
      <w:r w:rsidR="00DF6157" w:rsidRPr="002A488E">
        <w:rPr>
          <w:noProof/>
          <w:sz w:val="20"/>
          <w:szCs w:val="20"/>
        </w:rPr>
        <w:t>“plak</w:t>
      </w:r>
      <w:r w:rsidR="0029766E" w:rsidRPr="002A488E">
        <w:rPr>
          <w:noProof/>
          <w:sz w:val="20"/>
          <w:szCs w:val="20"/>
        </w:rPr>
        <w:t xml:space="preserve"> waarden</w:t>
      </w:r>
      <w:r w:rsidR="00DF6157" w:rsidRPr="002A488E">
        <w:rPr>
          <w:noProof/>
          <w:sz w:val="20"/>
          <w:szCs w:val="20"/>
        </w:rPr>
        <w:t>”</w:t>
      </w:r>
      <w:r w:rsidR="00E611D0" w:rsidRPr="002A488E">
        <w:rPr>
          <w:noProof/>
          <w:sz w:val="20"/>
          <w:szCs w:val="20"/>
        </w:rPr>
        <w:t xml:space="preserve"> </w:t>
      </w:r>
      <w:r w:rsidR="0050545E" w:rsidRPr="002A488E">
        <w:rPr>
          <w:noProof/>
          <w:sz w:val="20"/>
          <w:szCs w:val="20"/>
        </w:rPr>
        <w:t xml:space="preserve">worden </w:t>
      </w:r>
      <w:r w:rsidR="00E611D0" w:rsidRPr="002A488E">
        <w:rPr>
          <w:noProof/>
          <w:sz w:val="20"/>
          <w:szCs w:val="20"/>
        </w:rPr>
        <w:t>geplakt</w:t>
      </w:r>
      <w:r w:rsidR="00DF6157" w:rsidRPr="002A488E">
        <w:rPr>
          <w:noProof/>
          <w:sz w:val="20"/>
          <w:szCs w:val="20"/>
        </w:rPr>
        <w:t>)</w:t>
      </w:r>
      <w:r w:rsidR="008B2E1D" w:rsidRPr="002A488E">
        <w:rPr>
          <w:noProof/>
          <w:sz w:val="20"/>
          <w:szCs w:val="20"/>
        </w:rPr>
        <w:t xml:space="preserve"> in de kolom </w:t>
      </w:r>
      <w:r w:rsidR="00C84C49" w:rsidRPr="002A488E">
        <w:rPr>
          <w:noProof/>
          <w:sz w:val="20"/>
          <w:szCs w:val="20"/>
        </w:rPr>
        <w:t>“</w:t>
      </w:r>
      <w:r w:rsidR="00C84C49" w:rsidRPr="002A488E">
        <w:rPr>
          <w:b/>
          <w:bCs/>
          <w:noProof/>
          <w:sz w:val="20"/>
          <w:szCs w:val="20"/>
        </w:rPr>
        <w:t>Ruwe score:</w:t>
      </w:r>
      <w:r w:rsidR="00C84C49" w:rsidRPr="002A488E">
        <w:rPr>
          <w:noProof/>
          <w:sz w:val="20"/>
          <w:szCs w:val="20"/>
        </w:rPr>
        <w:t>“</w:t>
      </w:r>
      <w:r w:rsidR="00E611D0" w:rsidRPr="002A488E">
        <w:rPr>
          <w:noProof/>
          <w:sz w:val="20"/>
          <w:szCs w:val="20"/>
        </w:rPr>
        <w:t>.</w:t>
      </w:r>
      <w:r w:rsidR="00C84C49" w:rsidRPr="002A488E">
        <w:rPr>
          <w:noProof/>
          <w:sz w:val="20"/>
          <w:szCs w:val="20"/>
        </w:rPr>
        <w:t xml:space="preserve"> </w:t>
      </w:r>
      <w:r w:rsidR="00DF6157" w:rsidRPr="002A488E">
        <w:rPr>
          <w:noProof/>
          <w:sz w:val="20"/>
          <w:szCs w:val="20"/>
        </w:rPr>
        <w:t>H</w:t>
      </w:r>
      <w:r w:rsidR="00C84C49" w:rsidRPr="002A488E">
        <w:rPr>
          <w:noProof/>
          <w:sz w:val="20"/>
          <w:szCs w:val="20"/>
        </w:rPr>
        <w:t xml:space="preserve">et Excel sheet berekent </w:t>
      </w:r>
      <w:r w:rsidR="003D36C2">
        <w:rPr>
          <w:noProof/>
          <w:sz w:val="20"/>
          <w:szCs w:val="20"/>
        </w:rPr>
        <w:t>dan onmiddelijk</w:t>
      </w:r>
      <w:r w:rsidR="00C84C49" w:rsidRPr="002A488E">
        <w:rPr>
          <w:noProof/>
          <w:sz w:val="20"/>
          <w:szCs w:val="20"/>
        </w:rPr>
        <w:t xml:space="preserve"> </w:t>
      </w:r>
      <w:r w:rsidR="0029766E" w:rsidRPr="002A488E">
        <w:rPr>
          <w:noProof/>
          <w:sz w:val="20"/>
          <w:szCs w:val="20"/>
        </w:rPr>
        <w:t>genormaliseerde</w:t>
      </w:r>
      <w:r w:rsidR="00C84C49" w:rsidRPr="002A488E">
        <w:rPr>
          <w:noProof/>
          <w:sz w:val="20"/>
          <w:szCs w:val="20"/>
        </w:rPr>
        <w:t xml:space="preserve"> T-</w:t>
      </w:r>
      <w:r w:rsidR="0029766E" w:rsidRPr="002A488E">
        <w:rPr>
          <w:noProof/>
          <w:sz w:val="20"/>
          <w:szCs w:val="20"/>
        </w:rPr>
        <w:t>scores</w:t>
      </w:r>
      <w:r w:rsidR="00C84C49" w:rsidRPr="002A488E">
        <w:rPr>
          <w:noProof/>
          <w:sz w:val="20"/>
          <w:szCs w:val="20"/>
        </w:rPr>
        <w:t xml:space="preserve"> en PR-scores</w:t>
      </w:r>
      <w:r w:rsidR="00323AA7" w:rsidRPr="002A488E">
        <w:rPr>
          <w:noProof/>
          <w:sz w:val="20"/>
          <w:szCs w:val="20"/>
        </w:rPr>
        <w:t xml:space="preserve"> voor elke ruwe score</w:t>
      </w:r>
      <w:r w:rsidR="00C84C49" w:rsidRPr="002A488E">
        <w:rPr>
          <w:noProof/>
          <w:sz w:val="20"/>
          <w:szCs w:val="20"/>
        </w:rPr>
        <w:t xml:space="preserve">. </w:t>
      </w:r>
    </w:p>
    <w:p w14:paraId="3F4E3E10" w14:textId="37AFCE0B" w:rsidR="00554890" w:rsidRDefault="00554890">
      <w:pPr>
        <w:rPr>
          <w:noProof/>
          <w:sz w:val="20"/>
          <w:szCs w:val="20"/>
        </w:rPr>
      </w:pPr>
    </w:p>
    <w:p w14:paraId="6E805ADA" w14:textId="046CF587" w:rsidR="00554890" w:rsidRPr="002A488E" w:rsidRDefault="00554890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Figuur 1. Afbeelding van de excel werkbladen.</w:t>
      </w:r>
    </w:p>
    <w:p w14:paraId="11940460" w14:textId="6F21E86F" w:rsidR="008B2E1D" w:rsidRPr="002A488E" w:rsidRDefault="00C84C49">
      <w:pPr>
        <w:rPr>
          <w:noProof/>
          <w:sz w:val="20"/>
          <w:szCs w:val="20"/>
        </w:rPr>
      </w:pPr>
      <w:r w:rsidRPr="002A488E">
        <w:rPr>
          <w:noProof/>
          <w:sz w:val="20"/>
          <w:szCs w:val="20"/>
        </w:rPr>
        <w:t xml:space="preserve">Voor sommige meetinstrumenten </w:t>
      </w:r>
      <w:r w:rsidR="00DF6157" w:rsidRPr="002A488E">
        <w:rPr>
          <w:noProof/>
          <w:sz w:val="20"/>
          <w:szCs w:val="20"/>
        </w:rPr>
        <w:t xml:space="preserve">vallen items en scoringsinstructies onder het copyright van een uitgever en kan </w:t>
      </w:r>
      <w:r w:rsidR="00476825" w:rsidRPr="002A488E">
        <w:rPr>
          <w:noProof/>
          <w:sz w:val="20"/>
          <w:szCs w:val="20"/>
        </w:rPr>
        <w:t xml:space="preserve">we deze scoringsservice niet bieden middels </w:t>
      </w:r>
      <w:r w:rsidR="00DF6157" w:rsidRPr="002A488E">
        <w:rPr>
          <w:noProof/>
          <w:sz w:val="20"/>
          <w:szCs w:val="20"/>
        </w:rPr>
        <w:t xml:space="preserve">het Excel </w:t>
      </w:r>
      <w:r w:rsidR="00E022C5" w:rsidRPr="002A488E">
        <w:rPr>
          <w:noProof/>
          <w:sz w:val="20"/>
          <w:szCs w:val="20"/>
        </w:rPr>
        <w:t>werkblad</w:t>
      </w:r>
      <w:r w:rsidR="00DF6157" w:rsidRPr="002A488E">
        <w:rPr>
          <w:noProof/>
          <w:sz w:val="20"/>
          <w:szCs w:val="20"/>
        </w:rPr>
        <w:t>. In dat geval moeten de</w:t>
      </w:r>
      <w:r w:rsidR="00323AA7" w:rsidRPr="002A488E">
        <w:rPr>
          <w:noProof/>
          <w:sz w:val="20"/>
          <w:szCs w:val="20"/>
        </w:rPr>
        <w:t xml:space="preserve"> schaalscores</w:t>
      </w:r>
      <w:r w:rsidR="00DF6157" w:rsidRPr="002A488E">
        <w:rPr>
          <w:noProof/>
          <w:sz w:val="20"/>
          <w:szCs w:val="20"/>
        </w:rPr>
        <w:t xml:space="preserve"> </w:t>
      </w:r>
      <w:r w:rsidR="007A5E4A" w:rsidRPr="002A488E">
        <w:rPr>
          <w:noProof/>
          <w:sz w:val="20"/>
          <w:szCs w:val="20"/>
        </w:rPr>
        <w:t>‘</w:t>
      </w:r>
      <w:r w:rsidR="00DF6157" w:rsidRPr="002A488E">
        <w:rPr>
          <w:noProof/>
          <w:sz w:val="20"/>
          <w:szCs w:val="20"/>
        </w:rPr>
        <w:t>met de hand</w:t>
      </w:r>
      <w:r w:rsidR="007A5E4A" w:rsidRPr="002A488E">
        <w:rPr>
          <w:noProof/>
          <w:sz w:val="20"/>
          <w:szCs w:val="20"/>
        </w:rPr>
        <w:t>’</w:t>
      </w:r>
      <w:r w:rsidR="00DF6157" w:rsidRPr="002A488E">
        <w:rPr>
          <w:noProof/>
          <w:sz w:val="20"/>
          <w:szCs w:val="20"/>
        </w:rPr>
        <w:t xml:space="preserve"> </w:t>
      </w:r>
      <w:r w:rsidR="00323AA7" w:rsidRPr="002A488E">
        <w:rPr>
          <w:noProof/>
          <w:sz w:val="20"/>
          <w:szCs w:val="20"/>
        </w:rPr>
        <w:t>bepaald worden op basis van itemscores</w:t>
      </w:r>
      <w:r w:rsidR="00476825" w:rsidRPr="002A488E">
        <w:rPr>
          <w:noProof/>
          <w:sz w:val="20"/>
          <w:szCs w:val="20"/>
        </w:rPr>
        <w:t xml:space="preserve"> (optellen of middelden van de juiste item-scores volgens de instructie van de vragenlijst</w:t>
      </w:r>
      <w:r w:rsidR="003D36C2">
        <w:rPr>
          <w:noProof/>
          <w:sz w:val="20"/>
          <w:szCs w:val="20"/>
        </w:rPr>
        <w:t>)</w:t>
      </w:r>
      <w:r w:rsidR="00323AA7" w:rsidRPr="002A488E">
        <w:rPr>
          <w:noProof/>
          <w:sz w:val="20"/>
          <w:szCs w:val="20"/>
        </w:rPr>
        <w:t xml:space="preserve">. De schaalscores kunnen </w:t>
      </w:r>
      <w:r w:rsidR="00A809B1">
        <w:rPr>
          <w:noProof/>
          <w:sz w:val="20"/>
          <w:szCs w:val="20"/>
        </w:rPr>
        <w:t xml:space="preserve">dan </w:t>
      </w:r>
      <w:r w:rsidR="00815459" w:rsidRPr="002A488E">
        <w:rPr>
          <w:noProof/>
          <w:sz w:val="20"/>
          <w:szCs w:val="20"/>
        </w:rPr>
        <w:t xml:space="preserve">vervolgens </w:t>
      </w:r>
      <w:r w:rsidR="00DF6157" w:rsidRPr="002A488E">
        <w:rPr>
          <w:noProof/>
          <w:sz w:val="20"/>
          <w:szCs w:val="20"/>
        </w:rPr>
        <w:t>ingevuld worden onder de kolom “</w:t>
      </w:r>
      <w:r w:rsidR="00DF6157" w:rsidRPr="002A488E">
        <w:rPr>
          <w:b/>
          <w:bCs/>
          <w:noProof/>
          <w:sz w:val="20"/>
          <w:szCs w:val="20"/>
        </w:rPr>
        <w:t>Ruwe score:</w:t>
      </w:r>
      <w:r w:rsidR="00DF6157" w:rsidRPr="002A488E">
        <w:rPr>
          <w:noProof/>
          <w:sz w:val="20"/>
          <w:szCs w:val="20"/>
        </w:rPr>
        <w:t>”.</w:t>
      </w:r>
      <w:r w:rsidR="00815459" w:rsidRPr="002A488E">
        <w:rPr>
          <w:noProof/>
          <w:sz w:val="20"/>
          <w:szCs w:val="20"/>
        </w:rPr>
        <w:t xml:space="preserve"> Ingevulde ruwe schaalscores worden omgezet naar T- en PR-scores</w:t>
      </w:r>
      <w:r w:rsidR="00E022C5" w:rsidRPr="002A488E">
        <w:rPr>
          <w:noProof/>
          <w:sz w:val="20"/>
          <w:szCs w:val="20"/>
        </w:rPr>
        <w:t xml:space="preserve"> volgens formules die opgenomen zijn in het werkblad</w:t>
      </w:r>
      <w:r w:rsidR="00815459" w:rsidRPr="002A488E">
        <w:rPr>
          <w:noProof/>
          <w:sz w:val="20"/>
          <w:szCs w:val="20"/>
        </w:rPr>
        <w:t>.</w:t>
      </w:r>
    </w:p>
    <w:p w14:paraId="50BAAFA9" w14:textId="319CC766" w:rsidR="00B60016" w:rsidRPr="002A488E" w:rsidRDefault="00B60016" w:rsidP="00B60016">
      <w:pPr>
        <w:pStyle w:val="Kop2"/>
        <w:rPr>
          <w:noProof/>
          <w:sz w:val="24"/>
          <w:szCs w:val="24"/>
        </w:rPr>
      </w:pPr>
      <w:r w:rsidRPr="002A488E">
        <w:rPr>
          <w:noProof/>
          <w:sz w:val="24"/>
          <w:szCs w:val="24"/>
        </w:rPr>
        <w:t xml:space="preserve">Uitleg T-scores </w:t>
      </w:r>
    </w:p>
    <w:p w14:paraId="3E7DDFF5" w14:textId="556939F5" w:rsidR="00FC7B7B" w:rsidRPr="002A488E" w:rsidRDefault="00D45165">
      <w:pPr>
        <w:rPr>
          <w:noProof/>
          <w:sz w:val="20"/>
          <w:szCs w:val="20"/>
        </w:rPr>
      </w:pPr>
      <w:r w:rsidRPr="002A488E">
        <w:rPr>
          <w:noProof/>
          <w:sz w:val="20"/>
          <w:szCs w:val="20"/>
        </w:rPr>
        <w:t>T-scores zijn standaardscores (Z-scores) die met 10 zijn vermenigvuldigd en met 50 opgehoogd (T = 10*Z + 50). Z</w:t>
      </w:r>
      <w:r w:rsidR="008B2E1D" w:rsidRPr="002A488E">
        <w:rPr>
          <w:noProof/>
          <w:sz w:val="20"/>
          <w:szCs w:val="20"/>
        </w:rPr>
        <w:t>o</w:t>
      </w:r>
      <w:r w:rsidRPr="002A488E">
        <w:rPr>
          <w:noProof/>
          <w:sz w:val="20"/>
          <w:szCs w:val="20"/>
        </w:rPr>
        <w:t xml:space="preserve"> ontstaat een schaal met gelijke intervallen, een gemiddelde van 50</w:t>
      </w:r>
      <w:r w:rsidR="00E022C5" w:rsidRPr="002A488E">
        <w:rPr>
          <w:noProof/>
          <w:sz w:val="20"/>
          <w:szCs w:val="20"/>
        </w:rPr>
        <w:t xml:space="preserve">, </w:t>
      </w:r>
      <w:r w:rsidRPr="002A488E">
        <w:rPr>
          <w:noProof/>
          <w:sz w:val="20"/>
          <w:szCs w:val="20"/>
        </w:rPr>
        <w:t>een standaarddeviatie van 10</w:t>
      </w:r>
      <w:r w:rsidR="00E022C5" w:rsidRPr="002A488E">
        <w:rPr>
          <w:noProof/>
          <w:sz w:val="20"/>
          <w:szCs w:val="20"/>
        </w:rPr>
        <w:t xml:space="preserve"> en in de praktijk een bereik van 20 tot 80</w:t>
      </w:r>
      <w:r w:rsidRPr="002A488E">
        <w:rPr>
          <w:noProof/>
          <w:sz w:val="20"/>
          <w:szCs w:val="20"/>
        </w:rPr>
        <w:t xml:space="preserve">. </w:t>
      </w:r>
      <w:r w:rsidR="008B2E1D" w:rsidRPr="002A488E">
        <w:rPr>
          <w:noProof/>
          <w:sz w:val="20"/>
          <w:szCs w:val="20"/>
        </w:rPr>
        <w:t>Indien de T</w:t>
      </w:r>
      <w:r w:rsidR="0029766E" w:rsidRPr="002A488E">
        <w:rPr>
          <w:noProof/>
          <w:sz w:val="20"/>
          <w:szCs w:val="20"/>
        </w:rPr>
        <w:t>-</w:t>
      </w:r>
      <w:r w:rsidR="008B2E1D" w:rsidRPr="002A488E">
        <w:rPr>
          <w:noProof/>
          <w:sz w:val="20"/>
          <w:szCs w:val="20"/>
        </w:rPr>
        <w:t>scores normaal verdeeld zijn</w:t>
      </w:r>
      <w:r w:rsidRPr="002A488E">
        <w:rPr>
          <w:noProof/>
          <w:sz w:val="20"/>
          <w:szCs w:val="20"/>
        </w:rPr>
        <w:t xml:space="preserve"> </w:t>
      </w:r>
      <w:r w:rsidR="004A389E" w:rsidRPr="002A488E">
        <w:rPr>
          <w:noProof/>
          <w:sz w:val="20"/>
          <w:szCs w:val="20"/>
        </w:rPr>
        <w:t xml:space="preserve">geldt de </w:t>
      </w:r>
      <w:r w:rsidR="00E022C5" w:rsidRPr="002A488E">
        <w:rPr>
          <w:noProof/>
          <w:sz w:val="20"/>
          <w:szCs w:val="20"/>
        </w:rPr>
        <w:t>‘e</w:t>
      </w:r>
      <w:r w:rsidR="004A389E" w:rsidRPr="002A488E">
        <w:rPr>
          <w:noProof/>
          <w:sz w:val="20"/>
          <w:szCs w:val="20"/>
        </w:rPr>
        <w:t xml:space="preserve">mpirische regel’ en </w:t>
      </w:r>
      <w:r w:rsidR="008B2E1D" w:rsidRPr="002A488E">
        <w:rPr>
          <w:noProof/>
          <w:sz w:val="20"/>
          <w:szCs w:val="20"/>
        </w:rPr>
        <w:t xml:space="preserve">heeft </w:t>
      </w:r>
      <w:r w:rsidRPr="002A488E">
        <w:rPr>
          <w:noProof/>
          <w:sz w:val="20"/>
          <w:szCs w:val="20"/>
        </w:rPr>
        <w:t>99,7% van de populatie</w:t>
      </w:r>
      <w:r w:rsidR="008B2E1D" w:rsidRPr="002A488E">
        <w:rPr>
          <w:noProof/>
          <w:sz w:val="20"/>
          <w:szCs w:val="20"/>
        </w:rPr>
        <w:t xml:space="preserve"> een score</w:t>
      </w:r>
      <w:r w:rsidRPr="002A488E">
        <w:rPr>
          <w:noProof/>
          <w:sz w:val="20"/>
          <w:szCs w:val="20"/>
        </w:rPr>
        <w:t xml:space="preserve"> </w:t>
      </w:r>
      <w:r w:rsidR="008B2E1D" w:rsidRPr="002A488E">
        <w:rPr>
          <w:noProof/>
          <w:sz w:val="20"/>
          <w:szCs w:val="20"/>
        </w:rPr>
        <w:t>van</w:t>
      </w:r>
      <w:r w:rsidRPr="002A488E">
        <w:rPr>
          <w:noProof/>
          <w:sz w:val="20"/>
          <w:szCs w:val="20"/>
        </w:rPr>
        <w:t xml:space="preserve"> 20 </w:t>
      </w:r>
      <w:r w:rsidR="008B2E1D" w:rsidRPr="002A488E">
        <w:rPr>
          <w:noProof/>
          <w:sz w:val="20"/>
          <w:szCs w:val="20"/>
        </w:rPr>
        <w:t>tot</w:t>
      </w:r>
      <w:r w:rsidRPr="002A488E">
        <w:rPr>
          <w:noProof/>
          <w:sz w:val="20"/>
          <w:szCs w:val="20"/>
        </w:rPr>
        <w:t xml:space="preserve"> 80, </w:t>
      </w:r>
      <w:r w:rsidR="008B2E1D" w:rsidRPr="002A488E">
        <w:rPr>
          <w:noProof/>
          <w:sz w:val="20"/>
          <w:szCs w:val="20"/>
        </w:rPr>
        <w:t>95% een score van 30 to</w:t>
      </w:r>
      <w:r w:rsidR="0029766E" w:rsidRPr="002A488E">
        <w:rPr>
          <w:noProof/>
          <w:sz w:val="20"/>
          <w:szCs w:val="20"/>
        </w:rPr>
        <w:t>t</w:t>
      </w:r>
      <w:r w:rsidR="008B2E1D" w:rsidRPr="002A488E">
        <w:rPr>
          <w:noProof/>
          <w:sz w:val="20"/>
          <w:szCs w:val="20"/>
        </w:rPr>
        <w:t xml:space="preserve"> 70 en 68% een score van 40 tot 60.</w:t>
      </w:r>
      <w:r w:rsidR="0029766E" w:rsidRPr="002A488E">
        <w:rPr>
          <w:noProof/>
          <w:sz w:val="20"/>
          <w:szCs w:val="20"/>
        </w:rPr>
        <w:t xml:space="preserve"> </w:t>
      </w:r>
      <w:r w:rsidR="007A5E4A" w:rsidRPr="002A488E">
        <w:rPr>
          <w:noProof/>
          <w:sz w:val="20"/>
          <w:szCs w:val="20"/>
        </w:rPr>
        <w:t>Indien de ruwe scores van een instrument niet normaal verdeeld zijn, moeten er eerst genormaliseerde ruwe scores worden gemaakt, voordat ze worden omgezet naar Z-scores en T-scores. Dit kan op basis van de frequentie van voorkomen van ruwe scores in de referentie-populatie (Rankit) of met benadering uit de Item Response Theorie (IRT).</w:t>
      </w:r>
      <w:r w:rsidR="00E022C5" w:rsidRPr="002A488E">
        <w:rPr>
          <w:noProof/>
          <w:sz w:val="20"/>
          <w:szCs w:val="20"/>
        </w:rPr>
        <w:t xml:space="preserve"> Dit resulteert in een formule waarmee de ruwe score naar een </w:t>
      </w:r>
      <w:r w:rsidR="00A809B1">
        <w:rPr>
          <w:noProof/>
          <w:sz w:val="20"/>
          <w:szCs w:val="20"/>
        </w:rPr>
        <w:t xml:space="preserve">genormaliseerde </w:t>
      </w:r>
      <w:r w:rsidR="00E022C5" w:rsidRPr="002A488E">
        <w:rPr>
          <w:noProof/>
          <w:sz w:val="20"/>
          <w:szCs w:val="20"/>
        </w:rPr>
        <w:t>T-score kan worden omgezet.</w:t>
      </w:r>
    </w:p>
    <w:p w14:paraId="77525EEC" w14:textId="1A0A1D9E" w:rsidR="0050545E" w:rsidRPr="002A488E" w:rsidRDefault="0050545E" w:rsidP="0050545E">
      <w:pPr>
        <w:pStyle w:val="Kop2"/>
        <w:rPr>
          <w:noProof/>
          <w:sz w:val="24"/>
          <w:szCs w:val="24"/>
        </w:rPr>
      </w:pPr>
      <w:r w:rsidRPr="002A488E">
        <w:rPr>
          <w:noProof/>
          <w:sz w:val="24"/>
          <w:szCs w:val="24"/>
        </w:rPr>
        <w:t xml:space="preserve">Betekenis van </w:t>
      </w:r>
      <w:r w:rsidR="00B04771" w:rsidRPr="002A488E">
        <w:rPr>
          <w:noProof/>
          <w:sz w:val="24"/>
          <w:szCs w:val="24"/>
        </w:rPr>
        <w:t xml:space="preserve">scores op </w:t>
      </w:r>
      <w:r w:rsidRPr="002A488E">
        <w:rPr>
          <w:noProof/>
          <w:sz w:val="24"/>
          <w:szCs w:val="24"/>
        </w:rPr>
        <w:t>de T-score schaal</w:t>
      </w:r>
    </w:p>
    <w:p w14:paraId="26C15979" w14:textId="64F7F8AD" w:rsidR="00D45165" w:rsidRPr="002A488E" w:rsidRDefault="004A389E">
      <w:pPr>
        <w:rPr>
          <w:noProof/>
          <w:sz w:val="20"/>
          <w:szCs w:val="20"/>
        </w:rPr>
      </w:pPr>
      <w:r w:rsidRPr="002A488E">
        <w:rPr>
          <w:noProof/>
          <w:sz w:val="20"/>
          <w:szCs w:val="20"/>
        </w:rPr>
        <w:t>De</w:t>
      </w:r>
      <w:r w:rsidR="0029766E" w:rsidRPr="002A488E">
        <w:rPr>
          <w:noProof/>
          <w:sz w:val="20"/>
          <w:szCs w:val="20"/>
        </w:rPr>
        <w:t xml:space="preserve"> score op een instrument </w:t>
      </w:r>
      <w:r w:rsidR="00FC7B7B" w:rsidRPr="002A488E">
        <w:rPr>
          <w:noProof/>
          <w:sz w:val="20"/>
          <w:szCs w:val="20"/>
        </w:rPr>
        <w:t xml:space="preserve">kan twee kanten opgaan: </w:t>
      </w:r>
      <w:r w:rsidRPr="002A488E">
        <w:rPr>
          <w:noProof/>
          <w:sz w:val="20"/>
          <w:szCs w:val="20"/>
        </w:rPr>
        <w:t xml:space="preserve">1. </w:t>
      </w:r>
      <w:r w:rsidR="0029766E" w:rsidRPr="002A488E">
        <w:rPr>
          <w:noProof/>
          <w:sz w:val="20"/>
          <w:szCs w:val="20"/>
        </w:rPr>
        <w:t xml:space="preserve">een hogere score kan meer last van </w:t>
      </w:r>
      <w:r w:rsidR="00A809B1">
        <w:rPr>
          <w:noProof/>
          <w:sz w:val="20"/>
          <w:szCs w:val="20"/>
        </w:rPr>
        <w:t xml:space="preserve">klachten of ernstigere </w:t>
      </w:r>
      <w:r w:rsidR="0029766E" w:rsidRPr="002A488E">
        <w:rPr>
          <w:noProof/>
          <w:sz w:val="20"/>
          <w:szCs w:val="20"/>
        </w:rPr>
        <w:t xml:space="preserve">symptomen aangeven, </w:t>
      </w:r>
      <w:r w:rsidRPr="002A488E">
        <w:rPr>
          <w:noProof/>
          <w:sz w:val="20"/>
          <w:szCs w:val="20"/>
        </w:rPr>
        <w:t>zoals geldt bij veel instrumenten die de ernst van psychopathologie meten; 2.</w:t>
      </w:r>
      <w:r w:rsidR="0029766E" w:rsidRPr="002A488E">
        <w:rPr>
          <w:noProof/>
          <w:sz w:val="20"/>
          <w:szCs w:val="20"/>
        </w:rPr>
        <w:t xml:space="preserve"> een hogere score </w:t>
      </w:r>
      <w:r w:rsidRPr="002A488E">
        <w:rPr>
          <w:noProof/>
          <w:sz w:val="20"/>
          <w:szCs w:val="20"/>
        </w:rPr>
        <w:t xml:space="preserve">kan </w:t>
      </w:r>
      <w:r w:rsidR="0029766E" w:rsidRPr="002A488E">
        <w:rPr>
          <w:noProof/>
          <w:sz w:val="20"/>
          <w:szCs w:val="20"/>
        </w:rPr>
        <w:t>meer welbevinden, beter functioneren of meer kwaliteit van leven aangeven</w:t>
      </w:r>
      <w:r w:rsidR="00FC7B7B" w:rsidRPr="002A488E">
        <w:rPr>
          <w:noProof/>
          <w:sz w:val="20"/>
          <w:szCs w:val="20"/>
        </w:rPr>
        <w:t xml:space="preserve">. </w:t>
      </w:r>
      <w:r w:rsidR="007B4616" w:rsidRPr="002A488E">
        <w:rPr>
          <w:noProof/>
          <w:sz w:val="20"/>
          <w:szCs w:val="20"/>
        </w:rPr>
        <w:t>Afhankelijk van de richting van de scores zijn er twee interpretaties van  T-scores</w:t>
      </w:r>
      <w:r w:rsidR="0015555B">
        <w:rPr>
          <w:noProof/>
          <w:sz w:val="20"/>
          <w:szCs w:val="20"/>
        </w:rPr>
        <w:t>, zoals weergegeven in Figuur 2.</w:t>
      </w:r>
    </w:p>
    <w:p w14:paraId="567B3D60" w14:textId="221EFE01" w:rsidR="00A809B1" w:rsidRDefault="00A809B1">
      <w:pPr>
        <w:rPr>
          <w:sz w:val="20"/>
          <w:szCs w:val="20"/>
        </w:rPr>
      </w:pPr>
      <w:r>
        <w:rPr>
          <w:sz w:val="20"/>
          <w:szCs w:val="20"/>
        </w:rPr>
        <w:t xml:space="preserve">Figuur </w:t>
      </w:r>
      <w:r w:rsidR="0015555B">
        <w:rPr>
          <w:sz w:val="20"/>
          <w:szCs w:val="20"/>
        </w:rPr>
        <w:t>2</w:t>
      </w:r>
      <w:r>
        <w:rPr>
          <w:sz w:val="20"/>
          <w:szCs w:val="20"/>
        </w:rPr>
        <w:t>. Betekenis van T-scores.</w:t>
      </w:r>
    </w:p>
    <w:p w14:paraId="2C1E93FD" w14:textId="6484D20E" w:rsidR="00B60016" w:rsidRPr="002A488E" w:rsidRDefault="00B60016" w:rsidP="004F7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A488E">
        <w:rPr>
          <w:sz w:val="20"/>
          <w:szCs w:val="20"/>
        </w:rPr>
        <w:t>Bij klachten en symptomen:</w:t>
      </w:r>
    </w:p>
    <w:p w14:paraId="08DAEDF9" w14:textId="7CBEE973" w:rsidR="004F2E78" w:rsidRPr="002A488E" w:rsidRDefault="0083477F" w:rsidP="004F7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A488E">
        <w:rPr>
          <w:noProof/>
          <w:sz w:val="20"/>
          <w:szCs w:val="20"/>
        </w:rPr>
        <w:drawing>
          <wp:inline distT="0" distB="0" distL="0" distR="0" wp14:anchorId="430EE028" wp14:editId="1949CC7B">
            <wp:extent cx="5031843" cy="1058284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627" cy="10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6AF2" w14:textId="01745972" w:rsidR="004F2E78" w:rsidRPr="002A488E" w:rsidRDefault="004F2E78" w:rsidP="004F7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A488E">
        <w:rPr>
          <w:sz w:val="20"/>
          <w:szCs w:val="20"/>
        </w:rPr>
        <w:t>Bij functioneren of welbevinden:</w:t>
      </w:r>
    </w:p>
    <w:p w14:paraId="67982AA0" w14:textId="1F97310A" w:rsidR="004F2E78" w:rsidRPr="002A488E" w:rsidRDefault="0083477F" w:rsidP="004F7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A488E">
        <w:rPr>
          <w:noProof/>
          <w:sz w:val="20"/>
          <w:szCs w:val="20"/>
        </w:rPr>
        <w:lastRenderedPageBreak/>
        <w:drawing>
          <wp:inline distT="0" distB="0" distL="0" distR="0" wp14:anchorId="06411C83" wp14:editId="7DAD99E0">
            <wp:extent cx="5005415" cy="1012449"/>
            <wp:effectExtent l="0" t="0" r="508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045" cy="10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F231" w14:textId="6A226F04" w:rsidR="00DF0655" w:rsidRPr="002A488E" w:rsidRDefault="00DF0655" w:rsidP="00DF0655">
      <w:pPr>
        <w:pStyle w:val="Kop2"/>
        <w:rPr>
          <w:sz w:val="24"/>
          <w:szCs w:val="24"/>
        </w:rPr>
      </w:pPr>
      <w:r w:rsidRPr="002A488E">
        <w:rPr>
          <w:sz w:val="24"/>
          <w:szCs w:val="24"/>
        </w:rPr>
        <w:t xml:space="preserve">Uitleg </w:t>
      </w:r>
      <w:r w:rsidRPr="002A488E">
        <w:rPr>
          <w:noProof/>
          <w:sz w:val="24"/>
          <w:szCs w:val="24"/>
        </w:rPr>
        <w:t>PR</w:t>
      </w:r>
      <w:r w:rsidR="002A488E">
        <w:rPr>
          <w:noProof/>
          <w:sz w:val="24"/>
          <w:szCs w:val="24"/>
        </w:rPr>
        <w:t>-</w:t>
      </w:r>
      <w:r w:rsidRPr="002A488E">
        <w:rPr>
          <w:noProof/>
          <w:sz w:val="24"/>
          <w:szCs w:val="24"/>
        </w:rPr>
        <w:t>scores</w:t>
      </w:r>
      <w:r w:rsidRPr="002A488E">
        <w:rPr>
          <w:sz w:val="24"/>
          <w:szCs w:val="24"/>
        </w:rPr>
        <w:t xml:space="preserve"> </w:t>
      </w:r>
    </w:p>
    <w:p w14:paraId="3BF5D4EB" w14:textId="62C9FCFE" w:rsidR="00D45165" w:rsidRPr="002A488E" w:rsidRDefault="00D45165">
      <w:pPr>
        <w:rPr>
          <w:sz w:val="20"/>
          <w:szCs w:val="20"/>
        </w:rPr>
      </w:pPr>
      <w:r w:rsidRPr="002A488E">
        <w:rPr>
          <w:sz w:val="20"/>
          <w:szCs w:val="20"/>
        </w:rPr>
        <w:t xml:space="preserve">Percentiel Rangorde </w:t>
      </w:r>
      <w:r w:rsidR="00F44B36" w:rsidRPr="002A488E">
        <w:rPr>
          <w:sz w:val="20"/>
          <w:szCs w:val="20"/>
        </w:rPr>
        <w:t xml:space="preserve">(PR) </w:t>
      </w:r>
      <w:r w:rsidRPr="002A488E">
        <w:rPr>
          <w:sz w:val="20"/>
          <w:szCs w:val="20"/>
        </w:rPr>
        <w:t xml:space="preserve">scores geven </w:t>
      </w:r>
      <w:r w:rsidR="004A389E" w:rsidRPr="002A488E">
        <w:rPr>
          <w:sz w:val="20"/>
          <w:szCs w:val="20"/>
        </w:rPr>
        <w:t xml:space="preserve">voor een ruwe score </w:t>
      </w:r>
      <w:r w:rsidRPr="002A488E">
        <w:rPr>
          <w:sz w:val="20"/>
          <w:szCs w:val="20"/>
        </w:rPr>
        <w:t xml:space="preserve">het percentage van de </w:t>
      </w:r>
      <w:r w:rsidR="00F44B36" w:rsidRPr="002A488E">
        <w:rPr>
          <w:sz w:val="20"/>
          <w:szCs w:val="20"/>
        </w:rPr>
        <w:t>vergelijkingsgroep</w:t>
      </w:r>
      <w:r w:rsidRPr="002A488E">
        <w:rPr>
          <w:sz w:val="20"/>
          <w:szCs w:val="20"/>
        </w:rPr>
        <w:t xml:space="preserve"> weer </w:t>
      </w:r>
      <w:r w:rsidR="008B2E1D" w:rsidRPr="002A488E">
        <w:rPr>
          <w:sz w:val="20"/>
          <w:szCs w:val="20"/>
        </w:rPr>
        <w:t>dat</w:t>
      </w:r>
      <w:r w:rsidRPr="002A488E">
        <w:rPr>
          <w:sz w:val="20"/>
          <w:szCs w:val="20"/>
        </w:rPr>
        <w:t xml:space="preserve"> </w:t>
      </w:r>
      <w:r w:rsidR="004A389E" w:rsidRPr="002A488E">
        <w:rPr>
          <w:sz w:val="20"/>
          <w:szCs w:val="20"/>
        </w:rPr>
        <w:t>“</w:t>
      </w:r>
      <w:r w:rsidRPr="002A488E">
        <w:rPr>
          <w:sz w:val="20"/>
          <w:szCs w:val="20"/>
        </w:rPr>
        <w:t>een gelijke of lagere score</w:t>
      </w:r>
      <w:r w:rsidR="008B2E1D" w:rsidRPr="002A488E">
        <w:rPr>
          <w:sz w:val="20"/>
          <w:szCs w:val="20"/>
        </w:rPr>
        <w:t xml:space="preserve"> heeft</w:t>
      </w:r>
      <w:r w:rsidR="004A389E" w:rsidRPr="002A488E">
        <w:rPr>
          <w:sz w:val="20"/>
          <w:szCs w:val="20"/>
        </w:rPr>
        <w:t>”</w:t>
      </w:r>
      <w:r w:rsidRPr="002A488E">
        <w:rPr>
          <w:sz w:val="20"/>
          <w:szCs w:val="20"/>
        </w:rPr>
        <w:t>.</w:t>
      </w:r>
      <w:r w:rsidR="00C84C49" w:rsidRPr="002A488E">
        <w:rPr>
          <w:sz w:val="20"/>
          <w:szCs w:val="20"/>
        </w:rPr>
        <w:t xml:space="preserve"> </w:t>
      </w:r>
      <w:r w:rsidR="00A809B1">
        <w:rPr>
          <w:sz w:val="20"/>
          <w:szCs w:val="20"/>
        </w:rPr>
        <w:t>PR-scores spreken intuïtief aan en zijn eenvoudig te begrijpen. Maar, i</w:t>
      </w:r>
      <w:r w:rsidR="00D60FC2" w:rsidRPr="002A488E">
        <w:rPr>
          <w:sz w:val="20"/>
          <w:szCs w:val="20"/>
        </w:rPr>
        <w:t>n tegenstelling tot T-scores</w:t>
      </w:r>
      <w:r w:rsidR="00A809B1">
        <w:rPr>
          <w:sz w:val="20"/>
          <w:szCs w:val="20"/>
        </w:rPr>
        <w:t>,</w:t>
      </w:r>
      <w:r w:rsidR="00D60FC2" w:rsidRPr="002A488E">
        <w:rPr>
          <w:sz w:val="20"/>
          <w:szCs w:val="20"/>
        </w:rPr>
        <w:t xml:space="preserve"> hebben </w:t>
      </w:r>
      <w:r w:rsidR="008B2E1D" w:rsidRPr="002A488E">
        <w:rPr>
          <w:sz w:val="20"/>
          <w:szCs w:val="20"/>
        </w:rPr>
        <w:t>PR</w:t>
      </w:r>
      <w:r w:rsidR="00F44B36" w:rsidRPr="002A488E">
        <w:rPr>
          <w:sz w:val="20"/>
          <w:szCs w:val="20"/>
        </w:rPr>
        <w:t xml:space="preserve">-scores </w:t>
      </w:r>
      <w:r w:rsidR="008B2E1D" w:rsidRPr="002A488E">
        <w:rPr>
          <w:sz w:val="20"/>
          <w:szCs w:val="20"/>
        </w:rPr>
        <w:t xml:space="preserve">geen </w:t>
      </w:r>
      <w:r w:rsidR="00F44B36" w:rsidRPr="002A488E">
        <w:rPr>
          <w:sz w:val="20"/>
          <w:szCs w:val="20"/>
        </w:rPr>
        <w:t xml:space="preserve">schaal met gelijke </w:t>
      </w:r>
      <w:r w:rsidR="008B2E1D" w:rsidRPr="002A488E">
        <w:rPr>
          <w:sz w:val="20"/>
          <w:szCs w:val="20"/>
        </w:rPr>
        <w:t>interval</w:t>
      </w:r>
      <w:r w:rsidR="00F44B36" w:rsidRPr="002A488E">
        <w:rPr>
          <w:sz w:val="20"/>
          <w:szCs w:val="20"/>
        </w:rPr>
        <w:t>len</w:t>
      </w:r>
      <w:r w:rsidR="00C84C49" w:rsidRPr="002A488E">
        <w:rPr>
          <w:sz w:val="20"/>
          <w:szCs w:val="20"/>
        </w:rPr>
        <w:t>. R</w:t>
      </w:r>
      <w:r w:rsidR="008B2E1D" w:rsidRPr="002A488E">
        <w:rPr>
          <w:sz w:val="20"/>
          <w:szCs w:val="20"/>
        </w:rPr>
        <w:t xml:space="preserve">ond het gemiddelde </w:t>
      </w:r>
      <w:r w:rsidR="00F44B36" w:rsidRPr="002A488E">
        <w:rPr>
          <w:sz w:val="20"/>
          <w:szCs w:val="20"/>
        </w:rPr>
        <w:t xml:space="preserve">van 50 </w:t>
      </w:r>
      <w:r w:rsidR="008B2E1D" w:rsidRPr="002A488E">
        <w:rPr>
          <w:sz w:val="20"/>
          <w:szCs w:val="20"/>
        </w:rPr>
        <w:t xml:space="preserve">worden verschillen tussen respondenten </w:t>
      </w:r>
      <w:r w:rsidR="002A488E">
        <w:rPr>
          <w:sz w:val="20"/>
          <w:szCs w:val="20"/>
        </w:rPr>
        <w:t>in vergelijking met</w:t>
      </w:r>
      <w:r w:rsidR="008B2E1D" w:rsidRPr="002A488E">
        <w:rPr>
          <w:sz w:val="20"/>
          <w:szCs w:val="20"/>
        </w:rPr>
        <w:t xml:space="preserve"> de T-score schaal 4 keer uitvergroot</w:t>
      </w:r>
      <w:r w:rsidR="002A488E">
        <w:rPr>
          <w:sz w:val="20"/>
          <w:szCs w:val="20"/>
        </w:rPr>
        <w:t xml:space="preserve">. </w:t>
      </w:r>
      <w:r w:rsidR="004A389E" w:rsidRPr="002A488E">
        <w:rPr>
          <w:sz w:val="20"/>
          <w:szCs w:val="20"/>
        </w:rPr>
        <w:t>T-scores van 45 tot 55 corresponderen met PR-scores van 30 tot 70. A</w:t>
      </w:r>
      <w:r w:rsidR="008B2E1D" w:rsidRPr="002A488E">
        <w:rPr>
          <w:sz w:val="20"/>
          <w:szCs w:val="20"/>
        </w:rPr>
        <w:t xml:space="preserve">an de uiteinden van de </w:t>
      </w:r>
      <w:r w:rsidR="00F44B36" w:rsidRPr="002A488E">
        <w:rPr>
          <w:sz w:val="20"/>
          <w:szCs w:val="20"/>
        </w:rPr>
        <w:t>PR-</w:t>
      </w:r>
      <w:r w:rsidR="008B2E1D" w:rsidRPr="002A488E">
        <w:rPr>
          <w:sz w:val="20"/>
          <w:szCs w:val="20"/>
        </w:rPr>
        <w:t>schaal worden verschillen</w:t>
      </w:r>
      <w:r w:rsidR="004A389E" w:rsidRPr="002A488E">
        <w:rPr>
          <w:sz w:val="20"/>
          <w:szCs w:val="20"/>
        </w:rPr>
        <w:t xml:space="preserve"> tussen ruwe scores </w:t>
      </w:r>
      <w:r w:rsidR="00D60FC2" w:rsidRPr="002A488E">
        <w:rPr>
          <w:sz w:val="20"/>
          <w:szCs w:val="20"/>
        </w:rPr>
        <w:t>op</w:t>
      </w:r>
      <w:r w:rsidR="004A389E" w:rsidRPr="002A488E">
        <w:rPr>
          <w:sz w:val="20"/>
          <w:szCs w:val="20"/>
        </w:rPr>
        <w:t xml:space="preserve"> de PR</w:t>
      </w:r>
      <w:r w:rsidR="008B2E1D" w:rsidRPr="002A488E">
        <w:rPr>
          <w:sz w:val="20"/>
          <w:szCs w:val="20"/>
        </w:rPr>
        <w:t xml:space="preserve"> </w:t>
      </w:r>
      <w:r w:rsidR="00D60FC2" w:rsidRPr="002A488E">
        <w:rPr>
          <w:sz w:val="20"/>
          <w:szCs w:val="20"/>
        </w:rPr>
        <w:t xml:space="preserve">schaal </w:t>
      </w:r>
      <w:r w:rsidR="008B2E1D" w:rsidRPr="002A488E">
        <w:rPr>
          <w:sz w:val="20"/>
          <w:szCs w:val="20"/>
        </w:rPr>
        <w:t>juist verkleind</w:t>
      </w:r>
      <w:r w:rsidR="004A389E" w:rsidRPr="002A488E">
        <w:rPr>
          <w:sz w:val="20"/>
          <w:szCs w:val="20"/>
        </w:rPr>
        <w:t xml:space="preserve">; de range </w:t>
      </w:r>
      <w:r w:rsidR="002A488E">
        <w:rPr>
          <w:sz w:val="20"/>
          <w:szCs w:val="20"/>
        </w:rPr>
        <w:t xml:space="preserve">in T-score </w:t>
      </w:r>
      <w:r w:rsidR="004A389E" w:rsidRPr="002A488E">
        <w:rPr>
          <w:sz w:val="20"/>
          <w:szCs w:val="20"/>
        </w:rPr>
        <w:t>van 70 tot 80 is slecht</w:t>
      </w:r>
      <w:r w:rsidR="002A488E">
        <w:rPr>
          <w:sz w:val="20"/>
          <w:szCs w:val="20"/>
        </w:rPr>
        <w:t>s</w:t>
      </w:r>
      <w:r w:rsidR="004A389E" w:rsidRPr="002A488E">
        <w:rPr>
          <w:sz w:val="20"/>
          <w:szCs w:val="20"/>
        </w:rPr>
        <w:t xml:space="preserve"> 3 percentiel </w:t>
      </w:r>
      <w:r w:rsidR="00D60FC2" w:rsidRPr="002A488E">
        <w:rPr>
          <w:sz w:val="20"/>
          <w:szCs w:val="20"/>
        </w:rPr>
        <w:t xml:space="preserve">rangorde </w:t>
      </w:r>
      <w:r w:rsidR="004A389E" w:rsidRPr="002A488E">
        <w:rPr>
          <w:sz w:val="20"/>
          <w:szCs w:val="20"/>
        </w:rPr>
        <w:t>punten</w:t>
      </w:r>
      <w:r w:rsidR="002A488E">
        <w:rPr>
          <w:sz w:val="20"/>
          <w:szCs w:val="20"/>
        </w:rPr>
        <w:t xml:space="preserve"> breed (PR 97 tot 99.9)</w:t>
      </w:r>
      <w:r w:rsidR="008B2E1D" w:rsidRPr="002A488E">
        <w:rPr>
          <w:sz w:val="20"/>
          <w:szCs w:val="20"/>
        </w:rPr>
        <w:t xml:space="preserve">. </w:t>
      </w:r>
      <w:r w:rsidR="0015555B">
        <w:rPr>
          <w:sz w:val="20"/>
          <w:szCs w:val="20"/>
        </w:rPr>
        <w:t xml:space="preserve">Zie ook Figuur 3. </w:t>
      </w:r>
      <w:r w:rsidR="002A488E">
        <w:rPr>
          <w:sz w:val="20"/>
          <w:szCs w:val="20"/>
        </w:rPr>
        <w:t xml:space="preserve">Voor een juiste </w:t>
      </w:r>
      <w:r w:rsidR="00D60FC2" w:rsidRPr="002A488E">
        <w:rPr>
          <w:sz w:val="20"/>
          <w:szCs w:val="20"/>
        </w:rPr>
        <w:t xml:space="preserve">interpretatie van PR-scores moet </w:t>
      </w:r>
      <w:r w:rsidR="002A488E">
        <w:rPr>
          <w:sz w:val="20"/>
          <w:szCs w:val="20"/>
        </w:rPr>
        <w:t>hier</w:t>
      </w:r>
      <w:r w:rsidR="00D60FC2" w:rsidRPr="002A488E">
        <w:rPr>
          <w:sz w:val="20"/>
          <w:szCs w:val="20"/>
        </w:rPr>
        <w:t xml:space="preserve"> rekening mee gehouden worden. </w:t>
      </w:r>
    </w:p>
    <w:p w14:paraId="66210B27" w14:textId="09CBB486" w:rsidR="00B60016" w:rsidRPr="002A488E" w:rsidRDefault="00B60016">
      <w:pPr>
        <w:rPr>
          <w:sz w:val="20"/>
          <w:szCs w:val="20"/>
          <w:lang w:val="fr-FR"/>
        </w:rPr>
      </w:pPr>
      <w:proofErr w:type="spellStart"/>
      <w:r w:rsidRPr="002A488E">
        <w:rPr>
          <w:sz w:val="20"/>
          <w:szCs w:val="20"/>
          <w:lang w:val="fr-FR"/>
        </w:rPr>
        <w:t>Figu</w:t>
      </w:r>
      <w:r w:rsidR="00DF0655" w:rsidRPr="002A488E">
        <w:rPr>
          <w:sz w:val="20"/>
          <w:szCs w:val="20"/>
          <w:lang w:val="fr-FR"/>
        </w:rPr>
        <w:t>u</w:t>
      </w:r>
      <w:r w:rsidRPr="002A488E">
        <w:rPr>
          <w:sz w:val="20"/>
          <w:szCs w:val="20"/>
          <w:lang w:val="fr-FR"/>
        </w:rPr>
        <w:t>r</w:t>
      </w:r>
      <w:proofErr w:type="spellEnd"/>
      <w:r w:rsidRPr="002A488E">
        <w:rPr>
          <w:sz w:val="20"/>
          <w:szCs w:val="20"/>
          <w:lang w:val="fr-FR"/>
        </w:rPr>
        <w:t xml:space="preserve"> </w:t>
      </w:r>
      <w:r w:rsidR="0015555B">
        <w:rPr>
          <w:sz w:val="20"/>
          <w:szCs w:val="20"/>
          <w:lang w:val="fr-FR"/>
        </w:rPr>
        <w:t>3</w:t>
      </w:r>
      <w:r w:rsidRPr="002A488E">
        <w:rPr>
          <w:sz w:val="20"/>
          <w:szCs w:val="20"/>
          <w:lang w:val="fr-FR"/>
        </w:rPr>
        <w:t xml:space="preserve">. De </w:t>
      </w:r>
      <w:proofErr w:type="spellStart"/>
      <w:r w:rsidRPr="002A488E">
        <w:rPr>
          <w:sz w:val="20"/>
          <w:szCs w:val="20"/>
          <w:lang w:val="fr-FR"/>
        </w:rPr>
        <w:t>relatie</w:t>
      </w:r>
      <w:proofErr w:type="spellEnd"/>
      <w:r w:rsidRPr="002A488E">
        <w:rPr>
          <w:sz w:val="20"/>
          <w:szCs w:val="20"/>
          <w:lang w:val="fr-FR"/>
        </w:rPr>
        <w:t xml:space="preserve"> </w:t>
      </w:r>
      <w:proofErr w:type="spellStart"/>
      <w:r w:rsidRPr="002A488E">
        <w:rPr>
          <w:sz w:val="20"/>
          <w:szCs w:val="20"/>
          <w:lang w:val="fr-FR"/>
        </w:rPr>
        <w:t>tussen</w:t>
      </w:r>
      <w:proofErr w:type="spellEnd"/>
      <w:r w:rsidRPr="002A488E">
        <w:rPr>
          <w:sz w:val="20"/>
          <w:szCs w:val="20"/>
          <w:lang w:val="fr-FR"/>
        </w:rPr>
        <w:t xml:space="preserve"> T-scores en PR-scores.</w:t>
      </w:r>
    </w:p>
    <w:p w14:paraId="35B8803F" w14:textId="67CD9A55" w:rsidR="00317E9A" w:rsidRDefault="00317E9A">
      <w:pPr>
        <w:rPr>
          <w:sz w:val="20"/>
          <w:szCs w:val="20"/>
        </w:rPr>
      </w:pPr>
      <w:r w:rsidRPr="002A488E">
        <w:rPr>
          <w:noProof/>
          <w:sz w:val="20"/>
          <w:szCs w:val="20"/>
        </w:rPr>
        <w:drawing>
          <wp:inline distT="0" distB="0" distL="0" distR="0" wp14:anchorId="3D9FBEE1" wp14:editId="07AA1DE4">
            <wp:extent cx="2365709" cy="2225216"/>
            <wp:effectExtent l="0" t="0" r="0" b="3810"/>
            <wp:docPr id="47712753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782" cy="22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9515" w14:textId="06FC848C" w:rsidR="009E15B4" w:rsidRPr="002A488E" w:rsidRDefault="009E15B4">
      <w:pPr>
        <w:rPr>
          <w:sz w:val="20"/>
          <w:szCs w:val="20"/>
        </w:rPr>
      </w:pPr>
      <w:r w:rsidRPr="002A488E">
        <w:rPr>
          <w:sz w:val="20"/>
          <w:szCs w:val="20"/>
        </w:rPr>
        <w:t xml:space="preserve">De relatie tussen T-scores en PR-scores is weergegeven in Figuur 2. </w:t>
      </w:r>
    </w:p>
    <w:p w14:paraId="4488E697" w14:textId="77777777" w:rsidR="00DF0655" w:rsidRPr="002A488E" w:rsidRDefault="00DF0655" w:rsidP="00DF0655">
      <w:pPr>
        <w:pStyle w:val="Kop2"/>
        <w:rPr>
          <w:sz w:val="24"/>
          <w:szCs w:val="24"/>
        </w:rPr>
      </w:pPr>
      <w:r w:rsidRPr="002A488E">
        <w:rPr>
          <w:sz w:val="24"/>
          <w:szCs w:val="24"/>
        </w:rPr>
        <w:t>Referentiegroepen</w:t>
      </w:r>
    </w:p>
    <w:p w14:paraId="5F18CB4B" w14:textId="273933F2" w:rsidR="00D45165" w:rsidRPr="002A488E" w:rsidRDefault="00D45165">
      <w:pPr>
        <w:rPr>
          <w:sz w:val="20"/>
          <w:szCs w:val="20"/>
        </w:rPr>
      </w:pPr>
      <w:r w:rsidRPr="002A488E">
        <w:rPr>
          <w:sz w:val="20"/>
          <w:szCs w:val="20"/>
        </w:rPr>
        <w:t xml:space="preserve">De referentiegroep </w:t>
      </w:r>
      <w:r w:rsidR="0029766E" w:rsidRPr="002A488E">
        <w:rPr>
          <w:sz w:val="20"/>
          <w:szCs w:val="20"/>
        </w:rPr>
        <w:t xml:space="preserve">voor T-scores </w:t>
      </w:r>
      <w:r w:rsidRPr="002A488E">
        <w:rPr>
          <w:sz w:val="20"/>
          <w:szCs w:val="20"/>
        </w:rPr>
        <w:t>is de algemene Nederlandse bevolking</w:t>
      </w:r>
      <w:r w:rsidR="00F44B36" w:rsidRPr="002A488E">
        <w:rPr>
          <w:sz w:val="20"/>
          <w:szCs w:val="20"/>
        </w:rPr>
        <w:t>.</w:t>
      </w:r>
      <w:r w:rsidRPr="002A488E">
        <w:rPr>
          <w:sz w:val="20"/>
          <w:szCs w:val="20"/>
        </w:rPr>
        <w:t xml:space="preserve"> Voor veel instrumenten wordt uitgesplitst naar mannen en vrouwen en soms naar leeftijdsgroepen. De conversie </w:t>
      </w:r>
      <w:r w:rsidR="00F44B36" w:rsidRPr="002A488E">
        <w:rPr>
          <w:sz w:val="20"/>
          <w:szCs w:val="20"/>
        </w:rPr>
        <w:t>van ruwe scores naar T- of PR</w:t>
      </w:r>
      <w:r w:rsidR="008C7DE3" w:rsidRPr="002A488E">
        <w:rPr>
          <w:sz w:val="20"/>
          <w:szCs w:val="20"/>
        </w:rPr>
        <w:t>-</w:t>
      </w:r>
      <w:r w:rsidR="00F44B36" w:rsidRPr="002A488E">
        <w:rPr>
          <w:sz w:val="20"/>
          <w:szCs w:val="20"/>
        </w:rPr>
        <w:t xml:space="preserve">scores </w:t>
      </w:r>
      <w:r w:rsidR="009E15B4">
        <w:rPr>
          <w:sz w:val="20"/>
          <w:szCs w:val="20"/>
        </w:rPr>
        <w:t xml:space="preserve">in deze werkbladen </w:t>
      </w:r>
      <w:r w:rsidRPr="002A488E">
        <w:rPr>
          <w:sz w:val="20"/>
          <w:szCs w:val="20"/>
        </w:rPr>
        <w:t xml:space="preserve">is gebaseerd op formules die zijn vastgesteld met behulp van curve-fitting voor de kromme die </w:t>
      </w:r>
      <w:r w:rsidR="00F44B36" w:rsidRPr="002A488E">
        <w:rPr>
          <w:sz w:val="20"/>
          <w:szCs w:val="20"/>
        </w:rPr>
        <w:t>hun</w:t>
      </w:r>
      <w:r w:rsidRPr="002A488E">
        <w:rPr>
          <w:sz w:val="20"/>
          <w:szCs w:val="20"/>
        </w:rPr>
        <w:t xml:space="preserve"> relatie beschrijft.</w:t>
      </w:r>
      <w:r w:rsidR="0029766E" w:rsidRPr="002A488E">
        <w:rPr>
          <w:sz w:val="20"/>
          <w:szCs w:val="20"/>
        </w:rPr>
        <w:t xml:space="preserve"> Er worden twee PR-scores geboden voor twee referentiegroepen: de algemene bevolking en een klinische steekproef.</w:t>
      </w:r>
      <w:r w:rsidR="00317E9A" w:rsidRPr="002A488E">
        <w:rPr>
          <w:sz w:val="20"/>
          <w:szCs w:val="20"/>
        </w:rPr>
        <w:t xml:space="preserve"> Hier geldt dus als interpretatie: “De score is hoger of gelijk aan &lt;</w:t>
      </w:r>
      <w:r w:rsidR="00F44B36" w:rsidRPr="002A488E">
        <w:rPr>
          <w:sz w:val="20"/>
          <w:szCs w:val="20"/>
        </w:rPr>
        <w:t>&lt;</w:t>
      </w:r>
      <w:r w:rsidR="00317E9A" w:rsidRPr="002A488E">
        <w:rPr>
          <w:sz w:val="20"/>
          <w:szCs w:val="20"/>
        </w:rPr>
        <w:t>PR-bevolk.</w:t>
      </w:r>
      <w:r w:rsidR="00F44B36" w:rsidRPr="002A488E">
        <w:rPr>
          <w:sz w:val="20"/>
          <w:szCs w:val="20"/>
        </w:rPr>
        <w:t>&gt;</w:t>
      </w:r>
      <w:r w:rsidR="00317E9A" w:rsidRPr="002A488E">
        <w:rPr>
          <w:sz w:val="20"/>
          <w:szCs w:val="20"/>
        </w:rPr>
        <w:t>&gt; % van de algemene bevolking en hoger of gelijk aan &lt;</w:t>
      </w:r>
      <w:r w:rsidR="00F44B36" w:rsidRPr="002A488E">
        <w:rPr>
          <w:sz w:val="20"/>
          <w:szCs w:val="20"/>
        </w:rPr>
        <w:t>&lt;</w:t>
      </w:r>
      <w:r w:rsidR="00317E9A" w:rsidRPr="002A488E">
        <w:rPr>
          <w:sz w:val="20"/>
          <w:szCs w:val="20"/>
        </w:rPr>
        <w:t>PR-</w:t>
      </w:r>
      <w:proofErr w:type="spellStart"/>
      <w:r w:rsidR="00317E9A" w:rsidRPr="002A488E">
        <w:rPr>
          <w:sz w:val="20"/>
          <w:szCs w:val="20"/>
        </w:rPr>
        <w:t>klin</w:t>
      </w:r>
      <w:proofErr w:type="spellEnd"/>
      <w:r w:rsidR="00317E9A" w:rsidRPr="002A488E">
        <w:rPr>
          <w:sz w:val="20"/>
          <w:szCs w:val="20"/>
        </w:rPr>
        <w:t>.</w:t>
      </w:r>
      <w:r w:rsidR="00F44B36" w:rsidRPr="002A488E">
        <w:rPr>
          <w:sz w:val="20"/>
          <w:szCs w:val="20"/>
        </w:rPr>
        <w:t>&gt;</w:t>
      </w:r>
      <w:r w:rsidR="00317E9A" w:rsidRPr="002A488E">
        <w:rPr>
          <w:sz w:val="20"/>
          <w:szCs w:val="20"/>
        </w:rPr>
        <w:t xml:space="preserve">&gt; % van een klinische vergelijkingsgroep”. </w:t>
      </w:r>
    </w:p>
    <w:p w14:paraId="542A1DE1" w14:textId="551729D2" w:rsidR="00DF6157" w:rsidRDefault="00DF6157">
      <w:pPr>
        <w:rPr>
          <w:sz w:val="20"/>
          <w:szCs w:val="20"/>
        </w:rPr>
      </w:pPr>
      <w:r w:rsidRPr="002A488E">
        <w:rPr>
          <w:b/>
          <w:bCs/>
          <w:sz w:val="20"/>
          <w:szCs w:val="20"/>
        </w:rPr>
        <w:t>Waarschuwing:</w:t>
      </w:r>
      <w:r w:rsidRPr="002A488E">
        <w:rPr>
          <w:sz w:val="20"/>
          <w:szCs w:val="20"/>
        </w:rPr>
        <w:t xml:space="preserve"> de meeste velden in het Excel bestand zijn beschermd tegen </w:t>
      </w:r>
      <w:r w:rsidR="00F44B36" w:rsidRPr="002A488E">
        <w:rPr>
          <w:sz w:val="20"/>
          <w:szCs w:val="20"/>
        </w:rPr>
        <w:t xml:space="preserve">het aanbrengen van </w:t>
      </w:r>
      <w:r w:rsidRPr="002A488E">
        <w:rPr>
          <w:sz w:val="20"/>
          <w:szCs w:val="20"/>
        </w:rPr>
        <w:t>verandering</w:t>
      </w:r>
      <w:r w:rsidR="00F44B36" w:rsidRPr="002A488E">
        <w:rPr>
          <w:sz w:val="20"/>
          <w:szCs w:val="20"/>
        </w:rPr>
        <w:t>en</w:t>
      </w:r>
      <w:r w:rsidRPr="002A488E">
        <w:rPr>
          <w:sz w:val="20"/>
          <w:szCs w:val="20"/>
        </w:rPr>
        <w:t xml:space="preserve">. De bescherming kan zonder wachtwoord worden verwijderd, maar verwijdering kan bij onoordeelkundig gebruik tot verandering van de formules en zo tot beschadiging van de functionaliteit </w:t>
      </w:r>
      <w:r w:rsidR="004F7B43">
        <w:rPr>
          <w:sz w:val="20"/>
          <w:szCs w:val="20"/>
        </w:rPr>
        <w:t xml:space="preserve">van het werkblad </w:t>
      </w:r>
      <w:r w:rsidRPr="002A488E">
        <w:rPr>
          <w:sz w:val="20"/>
          <w:szCs w:val="20"/>
        </w:rPr>
        <w:t>leiden.</w:t>
      </w:r>
      <w:r w:rsidR="004F7B43">
        <w:rPr>
          <w:sz w:val="20"/>
          <w:szCs w:val="20"/>
        </w:rPr>
        <w:t xml:space="preserve"> Oplossing is dan om het bestand opnieuw te downloaden van de server.</w:t>
      </w:r>
    </w:p>
    <w:p w14:paraId="74AC3B9F" w14:textId="7245A45B" w:rsidR="004F7B43" w:rsidRPr="0015555B" w:rsidRDefault="004F7B43">
      <w:pPr>
        <w:rPr>
          <w:b/>
          <w:bCs/>
          <w:sz w:val="20"/>
          <w:szCs w:val="20"/>
        </w:rPr>
      </w:pPr>
      <w:r w:rsidRPr="0015555B">
        <w:rPr>
          <w:b/>
          <w:bCs/>
          <w:sz w:val="20"/>
          <w:szCs w:val="20"/>
        </w:rPr>
        <w:t>Vragen?</w:t>
      </w:r>
    </w:p>
    <w:p w14:paraId="74BF1E28" w14:textId="473FAB6F" w:rsidR="004F7B43" w:rsidRPr="002A488E" w:rsidRDefault="004F7B43">
      <w:pPr>
        <w:rPr>
          <w:sz w:val="20"/>
          <w:szCs w:val="20"/>
        </w:rPr>
      </w:pPr>
      <w:r>
        <w:rPr>
          <w:sz w:val="20"/>
          <w:szCs w:val="20"/>
        </w:rPr>
        <w:t>Vragen of opmerkingen kunt u richten</w:t>
      </w:r>
      <w:r w:rsidR="0015555B">
        <w:rPr>
          <w:sz w:val="20"/>
          <w:szCs w:val="20"/>
        </w:rPr>
        <w:t xml:space="preserve"> tot edebeurs@gmail.com.</w:t>
      </w:r>
    </w:p>
    <w:p w14:paraId="33864591" w14:textId="12523456" w:rsidR="00D45165" w:rsidRPr="002A488E" w:rsidRDefault="00815459">
      <w:pPr>
        <w:rPr>
          <w:b/>
          <w:bCs/>
          <w:sz w:val="20"/>
          <w:szCs w:val="20"/>
        </w:rPr>
      </w:pPr>
      <w:r w:rsidRPr="002A488E">
        <w:rPr>
          <w:b/>
          <w:bCs/>
          <w:sz w:val="20"/>
          <w:szCs w:val="20"/>
        </w:rPr>
        <w:t>Meer lezen?</w:t>
      </w:r>
    </w:p>
    <w:p w14:paraId="21C199C7" w14:textId="7580425C" w:rsidR="00815459" w:rsidRPr="002A488E" w:rsidRDefault="00815459" w:rsidP="00815459">
      <w:pPr>
        <w:numPr>
          <w:ilvl w:val="0"/>
          <w:numId w:val="1"/>
        </w:numPr>
        <w:rPr>
          <w:sz w:val="20"/>
          <w:szCs w:val="20"/>
        </w:rPr>
      </w:pPr>
      <w:r w:rsidRPr="002A488E">
        <w:rPr>
          <w:sz w:val="20"/>
          <w:szCs w:val="20"/>
        </w:rPr>
        <w:lastRenderedPageBreak/>
        <w:t>de Beurs, E. (2010). De genormaliseerde T-score, een 'euro' voor testuitslagen</w:t>
      </w:r>
      <w:r w:rsidR="009E15B4">
        <w:rPr>
          <w:sz w:val="20"/>
          <w:szCs w:val="20"/>
        </w:rPr>
        <w:t xml:space="preserve">. </w:t>
      </w:r>
      <w:r w:rsidRPr="002A488E">
        <w:rPr>
          <w:i/>
          <w:iCs/>
          <w:sz w:val="20"/>
          <w:szCs w:val="20"/>
        </w:rPr>
        <w:t>Maandblad Geestelijke Volksgezondheid, 65, 684-695.</w:t>
      </w:r>
    </w:p>
    <w:p w14:paraId="1B351C32" w14:textId="547EC2A6" w:rsidR="00815459" w:rsidRPr="002A488E" w:rsidRDefault="00815459" w:rsidP="00815459">
      <w:pPr>
        <w:numPr>
          <w:ilvl w:val="0"/>
          <w:numId w:val="1"/>
        </w:numPr>
        <w:rPr>
          <w:sz w:val="20"/>
          <w:szCs w:val="20"/>
        </w:rPr>
      </w:pPr>
      <w:r w:rsidRPr="002A488E">
        <w:rPr>
          <w:sz w:val="20"/>
          <w:szCs w:val="20"/>
        </w:rPr>
        <w:t xml:space="preserve">de Beurs, E., Flens, G., &amp; Williams, G. (2019). Meetresultaten interpreteren in de klinische psychologie: een aantal voorstellen. </w:t>
      </w:r>
      <w:r w:rsidRPr="002A488E">
        <w:rPr>
          <w:i/>
          <w:iCs/>
          <w:sz w:val="20"/>
          <w:szCs w:val="20"/>
        </w:rPr>
        <w:t xml:space="preserve">De Psycholoog, 54(6), 10-23. </w:t>
      </w:r>
    </w:p>
    <w:p w14:paraId="5F8766C8" w14:textId="77777777" w:rsidR="00815459" w:rsidRPr="002A488E" w:rsidRDefault="00815459" w:rsidP="00815459">
      <w:pPr>
        <w:numPr>
          <w:ilvl w:val="0"/>
          <w:numId w:val="1"/>
        </w:numPr>
        <w:rPr>
          <w:sz w:val="20"/>
          <w:szCs w:val="20"/>
        </w:rPr>
      </w:pPr>
      <w:r w:rsidRPr="002A488E">
        <w:rPr>
          <w:sz w:val="20"/>
          <w:szCs w:val="20"/>
        </w:rPr>
        <w:t xml:space="preserve">de Beurs, E., Boehnke, J., &amp; Fried, E. I. (2022). </w:t>
      </w:r>
      <w:r w:rsidRPr="002A488E">
        <w:rPr>
          <w:sz w:val="20"/>
          <w:szCs w:val="20"/>
          <w:lang w:val="en-US"/>
        </w:rPr>
        <w:t xml:space="preserve">Common measures or common metrics? A plea to harmonize measurement results. </w:t>
      </w:r>
      <w:r w:rsidRPr="002A488E">
        <w:rPr>
          <w:i/>
          <w:iCs/>
          <w:sz w:val="20"/>
          <w:szCs w:val="20"/>
          <w:lang w:val="en-US"/>
        </w:rPr>
        <w:t>Clinical Psychology and Psychotherapy, 29(5), 1755-1767. DOI: 10.1002/cpp.2742.</w:t>
      </w:r>
    </w:p>
    <w:p w14:paraId="76AE83DB" w14:textId="1DF7AD80" w:rsidR="00815459" w:rsidRPr="009E15B4" w:rsidRDefault="00815459" w:rsidP="009E15B4">
      <w:pPr>
        <w:numPr>
          <w:ilvl w:val="0"/>
          <w:numId w:val="1"/>
        </w:numPr>
        <w:rPr>
          <w:sz w:val="20"/>
          <w:szCs w:val="20"/>
        </w:rPr>
      </w:pPr>
      <w:r w:rsidRPr="002A488E">
        <w:rPr>
          <w:sz w:val="20"/>
          <w:szCs w:val="20"/>
        </w:rPr>
        <w:t xml:space="preserve">de Beurs, E., Oudejans, S., &amp; Terluin, B. (2022). </w:t>
      </w:r>
      <w:r w:rsidRPr="002A488E">
        <w:rPr>
          <w:sz w:val="20"/>
          <w:szCs w:val="20"/>
          <w:lang w:val="en-US"/>
        </w:rPr>
        <w:t xml:space="preserve">A common measurement scale for scores from self-report instruments in mental health care: T scores with a normal distribution. </w:t>
      </w:r>
      <w:r w:rsidRPr="002A488E">
        <w:rPr>
          <w:i/>
          <w:iCs/>
          <w:sz w:val="20"/>
          <w:szCs w:val="20"/>
          <w:lang w:val="en-US"/>
        </w:rPr>
        <w:t xml:space="preserve">European Journal of Psychological Assessment. </w:t>
      </w:r>
    </w:p>
    <w:sectPr w:rsidR="00815459" w:rsidRPr="009E15B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0F28" w14:textId="77777777" w:rsidR="002A488E" w:rsidRDefault="002A488E" w:rsidP="002A488E">
      <w:pPr>
        <w:spacing w:after="0" w:line="240" w:lineRule="auto"/>
      </w:pPr>
      <w:r>
        <w:separator/>
      </w:r>
    </w:p>
  </w:endnote>
  <w:endnote w:type="continuationSeparator" w:id="0">
    <w:p w14:paraId="033D3B01" w14:textId="77777777" w:rsidR="002A488E" w:rsidRDefault="002A488E" w:rsidP="002A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769185"/>
      <w:docPartObj>
        <w:docPartGallery w:val="Page Numbers (Bottom of Page)"/>
        <w:docPartUnique/>
      </w:docPartObj>
    </w:sdtPr>
    <w:sdtEndPr/>
    <w:sdtContent>
      <w:p w14:paraId="68DC90CD" w14:textId="5C8A11AB" w:rsidR="002A488E" w:rsidRDefault="002A488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86802" w14:textId="77777777" w:rsidR="002A488E" w:rsidRDefault="002A48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6707" w14:textId="77777777" w:rsidR="002A488E" w:rsidRDefault="002A488E" w:rsidP="002A488E">
      <w:pPr>
        <w:spacing w:after="0" w:line="240" w:lineRule="auto"/>
      </w:pPr>
      <w:r>
        <w:separator/>
      </w:r>
    </w:p>
  </w:footnote>
  <w:footnote w:type="continuationSeparator" w:id="0">
    <w:p w14:paraId="51314E38" w14:textId="77777777" w:rsidR="002A488E" w:rsidRDefault="002A488E" w:rsidP="002A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00CE"/>
    <w:multiLevelType w:val="hybridMultilevel"/>
    <w:tmpl w:val="201A0F2E"/>
    <w:lvl w:ilvl="0" w:tplc="AF1C35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740A3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204AB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4CD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6CF1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3059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EB825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35071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7CDF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71392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65"/>
    <w:rsid w:val="00081A29"/>
    <w:rsid w:val="0015555B"/>
    <w:rsid w:val="00167D4A"/>
    <w:rsid w:val="0029766E"/>
    <w:rsid w:val="002A488E"/>
    <w:rsid w:val="00317E9A"/>
    <w:rsid w:val="00323AA7"/>
    <w:rsid w:val="003C62ED"/>
    <w:rsid w:val="003D36C2"/>
    <w:rsid w:val="00476825"/>
    <w:rsid w:val="004A389E"/>
    <w:rsid w:val="004F2E78"/>
    <w:rsid w:val="004F7B43"/>
    <w:rsid w:val="0050545E"/>
    <w:rsid w:val="00554890"/>
    <w:rsid w:val="0058009B"/>
    <w:rsid w:val="006E66FD"/>
    <w:rsid w:val="007A5E4A"/>
    <w:rsid w:val="007B4616"/>
    <w:rsid w:val="00815459"/>
    <w:rsid w:val="0083477F"/>
    <w:rsid w:val="00862552"/>
    <w:rsid w:val="008B2E1D"/>
    <w:rsid w:val="008C7DE3"/>
    <w:rsid w:val="00911734"/>
    <w:rsid w:val="009E15B4"/>
    <w:rsid w:val="00A73DCF"/>
    <w:rsid w:val="00A809B1"/>
    <w:rsid w:val="00B04771"/>
    <w:rsid w:val="00B60016"/>
    <w:rsid w:val="00C7587E"/>
    <w:rsid w:val="00C84C49"/>
    <w:rsid w:val="00CD54FC"/>
    <w:rsid w:val="00D45165"/>
    <w:rsid w:val="00D60FC2"/>
    <w:rsid w:val="00DF0655"/>
    <w:rsid w:val="00DF6157"/>
    <w:rsid w:val="00E022C5"/>
    <w:rsid w:val="00E611D0"/>
    <w:rsid w:val="00F44B36"/>
    <w:rsid w:val="00FA6E9F"/>
    <w:rsid w:val="00FC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323E"/>
  <w15:chartTrackingRefBased/>
  <w15:docId w15:val="{F3152923-6B8B-4D37-BFE3-1215056D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0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0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0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60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A4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488E"/>
  </w:style>
  <w:style w:type="paragraph" w:styleId="Voettekst">
    <w:name w:val="footer"/>
    <w:basedOn w:val="Standaard"/>
    <w:link w:val="VoettekstChar"/>
    <w:uiPriority w:val="99"/>
    <w:unhideWhenUsed/>
    <w:rsid w:val="002A4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3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de Beurs</dc:creator>
  <cp:keywords/>
  <dc:description/>
  <cp:lastModifiedBy>Edwin de Beurs</cp:lastModifiedBy>
  <cp:revision>26</cp:revision>
  <dcterms:created xsi:type="dcterms:W3CDTF">2023-11-13T08:32:00Z</dcterms:created>
  <dcterms:modified xsi:type="dcterms:W3CDTF">2024-01-16T14:10:00Z</dcterms:modified>
</cp:coreProperties>
</file>