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第一部分  理论基础与文献调研</w:t>
      </w:r>
    </w:p>
    <w:p>
      <w:pPr>
        <w:pStyle w:val="Subtitle"/>
        <w:jc w:val="center"/>
      </w:pPr>
      <w:r>
        <w:t>直升机涡环状态建模仿真 · 阶段一研究报告</w:t>
      </w:r>
    </w:p>
    <w:p>
      <w:pPr>
        <w:jc w:val="center"/>
      </w:pPr>
      <w:r>
        <w:t>研究对象：直升机旋翼涡环状态及动态入流建模</w:t>
      </w:r>
    </w:p>
    <w:p>
      <w:pPr>
        <w:jc w:val="center"/>
      </w:pPr>
      <w:r>
        <w:t>报告内容：理论基础、经典研究、边界判据、模型修正、技术路线与验证数据</w:t>
      </w:r>
    </w:p>
    <w:p>
      <w:pPr>
        <w:jc w:val="center"/>
      </w:pPr>
      <w:r>
        <w:t>2026 年 7 月</w:t>
      </w:r>
    </w:p>
    <w:p>
      <w:pPr>
        <w:spacing w:before="1700"/>
      </w:pPr>
    </w:p>
    <w:tbl>
      <w:tblPr>
        <w:tblW w:type="auto" w:w="0"/>
        <w:jc w:val="center"/>
        <w:tblLayout w:type="fixed"/>
        <w:tblLook w:firstColumn="1" w:firstRow="1" w:lastColumn="0" w:lastRow="0" w:noHBand="0" w:noVBand="1" w:val="04A0"/>
      </w:tblPr>
      <w:tblGrid>
        <w:gridCol w:w="9648"/>
      </w:tblGrid>
      <w:tr>
        <w:tc>
          <w:tcPr>
            <w:tcW w:type="dxa" w:w="9300"/>
            <w:shd w:fill="EAF2F8"/>
          </w:tcPr>
          <w:p>
            <w:pPr>
              <w:spacing w:after="40"/>
            </w:pPr>
            <w:r>
              <w:rPr>
                <w:b/>
                <w:color w:val="1F4E79"/>
              </w:rPr>
              <w:t xml:space="preserve">阶段目标  </w:t>
            </w:r>
            <w:r>
              <w:t>完成旋翼空气动力学基础梳理，建立涡环边界与入流修正的文献依据，并形成可直接用于后续仿真的建模路线和参数来源。</w:t>
            </w:r>
          </w:p>
        </w:tc>
      </w:tr>
    </w:tbl>
    <w:p>
      <w:pPr>
        <w:spacing w:after="0"/>
      </w:pPr>
    </w:p>
    <w:p>
      <w:r>
        <w:br w:type="page"/>
      </w:r>
    </w:p>
    <w:p>
      <w:pPr>
        <w:pStyle w:val="Heading1"/>
      </w:pPr>
      <w:r>
        <w:t>摘  要</w:t>
      </w:r>
    </w:p>
    <w:p>
      <w:r>
        <w:t>本报告围绕直升机旋翼涡环状态（Vortex Ring State，VRS）的建模与仿真需求，系统整理旋翼动量理论、叶素理论、挥舞动力学和动态入流理论，重点说明涡环状态的物理机制、进入条件、边界表达与平均入流修正方法。资料体系由三类证据构成：基础教材与飞行动力学理论用于确定变量和方程；Pitt–Peters、Johnson 等经典研究用于构建动态入流与涡环修正；王畅等人的风洞试验用于提供边界趋势和验证尺度。</w:t>
      </w:r>
    </w:p>
    <w:p>
      <w:r>
        <w:t>研究表明，均匀动量理论在稳定轴向流中可给出清晰的诱导速度标度，但进入涡环状态后，尾迹回卷、再循环和非定常载荷使稳态单值入流关系失效。Pitt–Peters 模型用有限状态描述入流随推力及力矩变化的动态响应；Johnson 模型则在平均入流层面通过涡环边界、经验特征点和时间滞后修正异常下降段。两者功能不同，可采用“动态入流骨架 + 涡环平均入流修正 + 边界判据”的分层技术路线。</w:t>
      </w:r>
    </w:p>
    <w:p>
      <w:r>
        <w:t>关键词：直升机；旋翼；涡环状态；动态入流；Pitt–Peters；Johnson 模型；风洞试验</w:t>
      </w:r>
    </w:p>
    <w:p>
      <w:pPr>
        <w:pStyle w:val="Heading1"/>
      </w:pPr>
      <w:r>
        <w:t>目  录</w:t>
      </w:r>
    </w:p>
    <w:p>
      <w:r>
        <w:t>一、研究范围与资料体系</w:t>
      </w:r>
    </w:p>
    <w:p>
      <w:r>
        <w:t>二、旋翼空气动力学理论基础</w:t>
      </w:r>
    </w:p>
    <w:p>
      <w:r>
        <w:t>三、动态入流理论与 Pitt–Peters 模型</w:t>
      </w:r>
    </w:p>
    <w:p>
      <w:r>
        <w:t>四、涡环状态的物理机制与经典研究</w:t>
      </w:r>
    </w:p>
    <w:p>
      <w:r>
        <w:t>五、Johnson 平均入流修正模型</w:t>
      </w:r>
    </w:p>
    <w:p>
      <w:r>
        <w:t>六、王畅等风洞试验与半经验边界</w:t>
      </w:r>
    </w:p>
    <w:p>
      <w:r>
        <w:t>七、建模技术路线</w:t>
      </w:r>
    </w:p>
    <w:p>
      <w:r>
        <w:t>八、验证参数与数据来源</w:t>
      </w:r>
    </w:p>
    <w:p>
      <w:r>
        <w:t>九、阶段结论</w:t>
      </w:r>
    </w:p>
    <w:p/>
    <w:p>
      <w:r>
        <w:t>参考文献</w:t>
      </w:r>
    </w:p>
    <w:p>
      <w:r>
        <w:br w:type="page"/>
      </w:r>
    </w:p>
    <w:p>
      <w:pPr>
        <w:pStyle w:val="Heading1"/>
      </w:pPr>
      <w:r>
        <w:t>一、研究范围与资料体系</w:t>
      </w:r>
    </w:p>
    <w:p>
      <w:pPr>
        <w:pStyle w:val="Heading2"/>
      </w:pPr>
      <w:r>
        <w:t>1.1 研究任务</w:t>
      </w:r>
    </w:p>
    <w:p>
      <w:r>
        <w:t>阶段一对应项目总体任务中的“理论基础与文献调研”。本阶段不是直接追求高保真流场复现，而是回答后续建模必须先明确的三个问题：旋翼载荷与诱导速度由哪些基础方程联系；涡环状态的进入边界怎样定义；在低阶飞行动力学仿真中应采用何种入流模型及修正方式。</w:t>
      </w:r>
    </w:p>
    <w:p>
      <w:pPr>
        <w:pStyle w:val="ListBullet"/>
      </w:pPr>
      <w:r>
        <w:t>学习直升机旋翼空气动力学基础，掌握动量理论、叶素理论、挥舞运动及动态入流的基本变量与适用范围。</w:t>
      </w:r>
    </w:p>
    <w:p>
      <w:pPr>
        <w:pStyle w:val="ListBullet"/>
      </w:pPr>
      <w:r>
        <w:t>梳理涡环状态的经典研究成果，归纳进入机理、经验边界、稳定性边界和平均入流修正方法。</w:t>
      </w:r>
    </w:p>
    <w:p>
      <w:pPr>
        <w:pStyle w:val="ListBullet"/>
      </w:pPr>
      <w:r>
        <w:t>明确建模技术路线，列出仿真所需的几何、质量、气动和验证参数及其来源。</w:t>
      </w:r>
    </w:p>
    <w:p>
      <w:pPr>
        <w:pStyle w:val="Heading2"/>
      </w:pPr>
      <w:r>
        <w:t>1.2 资料证据链</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6"/>
        <w:gridCol w:w="3216"/>
        <w:gridCol w:w="3216"/>
      </w:tblGrid>
      <w:tr>
        <w:trPr>
          <w:tblHeader w:val="true"/>
        </w:trPr>
        <w:tc>
          <w:tcPr>
            <w:tcW w:type="dxa" w:w="1350"/>
            <w:shd w:fill="DCE6F1"/>
            <w:vAlign w:val="center"/>
          </w:tcPr>
          <w:p>
            <w:pPr>
              <w:spacing w:after="0"/>
              <w:jc w:val="center"/>
            </w:pPr>
            <w:r>
              <w:rPr>
                <w:rFonts w:ascii="微软雅黑" w:hAnsi="微软雅黑" w:eastAsia="微软雅黑"/>
                <w:b/>
                <w:sz w:val="19"/>
              </w:rPr>
              <w:t>资料层级</w:t>
            </w:r>
          </w:p>
        </w:tc>
        <w:tc>
          <w:tcPr>
            <w:tcW w:type="dxa" w:w="3000"/>
            <w:shd w:fill="DCE6F1"/>
            <w:vAlign w:val="center"/>
          </w:tcPr>
          <w:p>
            <w:pPr>
              <w:spacing w:after="0"/>
              <w:jc w:val="center"/>
            </w:pPr>
            <w:r>
              <w:rPr>
                <w:rFonts w:ascii="微软雅黑" w:hAnsi="微软雅黑" w:eastAsia="微软雅黑"/>
                <w:b/>
                <w:sz w:val="19"/>
              </w:rPr>
              <w:t>代表资料</w:t>
            </w:r>
          </w:p>
        </w:tc>
        <w:tc>
          <w:tcPr>
            <w:tcW w:type="dxa" w:w="4950"/>
            <w:shd w:fill="DCE6F1"/>
            <w:vAlign w:val="center"/>
          </w:tcPr>
          <w:p>
            <w:pPr>
              <w:spacing w:after="0"/>
              <w:jc w:val="center"/>
            </w:pPr>
            <w:r>
              <w:rPr>
                <w:rFonts w:ascii="微软雅黑" w:hAnsi="微软雅黑" w:eastAsia="微软雅黑"/>
                <w:b/>
                <w:sz w:val="19"/>
              </w:rPr>
              <w:t>在本项目中的用途</w:t>
            </w:r>
          </w:p>
        </w:tc>
      </w:tr>
      <w:tr>
        <w:tc>
          <w:tcPr>
            <w:tcW w:type="dxa" w:w="1350"/>
            <w:vAlign w:val="center"/>
          </w:tcPr>
          <w:p>
            <w:pPr>
              <w:spacing w:after="0" w:line="264" w:lineRule="auto"/>
            </w:pPr>
            <w:r>
              <w:rPr>
                <w:rFonts w:ascii="宋体" w:hAnsi="宋体" w:eastAsia="宋体"/>
                <w:sz w:val="18"/>
              </w:rPr>
              <w:t>理论基础</w:t>
            </w:r>
          </w:p>
        </w:tc>
        <w:tc>
          <w:tcPr>
            <w:tcW w:type="dxa" w:w="3000"/>
            <w:vAlign w:val="center"/>
          </w:tcPr>
          <w:p>
            <w:pPr>
              <w:spacing w:after="0" w:line="264" w:lineRule="auto"/>
            </w:pPr>
            <w:r>
              <w:rPr>
                <w:rFonts w:ascii="宋体" w:hAnsi="宋体" w:eastAsia="宋体"/>
                <w:sz w:val="18"/>
              </w:rPr>
              <w:t>Leishman；Padfield；直升机飞行力学课程资料</w:t>
            </w:r>
          </w:p>
        </w:tc>
        <w:tc>
          <w:tcPr>
            <w:tcW w:type="dxa" w:w="4950"/>
            <w:vAlign w:val="center"/>
          </w:tcPr>
          <w:p>
            <w:pPr>
              <w:spacing w:after="0" w:line="264" w:lineRule="auto"/>
            </w:pPr>
            <w:r>
              <w:rPr>
                <w:rFonts w:ascii="宋体" w:hAnsi="宋体" w:eastAsia="宋体"/>
                <w:sz w:val="18"/>
              </w:rPr>
              <w:t>建立符号、坐标系、动量/叶素/挥舞方程</w:t>
            </w:r>
          </w:p>
        </w:tc>
      </w:tr>
      <w:tr>
        <w:tc>
          <w:tcPr>
            <w:tcW w:type="dxa" w:w="1350"/>
            <w:shd w:fill="F3F6F9"/>
            <w:vAlign w:val="center"/>
          </w:tcPr>
          <w:p>
            <w:pPr>
              <w:spacing w:after="0" w:line="264" w:lineRule="auto"/>
            </w:pPr>
            <w:r>
              <w:rPr>
                <w:rFonts w:ascii="宋体" w:hAnsi="宋体" w:eastAsia="宋体"/>
                <w:sz w:val="18"/>
              </w:rPr>
              <w:t>动态入流</w:t>
            </w:r>
          </w:p>
        </w:tc>
        <w:tc>
          <w:tcPr>
            <w:tcW w:type="dxa" w:w="3000"/>
            <w:shd w:fill="F3F6F9"/>
            <w:vAlign w:val="center"/>
          </w:tcPr>
          <w:p>
            <w:pPr>
              <w:spacing w:after="0" w:line="264" w:lineRule="auto"/>
            </w:pPr>
            <w:r>
              <w:rPr>
                <w:rFonts w:ascii="宋体" w:hAnsi="宋体" w:eastAsia="宋体"/>
                <w:sz w:val="18"/>
              </w:rPr>
              <w:t>Pitt &amp; Peters（1980）；Peters 后续综述</w:t>
            </w:r>
          </w:p>
        </w:tc>
        <w:tc>
          <w:tcPr>
            <w:tcW w:type="dxa" w:w="4950"/>
            <w:shd w:fill="F3F6F9"/>
            <w:vAlign w:val="center"/>
          </w:tcPr>
          <w:p>
            <w:pPr>
              <w:spacing w:after="0" w:line="264" w:lineRule="auto"/>
            </w:pPr>
            <w:r>
              <w:rPr>
                <w:rFonts w:ascii="宋体" w:hAnsi="宋体" w:eastAsia="宋体"/>
                <w:sz w:val="18"/>
              </w:rPr>
              <w:t>建立有限状态动态入流骨架</w:t>
            </w:r>
          </w:p>
        </w:tc>
      </w:tr>
      <w:tr>
        <w:tc>
          <w:tcPr>
            <w:tcW w:type="dxa" w:w="1350"/>
            <w:vAlign w:val="center"/>
          </w:tcPr>
          <w:p>
            <w:pPr>
              <w:spacing w:after="0" w:line="264" w:lineRule="auto"/>
            </w:pPr>
            <w:r>
              <w:rPr>
                <w:rFonts w:ascii="宋体" w:hAnsi="宋体" w:eastAsia="宋体"/>
                <w:sz w:val="18"/>
              </w:rPr>
              <w:t>涡环修正</w:t>
            </w:r>
          </w:p>
        </w:tc>
        <w:tc>
          <w:tcPr>
            <w:tcW w:type="dxa" w:w="3000"/>
            <w:vAlign w:val="center"/>
          </w:tcPr>
          <w:p>
            <w:pPr>
              <w:spacing w:after="0" w:line="264" w:lineRule="auto"/>
            </w:pPr>
            <w:r>
              <w:rPr>
                <w:rFonts w:ascii="宋体" w:hAnsi="宋体" w:eastAsia="宋体"/>
                <w:sz w:val="18"/>
              </w:rPr>
              <w:t>Wayne Johnson（2005）</w:t>
            </w:r>
          </w:p>
        </w:tc>
        <w:tc>
          <w:tcPr>
            <w:tcW w:type="dxa" w:w="4950"/>
            <w:vAlign w:val="center"/>
          </w:tcPr>
          <w:p>
            <w:pPr>
              <w:spacing w:after="0" w:line="264" w:lineRule="auto"/>
            </w:pPr>
            <w:r>
              <w:rPr>
                <w:rFonts w:ascii="宋体" w:hAnsi="宋体" w:eastAsia="宋体"/>
                <w:sz w:val="18"/>
              </w:rPr>
              <w:t>给出平均入流异常段、特征点与时间响应</w:t>
            </w:r>
          </w:p>
        </w:tc>
      </w:tr>
      <w:tr>
        <w:tc>
          <w:tcPr>
            <w:tcW w:type="dxa" w:w="1350"/>
            <w:shd w:fill="F3F6F9"/>
            <w:vAlign w:val="center"/>
          </w:tcPr>
          <w:p>
            <w:pPr>
              <w:spacing w:after="0" w:line="264" w:lineRule="auto"/>
            </w:pPr>
            <w:r>
              <w:rPr>
                <w:rFonts w:ascii="宋体" w:hAnsi="宋体" w:eastAsia="宋体"/>
                <w:sz w:val="18"/>
              </w:rPr>
              <w:t>试验边界</w:t>
            </w:r>
          </w:p>
        </w:tc>
        <w:tc>
          <w:tcPr>
            <w:tcW w:type="dxa" w:w="3000"/>
            <w:shd w:fill="F3F6F9"/>
            <w:vAlign w:val="center"/>
          </w:tcPr>
          <w:p>
            <w:pPr>
              <w:spacing w:after="0" w:line="264" w:lineRule="auto"/>
            </w:pPr>
            <w:r>
              <w:rPr>
                <w:rFonts w:ascii="宋体" w:hAnsi="宋体" w:eastAsia="宋体"/>
                <w:sz w:val="18"/>
              </w:rPr>
              <w:t>王畅等（2023）风洞试验</w:t>
            </w:r>
          </w:p>
        </w:tc>
        <w:tc>
          <w:tcPr>
            <w:tcW w:type="dxa" w:w="4950"/>
            <w:shd w:fill="F3F6F9"/>
            <w:vAlign w:val="center"/>
          </w:tcPr>
          <w:p>
            <w:pPr>
              <w:spacing w:after="0" w:line="264" w:lineRule="auto"/>
            </w:pPr>
            <w:r>
              <w:rPr>
                <w:rFonts w:ascii="宋体" w:hAnsi="宋体" w:eastAsia="宋体"/>
                <w:sz w:val="18"/>
              </w:rPr>
              <w:t>提供下降速度、前飞速度与边界变化的量化依据</w:t>
            </w:r>
          </w:p>
        </w:tc>
      </w:tr>
      <w:tr>
        <w:tc>
          <w:tcPr>
            <w:tcW w:type="dxa" w:w="1350"/>
            <w:vAlign w:val="center"/>
          </w:tcPr>
          <w:p>
            <w:pPr>
              <w:spacing w:after="0" w:line="264" w:lineRule="auto"/>
            </w:pPr>
            <w:r>
              <w:rPr>
                <w:rFonts w:ascii="宋体" w:hAnsi="宋体" w:eastAsia="宋体"/>
                <w:sz w:val="18"/>
              </w:rPr>
              <w:t>运行判据</w:t>
            </w:r>
          </w:p>
        </w:tc>
        <w:tc>
          <w:tcPr>
            <w:tcW w:type="dxa" w:w="3000"/>
            <w:vAlign w:val="center"/>
          </w:tcPr>
          <w:p>
            <w:pPr>
              <w:spacing w:after="0" w:line="264" w:lineRule="auto"/>
            </w:pPr>
            <w:r>
              <w:rPr>
                <w:rFonts w:ascii="宋体" w:hAnsi="宋体" w:eastAsia="宋体"/>
                <w:sz w:val="18"/>
              </w:rPr>
              <w:t>FAA Helicopter Flying Handbook</w:t>
            </w:r>
          </w:p>
        </w:tc>
        <w:tc>
          <w:tcPr>
            <w:tcW w:type="dxa" w:w="4950"/>
            <w:vAlign w:val="center"/>
          </w:tcPr>
          <w:p>
            <w:pPr>
              <w:spacing w:after="0" w:line="264" w:lineRule="auto"/>
            </w:pPr>
            <w:r>
              <w:rPr>
                <w:rFonts w:ascii="宋体" w:hAnsi="宋体" w:eastAsia="宋体"/>
                <w:sz w:val="18"/>
              </w:rPr>
              <w:t>提供可解释的飞行进入条件与安全语义</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300"/>
            <w:shd w:fill="EAF2F8"/>
          </w:tcPr>
          <w:p>
            <w:pPr>
              <w:spacing w:after="40"/>
            </w:pPr>
            <w:r>
              <w:rPr>
                <w:b/>
                <w:color w:val="1F4E79"/>
              </w:rPr>
              <w:t xml:space="preserve">边界说明  </w:t>
            </w:r>
            <w:r>
              <w:t>涡环状态没有一个对所有旋翼、总距、推力和试验方法都通用的唯一阈值。本项目把“运行进入判据”“试验观测边界”和“数值模型触发边界”分别记录，避免混用。</w:t>
            </w:r>
          </w:p>
        </w:tc>
      </w:tr>
    </w:tbl>
    <w:p>
      <w:pPr>
        <w:spacing w:after="0"/>
      </w:pPr>
    </w:p>
    <w:p>
      <w:pPr>
        <w:pStyle w:val="Heading1"/>
      </w:pPr>
      <w:r>
        <w:t>二、旋翼空气动力学理论基础</w:t>
      </w:r>
    </w:p>
    <w:p>
      <w:pPr>
        <w:pStyle w:val="Heading2"/>
      </w:pPr>
      <w:r>
        <w:t>2.1 旋翼盘动量理论</w:t>
      </w:r>
    </w:p>
    <w:p>
      <w:r>
        <w:t>将旋翼盘视为向气流施加压力跃变的致动盘。在悬停、不可压缩、无旋且远离地面等理想条件下，推力、空气密度、桨盘面积与悬停诱导速度满足：</w:t>
      </w:r>
    </w:p>
    <w:p>
      <w:pPr>
        <w:pStyle w:val="Equation"/>
      </w:pPr>
      <m:oMath>
        <m:r>
          <m:t>T=2ρA</m:t>
        </m:r>
        <m:sSubSup>
          <m:e>
            <m:r>
              <m:t>v</m:t>
            </m:r>
          </m:e>
          <m:sub>
            <m:r>
              <m:t>h</m:t>
            </m:r>
          </m:sub>
          <m:sup>
            <m:r>
              <m:t>2</m:t>
            </m:r>
          </m:sup>
        </m:sSubSup>
      </m:oMath>
    </w:p>
    <w:p>
      <w:pPr>
        <w:pStyle w:val="Equation"/>
      </w:pPr>
      <m:oMath>
        <m:sSub>
          <m:e>
            <m:r>
              <m:t>v</m:t>
            </m:r>
          </m:e>
          <m:sub>
            <m:r>
              <m:t>h</m:t>
            </m:r>
          </m:sub>
        </m:sSub>
        <m:r>
          <m:t>=</m:t>
        </m:r>
        <m:rad>
          <m:radPr>
            <m:degHide m:val="on"/>
          </m:radPr>
          <m:deg/>
          <m:e>
            <m:f>
              <m:fPr>
                <m:type m:val="bar"/>
              </m:fPr>
              <m:num>
                <m:r>
                  <m:t>T</m:t>
                </m:r>
              </m:num>
              <m:den>
                <m:r>
                  <m:t>2ρA</m:t>
                </m:r>
              </m:den>
            </m:f>
          </m:e>
        </m:rad>
      </m:oMath>
    </w:p>
    <w:p>
      <w:r>
        <w:t>其中，T 为旋翼推力，ρ 为空气密度，A=πR² 为桨盘面积，R 为旋翼半径，v_h 为悬停诱导速度。v_h 是后续无量纲下降速度和入流比的核心标度。理想诱导功率为：</w:t>
      </w:r>
    </w:p>
    <w:p>
      <w:pPr>
        <w:pStyle w:val="Equation"/>
      </w:pPr>
      <m:oMath>
        <m:sSub>
          <m:e>
            <m:r>
              <m:t>P</m:t>
            </m:r>
          </m:e>
          <m:sub>
            <m:r>
              <m:t>i</m:t>
            </m:r>
          </m:sub>
        </m:sSub>
        <m:r>
          <m:t>=T</m:t>
        </m:r>
        <m:sSub>
          <m:e>
            <m:r>
              <m:t>v</m:t>
            </m:r>
          </m:e>
          <m:sub>
            <m:r>
              <m:t>h</m:t>
            </m:r>
          </m:sub>
        </m:sSub>
        <m:r>
          <m:t>=</m:t>
        </m:r>
        <m:f>
          <m:fPr>
            <m:type m:val="bar"/>
          </m:fPr>
          <m:num>
            <m:sSup>
              <m:e>
                <m:r>
                  <m:t>T</m:t>
                </m:r>
              </m:e>
              <m:sup>
                <m:f>
                  <m:fPr>
                    <m:type m:val="lin"/>
                  </m:fPr>
                  <m:num>
                    <m:r>
                      <m:t>3</m:t>
                    </m:r>
                  </m:num>
                  <m:den>
                    <m:r>
                      <m:t>2</m:t>
                    </m:r>
                  </m:den>
                </m:f>
              </m:sup>
            </m:sSup>
          </m:num>
          <m:den>
            <m:rad>
              <m:radPr>
                <m:degHide m:val="on"/>
              </m:radPr>
              <m:deg/>
              <m:e>
                <m:r>
                  <m:t>2ρA</m:t>
                </m:r>
              </m:e>
            </m:rad>
          </m:den>
        </m:f>
      </m:oMath>
    </w:p>
    <w:p>
      <w:r>
        <w:t>动量理论的价值在于给出载荷与平均诱导速度的总量关系；它不能描述叶片展向载荷、桨尖损失、动态尾迹和涡环区内的多值流动，因此必须与叶素理论、动态入流或经验修正结合。</w:t>
      </w:r>
    </w:p>
    <w:p>
      <w:pPr>
        <w:pStyle w:val="Heading2"/>
      </w:pPr>
      <w:r>
        <w:t>2.2 叶素理论</w:t>
      </w:r>
    </w:p>
    <w:p>
      <w:r>
        <w:t>叶素理论把叶片沿半径方向离散。对半径 r 处宽度 dr 的叶素，局部相对速度由切向速度与轴向速度合成：</w:t>
      </w:r>
    </w:p>
    <w:p>
      <w:pPr>
        <w:pStyle w:val="Equation"/>
      </w:pPr>
      <m:oMath>
        <m:sSub>
          <m:e>
            <m:r>
              <m:t>U</m:t>
            </m:r>
          </m:e>
          <m:sub>
            <m:r>
              <m:t>T</m:t>
            </m:r>
          </m:sub>
        </m:sSub>
        <m:r>
          <m:t>≈Ωr+</m:t>
        </m:r>
        <m:sSub>
          <m:e>
            <m:r>
              <m:t>V</m:t>
            </m:r>
          </m:e>
          <m:sub>
            <m:r>
              <m:t>T</m:t>
            </m:r>
          </m:sub>
        </m:sSub>
        <m:r>
          <m:t>,</m:t>
        </m:r>
        <m:sSub>
          <m:e>
            <m:r>
              <m:t>U</m:t>
            </m:r>
          </m:e>
          <m:sub>
            <m:r>
              <m:t>P</m:t>
            </m:r>
          </m:sub>
        </m:sSub>
        <m:r>
          <m:t>≈</m:t>
        </m:r>
        <m:sSub>
          <m:e>
            <m:r>
              <m:t>V</m:t>
            </m:r>
          </m:e>
          <m:sub>
            <m:r>
              <m:t>z</m:t>
            </m:r>
          </m:sub>
        </m:sSub>
        <m:r>
          <m:t>+</m:t>
        </m:r>
        <m:sSub>
          <m:e>
            <m:r>
              <m:t>v</m:t>
            </m:r>
          </m:e>
          <m:sub>
            <m:r>
              <m:t>i</m:t>
            </m:r>
          </m:sub>
        </m:sSub>
        <m:r>
          <m:t>+</m:t>
        </m:r>
        <m:limUpp>
          <m:e>
            <m:r>
              <m:t>β</m:t>
            </m:r>
          </m:e>
          <m:lim>
            <m:r>
              <m:t>˙</m:t>
            </m:r>
          </m:lim>
        </m:limUpp>
        <m:r>
          <m:t>r</m:t>
        </m:r>
      </m:oMath>
    </w:p>
    <w:p>
      <w:pPr>
        <w:pStyle w:val="Equation"/>
      </w:pPr>
      <m:oMath>
        <m:r>
          <m:t>ϕ=</m:t>
        </m:r>
        <m:sSup>
          <m:e>
            <m:r>
              <m:rPr>
                <m:sty m:val="p"/>
              </m:rPr>
              <m:t>tan</m:t>
            </m:r>
          </m:e>
          <m:sup>
            <m:r>
              <m:t>−1</m:t>
            </m:r>
          </m:sup>
        </m:sSup>
        <m:d>
          <m:dPr>
            <m:sepChr m:val=""/>
          </m:dPr>
          <m:e>
            <m:f>
              <m:fPr>
                <m:type m:val="bar"/>
              </m:fPr>
              <m:num>
                <m:sSub>
                  <m:e>
                    <m:r>
                      <m:t>U</m:t>
                    </m:r>
                  </m:e>
                  <m:sub>
                    <m:r>
                      <m:t>P</m:t>
                    </m:r>
                  </m:sub>
                </m:sSub>
              </m:num>
              <m:den>
                <m:sSub>
                  <m:e>
                    <m:r>
                      <m:t>U</m:t>
                    </m:r>
                  </m:e>
                  <m:sub>
                    <m:r>
                      <m:t>T</m:t>
                    </m:r>
                  </m:sub>
                </m:sSub>
              </m:den>
            </m:f>
          </m:e>
        </m:d>
        <m:r>
          <m:t>,</m:t>
        </m:r>
        <m:r>
          <m:t>α=θ−ϕ</m:t>
        </m:r>
      </m:oMath>
    </w:p>
    <w:p>
      <w:pPr>
        <w:pStyle w:val="Equation"/>
      </w:pPr>
      <m:oMath>
        <m:r>
          <m:t>dL=</m:t>
        </m:r>
        <m:f>
          <m:fPr>
            <m:type m:val="bar"/>
          </m:fPr>
          <m:num>
            <m:r>
              <m:t>1</m:t>
            </m:r>
          </m:num>
          <m:den>
            <m:r>
              <m:t>2</m:t>
            </m:r>
          </m:den>
        </m:f>
        <m:r>
          <m:t>ρ</m:t>
        </m:r>
        <m:sSup>
          <m:e>
            <m:r>
              <m:t>U</m:t>
            </m:r>
          </m:e>
          <m:sup>
            <m:r>
              <m:t>2</m:t>
            </m:r>
          </m:sup>
        </m:sSup>
        <m:r>
          <m:t>c</m:t>
        </m:r>
        <m:sSub>
          <m:e>
            <m:r>
              <m:t>C</m:t>
            </m:r>
          </m:e>
          <m:sub>
            <m:r>
              <m:t>l</m:t>
            </m:r>
          </m:sub>
        </m:sSub>
        <m:r>
          <m:t>(α)</m:t>
        </m:r>
        <m:r>
          <m:t>dr,</m:t>
        </m:r>
        <m:r>
          <m:t>dD=</m:t>
        </m:r>
        <m:f>
          <m:fPr>
            <m:type m:val="bar"/>
          </m:fPr>
          <m:num>
            <m:r>
              <m:t>1</m:t>
            </m:r>
          </m:num>
          <m:den>
            <m:r>
              <m:t>2</m:t>
            </m:r>
          </m:den>
        </m:f>
        <m:r>
          <m:t>ρ</m:t>
        </m:r>
        <m:sSup>
          <m:e>
            <m:r>
              <m:t>U</m:t>
            </m:r>
          </m:e>
          <m:sup>
            <m:r>
              <m:t>2</m:t>
            </m:r>
          </m:sup>
        </m:sSup>
        <m:r>
          <m:t>c</m:t>
        </m:r>
        <m:sSub>
          <m:e>
            <m:r>
              <m:t>C</m:t>
            </m:r>
          </m:e>
          <m:sub>
            <m:r>
              <m:t>d</m:t>
            </m:r>
          </m:sub>
        </m:sSub>
        <m:r>
          <m:t>(α)</m:t>
        </m:r>
        <m:r>
          <m:t>dr</m:t>
        </m:r>
      </m:oMath>
    </w:p>
    <w:p>
      <w:r>
        <w:t>对各叶素沿半径和方位角积分，可得到推力、滚转力矩、俯仰力矩与功率。叶素理论允许引入真实翼型极曲线、非线性失速与桨尖损失，是低阶模型中连接操纵输入和旋翼载荷的主要工具。</w:t>
      </w:r>
    </w:p>
    <w:p>
      <w:pPr>
        <w:pStyle w:val="Heading2"/>
      </w:pPr>
      <w:r>
        <w:t>2.3 中俄轴系与无量纲变量</w:t>
      </w:r>
    </w:p>
    <w:p>
      <w:pPr>
        <w:pStyle w:val="Equation"/>
      </w:pPr>
      <m:oMath>
        <m:sSub>
          <m:e>
            <m:r>
              <m:t>C</m:t>
            </m:r>
          </m:e>
          <m:sub>
            <m:r>
              <m:t>T</m:t>
            </m:r>
          </m:sub>
        </m:sSub>
        <m:r>
          <m:t>=</m:t>
        </m:r>
        <m:f>
          <m:fPr>
            <m:type m:val="bar"/>
          </m:fPr>
          <m:num>
            <m:r>
              <m:t>T</m:t>
            </m:r>
          </m:num>
          <m:den>
            <m:r>
              <m:t>ρA(ΩR</m:t>
            </m:r>
            <m:sSup>
              <m:e>
                <m:r>
                  <m:t>)</m:t>
                </m:r>
              </m:e>
              <m:sup>
                <m:r>
                  <m:t>2</m:t>
                </m:r>
              </m:sup>
            </m:sSup>
          </m:den>
        </m:f>
        <m:r>
          <m:t>,</m:t>
        </m:r>
        <m:r>
          <m:t>μ=</m:t>
        </m:r>
        <m:f>
          <m:fPr>
            <m:type m:val="bar"/>
          </m:fPr>
          <m:num>
            <m:sSub>
              <m:e>
                <m:r>
                  <m:t>V</m:t>
                </m:r>
              </m:e>
              <m:sub>
                <m:r>
                  <m:t>h</m:t>
                </m:r>
              </m:sub>
            </m:sSub>
          </m:num>
          <m:den>
            <m:r>
              <m:t>ΩR</m:t>
            </m:r>
          </m:den>
        </m:f>
        <m:r>
          <m:t>,</m:t>
        </m:r>
        <m:r>
          <m:t>λ=</m:t>
        </m:r>
        <m:f>
          <m:fPr>
            <m:type m:val="bar"/>
          </m:fPr>
          <m:num>
            <m:sSub>
              <m:e>
                <m:r>
                  <m:t>V</m:t>
                </m:r>
              </m:e>
              <m:sub>
                <m:r>
                  <m:t>z</m:t>
                </m:r>
              </m:sub>
            </m:sSub>
            <m:r>
              <m:t>+</m:t>
            </m:r>
            <m:sSub>
              <m:e>
                <m:r>
                  <m:t>v</m:t>
                </m:r>
              </m:e>
              <m:sub>
                <m:r>
                  <m:t>i</m:t>
                </m:r>
              </m:sub>
            </m:sSub>
          </m:num>
          <m:den>
            <m:r>
              <m:t>ΩR</m:t>
            </m:r>
          </m:den>
        </m:f>
      </m:oMath>
    </w:p>
    <w:p>
      <w:r>
        <w:t>其中 C_T 为推力系数，μ 为前进比，λ 为总入流比。涡环研究还常以悬停诱导速度作归一化：</w:t>
      </w:r>
    </w:p>
    <w:p>
      <w:pPr>
        <w:pStyle w:val="Equation"/>
      </w:pPr>
      <m:oMath>
        <m:sSub>
          <m:e>
            <m:bar>
              <m:barPr>
                <m:pos m:val="top"/>
              </m:barPr>
              <m:e>
                <m:r>
                  <m:t>V</m:t>
                </m:r>
              </m:e>
            </m:bar>
          </m:e>
          <m:sub>
            <m:r>
              <m:t>z</m:t>
            </m:r>
          </m:sub>
        </m:sSub>
        <m:r>
          <m:t>=</m:t>
        </m:r>
        <m:f>
          <m:fPr>
            <m:type m:val="bar"/>
          </m:fPr>
          <m:num>
            <m:sSub>
              <m:e>
                <m:r>
                  <m:t>V</m:t>
                </m:r>
              </m:e>
              <m:sub>
                <m:r>
                  <m:t>z</m:t>
                </m:r>
              </m:sub>
            </m:sSub>
          </m:num>
          <m:den>
            <m:sSub>
              <m:e>
                <m:r>
                  <m:t>v</m:t>
                </m:r>
              </m:e>
              <m:sub>
                <m:r>
                  <m:t>h</m:t>
                </m:r>
              </m:sub>
            </m:sSub>
          </m:den>
        </m:f>
        <m:r>
          <m:t>,</m:t>
        </m:r>
        <m:sSub>
          <m:e>
            <m:bar>
              <m:barPr>
                <m:pos m:val="top"/>
              </m:barPr>
              <m:e>
                <m:r>
                  <m:t>V</m:t>
                </m:r>
              </m:e>
            </m:bar>
          </m:e>
          <m:sub>
            <m:r>
              <m:t>h</m:t>
            </m:r>
          </m:sub>
        </m:sSub>
        <m:r>
          <m:t>=</m:t>
        </m:r>
        <m:f>
          <m:fPr>
            <m:type m:val="bar"/>
          </m:fPr>
          <m:num>
            <m:sSub>
              <m:e>
                <m:r>
                  <m:t>V</m:t>
                </m:r>
              </m:e>
              <m:sub>
                <m:r>
                  <m:t>h</m:t>
                </m:r>
              </m:sub>
            </m:sSub>
          </m:num>
          <m:den>
            <m:sSub>
              <m:e>
                <m:r>
                  <m:t>v</m:t>
                </m:r>
              </m:e>
              <m:sub>
                <m:r>
                  <m:t>h</m:t>
                </m:r>
              </m:sub>
            </m:sSub>
          </m:den>
        </m:f>
        <m:r>
          <m:t>,</m:t>
        </m:r>
        <m:sSub>
          <m:e>
            <m:bar>
              <m:barPr>
                <m:pos m:val="top"/>
              </m:barPr>
              <m:e>
                <m:r>
                  <m:t>v</m:t>
                </m:r>
              </m:e>
            </m:bar>
          </m:e>
          <m:sub>
            <m:r>
              <m:t>i</m:t>
            </m:r>
          </m:sub>
        </m:sSub>
        <m:r>
          <m:t>=</m:t>
        </m:r>
        <m:f>
          <m:fPr>
            <m:type m:val="bar"/>
          </m:fPr>
          <m:num>
            <m:sSub>
              <m:e>
                <m:r>
                  <m:t>v</m:t>
                </m:r>
              </m:e>
              <m:sub>
                <m:r>
                  <m:t>i</m:t>
                </m:r>
              </m:sub>
            </m:sSub>
          </m:num>
          <m:den>
            <m:sSub>
              <m:e>
                <m:r>
                  <m:t>v</m:t>
                </m:r>
              </m:e>
              <m:sub>
                <m:r>
                  <m:t>h</m:t>
                </m:r>
              </m:sub>
            </m:sSub>
          </m:den>
        </m:f>
      </m:oMath>
    </w:p>
    <w:p>
      <w:r>
        <w:t>本报告统一采用中俄轴系作为项目建模基准。机体坐标系原点置于直升机重心：X 轴沿机身纵轴向前，Y 轴沿铅垂方向向上，Z 轴指向驾驶员右手侧，三轴构成右手直角坐标系。速度、角速度、力和力矩均优先写成沿 X、Y、Z 轴的分量；正转向按右手定则。下降率单独定义为向下为正的非负量 V_d，因此高度 H 向上为正时有 V_d = −dH/dt。引用英美教材常见的 X 向前、Y 向右、Z 向下轴系时，必须先按下表完成分量转换，不能直接照搬公式。</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300"/>
            <w:shd w:fill="DCE6F1"/>
            <w:vAlign w:val="center"/>
          </w:tcPr>
          <w:p>
            <w:pPr>
              <w:spacing w:after="0"/>
              <w:jc w:val="center"/>
            </w:pPr>
            <w:r>
              <w:rPr>
                <w:rFonts w:ascii="微软雅黑" w:hAnsi="微软雅黑" w:eastAsia="微软雅黑"/>
                <w:b/>
                <w:color w:val="1F4E79"/>
                <w:sz w:val="18"/>
              </w:rPr>
              <w:t>项目</w:t>
            </w:r>
          </w:p>
        </w:tc>
        <w:tc>
          <w:tcPr>
            <w:tcW w:type="dxa" w:w="2700"/>
            <w:shd w:fill="DCE6F1"/>
            <w:vAlign w:val="center"/>
          </w:tcPr>
          <w:p>
            <w:pPr>
              <w:spacing w:after="0"/>
              <w:jc w:val="center"/>
            </w:pPr>
            <w:r>
              <w:rPr>
                <w:rFonts w:ascii="微软雅黑" w:hAnsi="微软雅黑" w:eastAsia="微软雅黑"/>
                <w:b/>
                <w:color w:val="1F4E79"/>
                <w:sz w:val="18"/>
              </w:rPr>
              <w:t>中俄轴系定义</w:t>
            </w:r>
          </w:p>
        </w:tc>
        <w:tc>
          <w:tcPr>
            <w:tcW w:type="dxa" w:w="2600"/>
            <w:shd w:fill="DCE6F1"/>
            <w:vAlign w:val="center"/>
          </w:tcPr>
          <w:p>
            <w:pPr>
              <w:spacing w:after="0"/>
              <w:jc w:val="center"/>
            </w:pPr>
            <w:r>
              <w:rPr>
                <w:rFonts w:ascii="微软雅黑" w:hAnsi="微软雅黑" w:eastAsia="微软雅黑"/>
                <w:b/>
                <w:color w:val="1F4E79"/>
                <w:sz w:val="18"/>
              </w:rPr>
              <w:t>英美常见轴系</w:t>
            </w:r>
          </w:p>
        </w:tc>
        <w:tc>
          <w:tcPr>
            <w:tcW w:type="dxa" w:w="2700"/>
            <w:shd w:fill="DCE6F1"/>
            <w:vAlign w:val="center"/>
          </w:tcPr>
          <w:p>
            <w:pPr>
              <w:spacing w:after="0"/>
              <w:jc w:val="center"/>
            </w:pPr>
            <w:r>
              <w:rPr>
                <w:rFonts w:ascii="微软雅黑" w:hAnsi="微软雅黑" w:eastAsia="微软雅黑"/>
                <w:b/>
                <w:color w:val="1F4E79"/>
                <w:sz w:val="18"/>
              </w:rPr>
              <w:t>接口转换</w:t>
            </w:r>
          </w:p>
        </w:tc>
      </w:tr>
      <w:tr>
        <w:tc>
          <w:tcPr>
            <w:tcW w:type="dxa" w:w="1300"/>
            <w:vAlign w:val="center"/>
          </w:tcPr>
          <w:p>
            <w:pPr>
              <w:spacing w:after="0" w:line="252" w:lineRule="auto"/>
            </w:pPr>
            <w:r>
              <w:rPr>
                <w:rFonts w:ascii="宋体" w:hAnsi="宋体" w:eastAsia="宋体"/>
                <w:sz w:val="17"/>
              </w:rPr>
              <w:t>机体坐标轴</w:t>
            </w:r>
          </w:p>
        </w:tc>
        <w:tc>
          <w:tcPr>
            <w:tcW w:type="dxa" w:w="2700"/>
            <w:vAlign w:val="center"/>
          </w:tcPr>
          <w:p>
            <w:pPr>
              <w:spacing w:after="0" w:line="252" w:lineRule="auto"/>
            </w:pPr>
            <w:r>
              <w:rPr>
                <w:rFonts w:ascii="宋体" w:hAnsi="宋体" w:eastAsia="宋体"/>
                <w:sz w:val="17"/>
              </w:rPr>
              <w:t>X 向前；Y 向上；Z 向右</w:t>
            </w:r>
          </w:p>
        </w:tc>
        <w:tc>
          <w:tcPr>
            <w:tcW w:type="dxa" w:w="2600"/>
            <w:vAlign w:val="center"/>
          </w:tcPr>
          <w:p>
            <w:pPr>
              <w:spacing w:after="0" w:line="252" w:lineRule="auto"/>
            </w:pPr>
            <w:r>
              <w:rPr>
                <w:rFonts w:ascii="宋体" w:hAnsi="宋体" w:eastAsia="宋体"/>
                <w:sz w:val="17"/>
              </w:rPr>
              <w:t>x 向前；y 向右；z 向下</w:t>
            </w:r>
          </w:p>
        </w:tc>
        <w:tc>
          <w:tcPr>
            <w:tcW w:type="dxa" w:w="2700"/>
            <w:vAlign w:val="center"/>
          </w:tcPr>
          <w:p>
            <w:pPr>
              <w:spacing w:after="0" w:line="252" w:lineRule="auto"/>
            </w:pPr>
            <w:r>
              <w:rPr>
                <w:rFonts w:ascii="宋体" w:hAnsi="宋体" w:eastAsia="宋体"/>
                <w:sz w:val="17"/>
              </w:rPr>
              <w:t>X = x；Y = −z；Z = y</w:t>
            </w:r>
          </w:p>
        </w:tc>
      </w:tr>
      <w:tr>
        <w:tc>
          <w:tcPr>
            <w:tcW w:type="dxa" w:w="1300"/>
            <w:shd w:fill="F3F6F9"/>
            <w:vAlign w:val="center"/>
          </w:tcPr>
          <w:p>
            <w:pPr>
              <w:spacing w:after="0" w:line="252" w:lineRule="auto"/>
            </w:pPr>
            <w:r>
              <w:rPr>
                <w:rFonts w:ascii="宋体" w:hAnsi="宋体" w:eastAsia="宋体"/>
                <w:sz w:val="17"/>
              </w:rPr>
              <w:t>速度分量</w:t>
            </w:r>
          </w:p>
        </w:tc>
        <w:tc>
          <w:tcPr>
            <w:tcW w:type="dxa" w:w="2700"/>
            <w:shd w:fill="F3F6F9"/>
            <w:vAlign w:val="center"/>
          </w:tcPr>
          <w:p>
            <w:pPr>
              <w:spacing w:after="0" w:line="252" w:lineRule="auto"/>
            </w:pPr>
            <w:r>
              <w:rPr>
                <w:rFonts w:ascii="宋体" w:hAnsi="宋体" w:eastAsia="宋体"/>
                <w:sz w:val="17"/>
              </w:rPr>
              <w:t>V_X、V_Y、V_Z</w:t>
            </w:r>
          </w:p>
        </w:tc>
        <w:tc>
          <w:tcPr>
            <w:tcW w:type="dxa" w:w="2600"/>
            <w:shd w:fill="F3F6F9"/>
            <w:vAlign w:val="center"/>
          </w:tcPr>
          <w:p>
            <w:pPr>
              <w:spacing w:after="0" w:line="252" w:lineRule="auto"/>
            </w:pPr>
            <w:r>
              <w:rPr>
                <w:rFonts w:ascii="宋体" w:hAnsi="宋体" w:eastAsia="宋体"/>
                <w:sz w:val="17"/>
              </w:rPr>
              <w:t>u、v、w</w:t>
            </w:r>
          </w:p>
        </w:tc>
        <w:tc>
          <w:tcPr>
            <w:tcW w:type="dxa" w:w="2700"/>
            <w:shd w:fill="F3F6F9"/>
            <w:vAlign w:val="center"/>
          </w:tcPr>
          <w:p>
            <w:pPr>
              <w:spacing w:after="0" w:line="252" w:lineRule="auto"/>
            </w:pPr>
            <w:r>
              <w:rPr>
                <w:rFonts w:ascii="宋体" w:hAnsi="宋体" w:eastAsia="宋体"/>
                <w:sz w:val="17"/>
              </w:rPr>
              <w:t>V_X = u；V_Y = −w；V_Z = v</w:t>
            </w:r>
          </w:p>
        </w:tc>
      </w:tr>
      <w:tr>
        <w:tc>
          <w:tcPr>
            <w:tcW w:type="dxa" w:w="1300"/>
            <w:vAlign w:val="center"/>
          </w:tcPr>
          <w:p>
            <w:pPr>
              <w:spacing w:after="0" w:line="252" w:lineRule="auto"/>
            </w:pPr>
            <w:r>
              <w:rPr>
                <w:rFonts w:ascii="宋体" w:hAnsi="宋体" w:eastAsia="宋体"/>
                <w:sz w:val="17"/>
              </w:rPr>
              <w:t>角速度分量</w:t>
            </w:r>
          </w:p>
        </w:tc>
        <w:tc>
          <w:tcPr>
            <w:tcW w:type="dxa" w:w="2700"/>
            <w:vAlign w:val="center"/>
          </w:tcPr>
          <w:p>
            <w:pPr>
              <w:spacing w:after="0" w:line="252" w:lineRule="auto"/>
            </w:pPr>
            <w:r>
              <w:rPr>
                <w:rFonts w:ascii="宋体" w:hAnsi="宋体" w:eastAsia="宋体"/>
                <w:sz w:val="17"/>
              </w:rPr>
              <w:t>ω_X、ω_Y、ω_Z</w:t>
            </w:r>
          </w:p>
        </w:tc>
        <w:tc>
          <w:tcPr>
            <w:tcW w:type="dxa" w:w="2600"/>
            <w:vAlign w:val="center"/>
          </w:tcPr>
          <w:p>
            <w:pPr>
              <w:spacing w:after="0" w:line="252" w:lineRule="auto"/>
            </w:pPr>
            <w:r>
              <w:rPr>
                <w:rFonts w:ascii="宋体" w:hAnsi="宋体" w:eastAsia="宋体"/>
                <w:sz w:val="17"/>
              </w:rPr>
              <w:t>p、q、r</w:t>
            </w:r>
          </w:p>
        </w:tc>
        <w:tc>
          <w:tcPr>
            <w:tcW w:type="dxa" w:w="2700"/>
            <w:vAlign w:val="center"/>
          </w:tcPr>
          <w:p>
            <w:pPr>
              <w:spacing w:after="0" w:line="252" w:lineRule="auto"/>
            </w:pPr>
            <w:r>
              <w:rPr>
                <w:rFonts w:ascii="宋体" w:hAnsi="宋体" w:eastAsia="宋体"/>
                <w:sz w:val="17"/>
              </w:rPr>
              <w:t>ω_X = p；ω_Y = −r；ω_Z = q</w:t>
            </w:r>
          </w:p>
        </w:tc>
      </w:tr>
      <w:tr>
        <w:tc>
          <w:tcPr>
            <w:tcW w:type="dxa" w:w="1300"/>
            <w:shd w:fill="F3F6F9"/>
            <w:vAlign w:val="center"/>
          </w:tcPr>
          <w:p>
            <w:pPr>
              <w:spacing w:after="0" w:line="252" w:lineRule="auto"/>
            </w:pPr>
            <w:r>
              <w:rPr>
                <w:rFonts w:ascii="宋体" w:hAnsi="宋体" w:eastAsia="宋体"/>
                <w:sz w:val="17"/>
              </w:rPr>
              <w:t>力矩分量</w:t>
            </w:r>
          </w:p>
        </w:tc>
        <w:tc>
          <w:tcPr>
            <w:tcW w:type="dxa" w:w="2700"/>
            <w:shd w:fill="F3F6F9"/>
            <w:vAlign w:val="center"/>
          </w:tcPr>
          <w:p>
            <w:pPr>
              <w:spacing w:after="0" w:line="252" w:lineRule="auto"/>
            </w:pPr>
            <w:r>
              <w:rPr>
                <w:rFonts w:ascii="宋体" w:hAnsi="宋体" w:eastAsia="宋体"/>
                <w:sz w:val="17"/>
              </w:rPr>
              <w:t>M_X、M_Y、M_Z</w:t>
            </w:r>
          </w:p>
        </w:tc>
        <w:tc>
          <w:tcPr>
            <w:tcW w:type="dxa" w:w="2600"/>
            <w:shd w:fill="F3F6F9"/>
            <w:vAlign w:val="center"/>
          </w:tcPr>
          <w:p>
            <w:pPr>
              <w:spacing w:after="0" w:line="252" w:lineRule="auto"/>
            </w:pPr>
            <w:r>
              <w:rPr>
                <w:rFonts w:ascii="宋体" w:hAnsi="宋体" w:eastAsia="宋体"/>
                <w:sz w:val="17"/>
              </w:rPr>
              <w:t>L、M、N</w:t>
            </w:r>
          </w:p>
        </w:tc>
        <w:tc>
          <w:tcPr>
            <w:tcW w:type="dxa" w:w="2700"/>
            <w:shd w:fill="F3F6F9"/>
            <w:vAlign w:val="center"/>
          </w:tcPr>
          <w:p>
            <w:pPr>
              <w:spacing w:after="0" w:line="252" w:lineRule="auto"/>
            </w:pPr>
            <w:r>
              <w:rPr>
                <w:rFonts w:ascii="宋体" w:hAnsi="宋体" w:eastAsia="宋体"/>
                <w:sz w:val="17"/>
              </w:rPr>
              <w:t>M_X = L；M_Y = −N；M_Z = M</w:t>
            </w:r>
          </w:p>
        </w:tc>
      </w:tr>
      <w:tr>
        <w:tc>
          <w:tcPr>
            <w:tcW w:type="dxa" w:w="1300"/>
            <w:vAlign w:val="center"/>
          </w:tcPr>
          <w:p>
            <w:pPr>
              <w:spacing w:after="0" w:line="252" w:lineRule="auto"/>
            </w:pPr>
            <w:r>
              <w:rPr>
                <w:rFonts w:ascii="宋体" w:hAnsi="宋体" w:eastAsia="宋体"/>
                <w:sz w:val="17"/>
              </w:rPr>
              <w:t>姿态正方向</w:t>
            </w:r>
          </w:p>
        </w:tc>
        <w:tc>
          <w:tcPr>
            <w:tcW w:type="dxa" w:w="2700"/>
            <w:vAlign w:val="center"/>
          </w:tcPr>
          <w:p>
            <w:pPr>
              <w:spacing w:after="0" w:line="252" w:lineRule="auto"/>
            </w:pPr>
            <w:r>
              <w:rPr>
                <w:rFonts w:ascii="宋体" w:hAnsi="宋体" w:eastAsia="宋体"/>
                <w:sz w:val="17"/>
              </w:rPr>
              <w:t>右倾、抬头、左偏为正</w:t>
            </w:r>
          </w:p>
        </w:tc>
        <w:tc>
          <w:tcPr>
            <w:tcW w:type="dxa" w:w="2600"/>
            <w:vAlign w:val="center"/>
          </w:tcPr>
          <w:p>
            <w:pPr>
              <w:spacing w:after="0" w:line="252" w:lineRule="auto"/>
            </w:pPr>
            <w:r>
              <w:rPr>
                <w:rFonts w:ascii="宋体" w:hAnsi="宋体" w:eastAsia="宋体"/>
                <w:sz w:val="17"/>
              </w:rPr>
              <w:t>右倾、抬头、右偏为正</w:t>
            </w:r>
          </w:p>
        </w:tc>
        <w:tc>
          <w:tcPr>
            <w:tcW w:type="dxa" w:w="2700"/>
            <w:vAlign w:val="center"/>
          </w:tcPr>
          <w:p>
            <w:pPr>
              <w:spacing w:after="0" w:line="252" w:lineRule="auto"/>
            </w:pPr>
            <w:r>
              <w:rPr>
                <w:rFonts w:ascii="宋体" w:hAnsi="宋体" w:eastAsia="宋体"/>
                <w:sz w:val="17"/>
              </w:rPr>
              <w:t>欧拉角需按旋转顺序转换，不能仅换名称</w:t>
            </w:r>
          </w:p>
        </w:tc>
      </w:tr>
    </w:tbl>
    <w:p>
      <w:pPr>
        <w:pStyle w:val="Heading2"/>
      </w:pPr>
      <w:r>
        <w:t>2.4 一阶挥舞动力学</w:t>
      </w:r>
    </w:p>
    <w:p>
      <w:r>
        <w:t>刚性铰接或等效铰接旋翼的一阶挥舞可写成方位角谐波：</w:t>
      </w:r>
    </w:p>
    <w:p>
      <w:pPr>
        <w:pStyle w:val="Equation"/>
      </w:pPr>
      <m:oMath>
        <m:r>
          <m:t>β(ψ)=</m:t>
        </m:r>
        <m:sSub>
          <m:e>
            <m:r>
              <m:t>β</m:t>
            </m:r>
          </m:e>
          <m:sub>
            <m:r>
              <m:t>0</m:t>
            </m:r>
          </m:sub>
        </m:sSub>
        <m:r>
          <m:t>+</m:t>
        </m:r>
        <m:sSub>
          <m:e>
            <m:r>
              <m:t>β</m:t>
            </m:r>
          </m:e>
          <m:sub>
            <m:r>
              <m:t>1c</m:t>
            </m:r>
          </m:sub>
        </m:sSub>
        <m:r>
          <m:rPr>
            <m:sty m:val="p"/>
          </m:rPr>
          <m:t>cos</m:t>
        </m:r>
        <m:r>
          <m:t>ψ+</m:t>
        </m:r>
        <m:sSub>
          <m:e>
            <m:r>
              <m:t>β</m:t>
            </m:r>
          </m:e>
          <m:sub>
            <m:r>
              <m:t>1s</m:t>
            </m:r>
          </m:sub>
        </m:sSub>
        <m:r>
          <m:rPr>
            <m:sty m:val="p"/>
          </m:rPr>
          <m:t>sin</m:t>
        </m:r>
        <m:r>
          <m:t>ψ</m:t>
        </m:r>
      </m:oMath>
    </w:p>
    <w:p>
      <w:r>
        <w:t>其中 β₀ 为锥度，β₁c 与 β₁s 分别对应一阶纵向和横向挥舞分量。入流分布会直接改变叶素迎角和挥舞力矩，因此动态入流状态应与挥舞、机体运动同步积分。</w:t>
      </w:r>
    </w:p>
    <w:p>
      <w:pPr>
        <w:pStyle w:val="Heading1"/>
      </w:pPr>
      <w:r>
        <w:t>三、动态入流理论与 Pitt–Peters 模型</w:t>
      </w:r>
    </w:p>
    <w:p>
      <w:pPr>
        <w:pStyle w:val="Heading2"/>
      </w:pPr>
      <w:r>
        <w:t>3.1 为什么需要动态入流</w:t>
      </w:r>
    </w:p>
    <w:p>
      <w:r>
        <w:t>准稳态模型假定诱导速度立即跟随载荷变化，但真实尾迹具有质量与卷吸惯性。当总距、周期变距、机体速度或姿态快速变化时，桨盘载荷先改变，入流随后建立。忽略该滞后会造成相位和幅值误差，尤其影响短周期响应、操纵导数和涡环进入过程。</w:t>
      </w:r>
    </w:p>
    <w:p>
      <w:pPr>
        <w:pStyle w:val="Heading2"/>
      </w:pPr>
      <w:r>
        <w:t>3.2 Pitt–Peters 模型的出处</w:t>
      </w:r>
    </w:p>
    <w:tbl>
      <w:tblPr>
        <w:tblW w:type="auto" w:w="0"/>
        <w:jc w:val="center"/>
        <w:tblLayout w:type="fixed"/>
        <w:tblLook w:firstColumn="1" w:firstRow="1" w:lastColumn="0" w:lastRow="0" w:noHBand="0" w:noVBand="1" w:val="04A0"/>
      </w:tblPr>
      <w:tblGrid>
        <w:gridCol w:w="9648"/>
      </w:tblGrid>
      <w:tr>
        <w:tc>
          <w:tcPr>
            <w:tcW w:type="dxa" w:w="9300"/>
            <w:shd w:fill="EAF2F8"/>
          </w:tcPr>
          <w:p>
            <w:pPr>
              <w:spacing w:after="40"/>
            </w:pPr>
            <w:r>
              <w:rPr>
                <w:b/>
                <w:color w:val="1F4E79"/>
              </w:rPr>
              <w:t xml:space="preserve">原始出处  </w:t>
            </w:r>
            <w:r>
              <w:t>Dale M. Pitt 与 David A. Peters 在 1980 年第六届 European Rotorcraft and Powered Lift Aircraft Forum 发表论文 Theoretical Prediction of Dynamic-Inflow Derivatives（Paper No. 47）。Pitt–Peters 模型的名称和三状态有限状态形式由该工作发展而来。</w:t>
            </w:r>
          </w:p>
        </w:tc>
      </w:tr>
    </w:tbl>
    <w:p>
      <w:pPr>
        <w:spacing w:after="0"/>
      </w:pPr>
    </w:p>
    <w:p>
      <w:r>
        <w:t>该论文的公开扫描件可从欧洲旋翼机论坛文献库获取：</w:t>
      </w:r>
    </w:p>
    <w:p>
      <w:hyperlink r:id="rId11">
        <w:r>
          <w:rPr>
            <w:color w:val="0563C1"/>
            <w:u w:val="single"/>
          </w:rPr>
          <w:t>ERF 1980 原文扫描件</w:t>
        </w:r>
      </w:hyperlink>
    </w:p>
    <w:p>
      <w:r>
        <w:t>Peters 对有限状态尾迹/动态入流模型的后续回顾可用于理解模型发展脉络：</w:t>
      </w:r>
    </w:p>
    <w:p>
      <w:hyperlink r:id="rId12">
        <w:r>
          <w:rPr>
            <w:color w:val="0563C1"/>
            <w:u w:val="single"/>
          </w:rPr>
          <w:t>DTIC：Finite State Induced Flow Models Part I</w:t>
        </w:r>
      </w:hyperlink>
    </w:p>
    <w:p>
      <w:pPr>
        <w:pStyle w:val="Heading2"/>
      </w:pPr>
      <w:r>
        <w:t>3.3 三状态有限状态表达</w:t>
      </w:r>
    </w:p>
    <w:p>
      <w:r>
        <w:t>Pitt–Peters 模型用均匀入流和两个一阶谐波表示桨盘入流分布：</w:t>
      </w:r>
    </w:p>
    <w:p>
      <w:pPr>
        <w:pStyle w:val="Equation"/>
      </w:pPr>
      <m:oMath>
        <m:r>
          <m:t>λ(r,ψ)=</m:t>
        </m:r>
        <m:sSub>
          <m:e>
            <m:r>
              <m:t>λ</m:t>
            </m:r>
          </m:e>
          <m:sub>
            <m:r>
              <m:t>0</m:t>
            </m:r>
          </m:sub>
        </m:sSub>
        <m:r>
          <m:t>+</m:t>
        </m:r>
        <m:f>
          <m:fPr>
            <m:type m:val="bar"/>
          </m:fPr>
          <m:num>
            <m:r>
              <m:t>r</m:t>
            </m:r>
          </m:num>
          <m:den>
            <m:r>
              <m:t>R</m:t>
            </m:r>
          </m:den>
        </m:f>
        <m:sSub>
          <m:e>
            <m:r>
              <m:t>λ</m:t>
            </m:r>
          </m:e>
          <m:sub>
            <m:r>
              <m:t>1c</m:t>
            </m:r>
          </m:sub>
        </m:sSub>
        <m:r>
          <m:rPr>
            <m:sty m:val="p"/>
          </m:rPr>
          <m:t>cos</m:t>
        </m:r>
        <m:r>
          <m:t>ψ+</m:t>
        </m:r>
        <m:f>
          <m:fPr>
            <m:type m:val="bar"/>
          </m:fPr>
          <m:num>
            <m:r>
              <m:t>r</m:t>
            </m:r>
          </m:num>
          <m:den>
            <m:r>
              <m:t>R</m:t>
            </m:r>
          </m:den>
        </m:f>
        <m:sSub>
          <m:e>
            <m:r>
              <m:t>λ</m:t>
            </m:r>
          </m:e>
          <m:sub>
            <m:r>
              <m:t>1s</m:t>
            </m:r>
          </m:sub>
        </m:sSub>
        <m:r>
          <m:rPr>
            <m:sty m:val="p"/>
          </m:rPr>
          <m:t>sin</m:t>
        </m:r>
        <m:r>
          <m:t>ψ</m:t>
        </m:r>
      </m:oMath>
    </w:p>
    <w:p>
      <w:pPr>
        <w:pStyle w:val="Equation"/>
      </w:pPr>
      <m:oMath>
        <m:r>
          <m:rPr>
            <m:sty m:val="bi"/>
          </m:rPr>
          <m:t>λ</m:t>
        </m:r>
        <m:r>
          <m:t>=</m:t>
        </m:r>
        <m:sSup>
          <m:e>
            <m:r>
              <m:t>[</m:t>
            </m:r>
          </m:e>
          <m:sup>
            <m:m>
              <m:mPr>
                <m:baseJc m:val="center"/>
                <m:plcHide m:val="on"/>
                <m:mcs>
                  <m:mc>
                    <m:mcPr>
                      <m:count m:val="3"/>
                      <m:mcJc m:val="center"/>
                    </m:mcPr>
                  </m:mc>
                </m:mcs>
              </m:mPr>
              <m:mr>
                <m:e>
                  <m:sSub>
                    <m:e>
                      <m:r>
                        <m:t>λ</m:t>
                      </m:r>
                    </m:e>
                    <m:sub>
                      <m:r>
                        <m:t>0</m:t>
                      </m:r>
                    </m:sub>
                  </m:sSub>
                </m:e>
                <m:e>
                  <m:sSub>
                    <m:e>
                      <m:r>
                        <m:t>λ</m:t>
                      </m:r>
                    </m:e>
                    <m:sub>
                      <m:r>
                        <m:t>1c</m:t>
                      </m:r>
                    </m:sub>
                  </m:sSub>
                </m:e>
                <m:e>
                  <m:sSub>
                    <m:e>
                      <m:r>
                        <m:t>λ</m:t>
                      </m:r>
                    </m:e>
                    <m:sub>
                      <m:r>
                        <m:t>1s</m:t>
                      </m:r>
                    </m:sub>
                  </m:sSub>
                </m:e>
              </m:mr>
            </m:m>
          </m:sup>
        </m:sSup>
      </m:oMath>
    </w:p>
    <w:p>
      <w:r>
        <w:t>其一般状态方程可写为：</w:t>
      </w:r>
    </w:p>
    <w:p>
      <w:pPr>
        <w:pStyle w:val="Equation"/>
      </w:pPr>
      <m:oMath>
        <m:r>
          <m:t>𝐌</m:t>
        </m:r>
        <m:limUpp>
          <m:e>
            <m:r>
              <m:rPr>
                <m:sty m:val="bi"/>
              </m:rPr>
              <m:t>λ</m:t>
            </m:r>
          </m:e>
          <m:lim>
            <m:r>
              <m:t>˙</m:t>
            </m:r>
          </m:lim>
        </m:limUpp>
        <m:r>
          <m:t>+</m:t>
        </m:r>
        <m:sSup>
          <m:e>
            <m:r>
              <m:t>𝐋</m:t>
            </m:r>
          </m:e>
          <m:sup>
            <m:r>
              <m:t>−1</m:t>
            </m:r>
          </m:sup>
        </m:sSup>
        <m:r>
          <m:rPr>
            <m:sty m:val="bi"/>
          </m:rPr>
          <m:t>λ</m:t>
        </m:r>
        <m:r>
          <m:t>=𝐂</m:t>
        </m:r>
      </m:oMath>
    </w:p>
    <w:p>
      <w:pPr>
        <w:pStyle w:val="Equation"/>
      </w:pPr>
      <m:oMath>
        <m:r>
          <m:t>𝐂=</m:t>
        </m:r>
        <m:sSup>
          <m:e>
            <m:r>
              <m:t>[</m:t>
            </m:r>
          </m:e>
          <m:sup>
            <m:m>
              <m:mPr>
                <m:baseJc m:val="center"/>
                <m:plcHide m:val="on"/>
                <m:mcs>
                  <m:mc>
                    <m:mcPr>
                      <m:count m:val="3"/>
                      <m:mcJc m:val="center"/>
                    </m:mcPr>
                  </m:mc>
                </m:mcs>
              </m:mPr>
              <m:mr>
                <m:e>
                  <m:sSub>
                    <m:e>
                      <m:r>
                        <m:t>C</m:t>
                      </m:r>
                    </m:e>
                    <m:sub>
                      <m:r>
                        <m:t>T</m:t>
                      </m:r>
                    </m:sub>
                  </m:sSub>
                </m:e>
                <m:e>
                  <m:sSub>
                    <m:e>
                      <m:r>
                        <m:t>C</m:t>
                      </m:r>
                    </m:e>
                    <m:sub>
                      <m:r>
                        <m:t>L</m:t>
                      </m:r>
                    </m:sub>
                  </m:sSub>
                </m:e>
                <m:e>
                  <m:sSub>
                    <m:e>
                      <m:r>
                        <m:t>C</m:t>
                      </m:r>
                    </m:e>
                    <m:sub>
                      <m:r>
                        <m:t>M</m:t>
                      </m:r>
                    </m:sub>
                  </m:sSub>
                </m:e>
              </m:mr>
            </m:m>
          </m:sup>
        </m:sSup>
      </m:oMath>
    </w:p>
    <w:p>
      <w:r>
        <w:t>M 为视在质量矩阵，L 为随尾迹偏斜角、合速度和工作状态变化的增益矩阵，C 为推力与盘面力矩系数向量。模型利用少量状态捕获桨盘平均入流及一阶不均匀入流，计算量小，适合与六自由度飞行动力学联立。</w:t>
      </w:r>
    </w:p>
    <w:p>
      <w:pPr>
        <w:pStyle w:val="Heading2"/>
      </w:pPr>
      <w:r>
        <w:t>3.4 适用范围与涡环区问题</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6"/>
        <w:gridCol w:w="3216"/>
        <w:gridCol w:w="3216"/>
      </w:tblGrid>
      <w:tr>
        <w:trPr>
          <w:tblHeader w:val="true"/>
        </w:trPr>
        <w:tc>
          <w:tcPr>
            <w:tcW w:type="dxa" w:w="1700"/>
            <w:shd w:fill="DCE6F1"/>
            <w:vAlign w:val="center"/>
          </w:tcPr>
          <w:p>
            <w:pPr>
              <w:spacing w:after="0"/>
              <w:jc w:val="center"/>
            </w:pPr>
            <w:r>
              <w:rPr>
                <w:rFonts w:ascii="微软雅黑" w:hAnsi="微软雅黑" w:eastAsia="微软雅黑"/>
                <w:b/>
                <w:sz w:val="19"/>
              </w:rPr>
              <w:t>能力</w:t>
            </w:r>
          </w:p>
        </w:tc>
        <w:tc>
          <w:tcPr>
            <w:tcW w:type="dxa" w:w="3400"/>
            <w:shd w:fill="DCE6F1"/>
            <w:vAlign w:val="center"/>
          </w:tcPr>
          <w:p>
            <w:pPr>
              <w:spacing w:after="0"/>
              <w:jc w:val="center"/>
            </w:pPr>
            <w:r>
              <w:rPr>
                <w:rFonts w:ascii="微软雅黑" w:hAnsi="微软雅黑" w:eastAsia="微软雅黑"/>
                <w:b/>
                <w:sz w:val="19"/>
              </w:rPr>
              <w:t>Pitt–Peters 表现</w:t>
            </w:r>
          </w:p>
        </w:tc>
        <w:tc>
          <w:tcPr>
            <w:tcW w:type="dxa" w:w="4200"/>
            <w:shd w:fill="DCE6F1"/>
            <w:vAlign w:val="center"/>
          </w:tcPr>
          <w:p>
            <w:pPr>
              <w:spacing w:after="0"/>
              <w:jc w:val="center"/>
            </w:pPr>
            <w:r>
              <w:rPr>
                <w:rFonts w:ascii="微软雅黑" w:hAnsi="微软雅黑" w:eastAsia="微软雅黑"/>
                <w:b/>
                <w:sz w:val="19"/>
              </w:rPr>
              <w:t>涡环区注意事项</w:t>
            </w:r>
          </w:p>
        </w:tc>
      </w:tr>
      <w:tr>
        <w:tc>
          <w:tcPr>
            <w:tcW w:type="dxa" w:w="1700"/>
            <w:vAlign w:val="center"/>
          </w:tcPr>
          <w:p>
            <w:pPr>
              <w:spacing w:after="0" w:line="264" w:lineRule="auto"/>
            </w:pPr>
            <w:r>
              <w:rPr>
                <w:rFonts w:ascii="宋体" w:hAnsi="宋体" w:eastAsia="宋体"/>
                <w:sz w:val="18"/>
              </w:rPr>
              <w:t>动态滞后</w:t>
            </w:r>
          </w:p>
        </w:tc>
        <w:tc>
          <w:tcPr>
            <w:tcW w:type="dxa" w:w="3400"/>
            <w:vAlign w:val="center"/>
          </w:tcPr>
          <w:p>
            <w:pPr>
              <w:spacing w:after="0" w:line="264" w:lineRule="auto"/>
            </w:pPr>
            <w:r>
              <w:rPr>
                <w:rFonts w:ascii="宋体" w:hAnsi="宋体" w:eastAsia="宋体"/>
                <w:sz w:val="18"/>
              </w:rPr>
              <w:t>能够描述载荷变化后的入流建立过程</w:t>
            </w:r>
          </w:p>
        </w:tc>
        <w:tc>
          <w:tcPr>
            <w:tcW w:type="dxa" w:w="4200"/>
            <w:vAlign w:val="center"/>
          </w:tcPr>
          <w:p>
            <w:pPr>
              <w:spacing w:after="0" w:line="264" w:lineRule="auto"/>
            </w:pPr>
            <w:r>
              <w:rPr>
                <w:rFonts w:ascii="宋体" w:hAnsi="宋体" w:eastAsia="宋体"/>
                <w:sz w:val="18"/>
              </w:rPr>
              <w:t>特征时间可能随流态显著变化</w:t>
            </w:r>
          </w:p>
        </w:tc>
      </w:tr>
      <w:tr>
        <w:tc>
          <w:tcPr>
            <w:tcW w:type="dxa" w:w="1700"/>
            <w:shd w:fill="F3F6F9"/>
            <w:vAlign w:val="center"/>
          </w:tcPr>
          <w:p>
            <w:pPr>
              <w:spacing w:after="0" w:line="264" w:lineRule="auto"/>
            </w:pPr>
            <w:r>
              <w:rPr>
                <w:rFonts w:ascii="宋体" w:hAnsi="宋体" w:eastAsia="宋体"/>
                <w:sz w:val="18"/>
              </w:rPr>
              <w:t>盘面不均匀</w:t>
            </w:r>
          </w:p>
        </w:tc>
        <w:tc>
          <w:tcPr>
            <w:tcW w:type="dxa" w:w="3400"/>
            <w:shd w:fill="F3F6F9"/>
            <w:vAlign w:val="center"/>
          </w:tcPr>
          <w:p>
            <w:pPr>
              <w:spacing w:after="0" w:line="264" w:lineRule="auto"/>
            </w:pPr>
            <w:r>
              <w:rPr>
                <w:rFonts w:ascii="宋体" w:hAnsi="宋体" w:eastAsia="宋体"/>
                <w:sz w:val="18"/>
              </w:rPr>
              <w:t>包含纵、横向一阶谐波</w:t>
            </w:r>
          </w:p>
        </w:tc>
        <w:tc>
          <w:tcPr>
            <w:tcW w:type="dxa" w:w="4200"/>
            <w:shd w:fill="F3F6F9"/>
            <w:vAlign w:val="center"/>
          </w:tcPr>
          <w:p>
            <w:pPr>
              <w:spacing w:after="0" w:line="264" w:lineRule="auto"/>
            </w:pPr>
            <w:r>
              <w:rPr>
                <w:rFonts w:ascii="宋体" w:hAnsi="宋体" w:eastAsia="宋体"/>
                <w:sz w:val="18"/>
              </w:rPr>
              <w:t>无法直接表达强烈涡团和高阶空间结构</w:t>
            </w:r>
          </w:p>
        </w:tc>
      </w:tr>
      <w:tr>
        <w:tc>
          <w:tcPr>
            <w:tcW w:type="dxa" w:w="1700"/>
            <w:vAlign w:val="center"/>
          </w:tcPr>
          <w:p>
            <w:pPr>
              <w:spacing w:after="0" w:line="264" w:lineRule="auto"/>
            </w:pPr>
            <w:r>
              <w:rPr>
                <w:rFonts w:ascii="宋体" w:hAnsi="宋体" w:eastAsia="宋体"/>
                <w:sz w:val="18"/>
              </w:rPr>
              <w:t>计算成本</w:t>
            </w:r>
          </w:p>
        </w:tc>
        <w:tc>
          <w:tcPr>
            <w:tcW w:type="dxa" w:w="3400"/>
            <w:vAlign w:val="center"/>
          </w:tcPr>
          <w:p>
            <w:pPr>
              <w:spacing w:after="0" w:line="264" w:lineRule="auto"/>
            </w:pPr>
            <w:r>
              <w:rPr>
                <w:rFonts w:ascii="宋体" w:hAnsi="宋体" w:eastAsia="宋体"/>
                <w:sz w:val="18"/>
              </w:rPr>
              <w:t>状态数少，适合实时或批量仿真</w:t>
            </w:r>
          </w:p>
        </w:tc>
        <w:tc>
          <w:tcPr>
            <w:tcW w:type="dxa" w:w="4200"/>
            <w:vAlign w:val="center"/>
          </w:tcPr>
          <w:p>
            <w:pPr>
              <w:spacing w:after="0" w:line="264" w:lineRule="auto"/>
            </w:pPr>
            <w:r>
              <w:rPr>
                <w:rFonts w:ascii="宋体" w:hAnsi="宋体" w:eastAsia="宋体"/>
                <w:sz w:val="18"/>
              </w:rPr>
              <w:t>需要外加边界判据和经验修正</w:t>
            </w:r>
          </w:p>
        </w:tc>
      </w:tr>
      <w:tr>
        <w:tc>
          <w:tcPr>
            <w:tcW w:type="dxa" w:w="1700"/>
            <w:shd w:fill="F3F6F9"/>
            <w:vAlign w:val="center"/>
          </w:tcPr>
          <w:p>
            <w:pPr>
              <w:spacing w:after="0" w:line="264" w:lineRule="auto"/>
            </w:pPr>
            <w:r>
              <w:rPr>
                <w:rFonts w:ascii="宋体" w:hAnsi="宋体" w:eastAsia="宋体"/>
                <w:sz w:val="18"/>
              </w:rPr>
              <w:t>稳态关系</w:t>
            </w:r>
          </w:p>
        </w:tc>
        <w:tc>
          <w:tcPr>
            <w:tcW w:type="dxa" w:w="3400"/>
            <w:shd w:fill="F3F6F9"/>
            <w:vAlign w:val="center"/>
          </w:tcPr>
          <w:p>
            <w:pPr>
              <w:spacing w:after="0" w:line="264" w:lineRule="auto"/>
            </w:pPr>
            <w:r>
              <w:rPr>
                <w:rFonts w:ascii="宋体" w:hAnsi="宋体" w:eastAsia="宋体"/>
                <w:sz w:val="18"/>
              </w:rPr>
              <w:t>正常工作状态下物理清晰</w:t>
            </w:r>
          </w:p>
        </w:tc>
        <w:tc>
          <w:tcPr>
            <w:tcW w:type="dxa" w:w="4200"/>
            <w:shd w:fill="F3F6F9"/>
            <w:vAlign w:val="center"/>
          </w:tcPr>
          <w:p>
            <w:pPr>
              <w:spacing w:after="0" w:line="264" w:lineRule="auto"/>
            </w:pPr>
            <w:r>
              <w:rPr>
                <w:rFonts w:ascii="宋体" w:hAnsi="宋体" w:eastAsia="宋体"/>
                <w:sz w:val="18"/>
              </w:rPr>
              <w:t>经典动量闭合在涡环区可能多值或不稳定</w:t>
            </w:r>
          </w:p>
        </w:tc>
      </w:tr>
    </w:tbl>
    <w:p>
      <w:pPr>
        <w:spacing w:after="0"/>
      </w:pPr>
    </w:p>
    <w:p>
      <w:r>
        <w:t>因此，本项目不把 Pitt–Peters 模型单独当作完整涡环模型，而是把它作为正常工作状态与非定常过程的动态入流骨架；进入涡环边界后，均匀入流分量由 Johnson 类修正控制，一阶谐波则保留动态状态并施加连续过渡。</w:t>
      </w:r>
    </w:p>
    <w:p>
      <w:pPr>
        <w:pStyle w:val="Heading1"/>
      </w:pPr>
      <w:r>
        <w:t>四、涡环状态的物理机制与经典研究</w:t>
      </w:r>
    </w:p>
    <w:p>
      <w:pPr>
        <w:pStyle w:val="Heading2"/>
      </w:pPr>
      <w:r>
        <w:t>4.1 形成机理</w:t>
      </w:r>
    </w:p>
    <w:p>
      <w:r>
        <w:t>涡环状态通常出现在旋翼保持较大功率、直升机低速或近垂直下降时。旋翼向下加速的尾流与机体下降方向相反；当下降速度达到与诱导速度相当的量级，外部气流可能重新进入桨盘，桨尖涡回卷并形成环状再循环区。桨盘局部区域反复吸入已加速气流，造成推力波动、振动增强、操纵响应变差和下降率增大。</w:t>
      </w:r>
    </w:p>
    <w:p>
      <w:pPr>
        <w:pStyle w:val="ListBullet"/>
      </w:pPr>
      <w:r>
        <w:t>必须有明显的向下速度分量；</w:t>
      </w:r>
    </w:p>
    <w:p>
      <w:pPr>
        <w:pStyle w:val="ListBullet"/>
      </w:pPr>
      <w:r>
        <w:t>水平速度较小，旋翼难以通过前飞脱离自身尾迹；</w:t>
      </w:r>
    </w:p>
    <w:p>
      <w:pPr>
        <w:pStyle w:val="ListBullet"/>
      </w:pPr>
      <w:r>
        <w:t>旋翼仍以较大功率工作，尾迹强度足以维持回卷；</w:t>
      </w:r>
    </w:p>
    <w:p>
      <w:pPr>
        <w:pStyle w:val="ListBullet"/>
      </w:pPr>
      <w:r>
        <w:t>进入边界受推力系数、总距、桨尖涡结构和机体干扰影响。</w:t>
      </w:r>
    </w:p>
    <w:p>
      <w:pPr>
        <w:pStyle w:val="Heading2"/>
      </w:pPr>
      <w:r>
        <w:t>4.2 经典分区</w:t>
      </w:r>
    </w:p>
    <w:p>
      <w:r>
        <w:t>轴向下降中的旋翼流态一般可按下降率从小到大划分为正常工作状态、涡环状态、湍流尾迹状态和风车制动状态。分区之间没有严格的单一直线边界，实际观测常表现为过渡带。</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6"/>
        <w:gridCol w:w="3216"/>
        <w:gridCol w:w="3216"/>
      </w:tblGrid>
      <w:tr>
        <w:trPr>
          <w:tblHeader w:val="true"/>
        </w:trPr>
        <w:tc>
          <w:tcPr>
            <w:tcW w:type="dxa" w:w="1850"/>
            <w:shd w:fill="DCE6F1"/>
            <w:vAlign w:val="center"/>
          </w:tcPr>
          <w:p>
            <w:pPr>
              <w:spacing w:after="0"/>
              <w:jc w:val="center"/>
            </w:pPr>
            <w:r>
              <w:rPr>
                <w:rFonts w:ascii="微软雅黑" w:hAnsi="微软雅黑" w:eastAsia="微软雅黑"/>
                <w:b/>
                <w:sz w:val="19"/>
              </w:rPr>
              <w:t>流态</w:t>
            </w:r>
          </w:p>
        </w:tc>
        <w:tc>
          <w:tcPr>
            <w:tcW w:type="dxa" w:w="3550"/>
            <w:shd w:fill="DCE6F1"/>
            <w:vAlign w:val="center"/>
          </w:tcPr>
          <w:p>
            <w:pPr>
              <w:spacing w:after="0"/>
              <w:jc w:val="center"/>
            </w:pPr>
            <w:r>
              <w:rPr>
                <w:rFonts w:ascii="微软雅黑" w:hAnsi="微软雅黑" w:eastAsia="微软雅黑"/>
                <w:b/>
                <w:sz w:val="19"/>
              </w:rPr>
              <w:t>主要流动特征</w:t>
            </w:r>
          </w:p>
        </w:tc>
        <w:tc>
          <w:tcPr>
            <w:tcW w:type="dxa" w:w="3900"/>
            <w:shd w:fill="DCE6F1"/>
            <w:vAlign w:val="center"/>
          </w:tcPr>
          <w:p>
            <w:pPr>
              <w:spacing w:after="0"/>
              <w:jc w:val="center"/>
            </w:pPr>
            <w:r>
              <w:rPr>
                <w:rFonts w:ascii="微软雅黑" w:hAnsi="微软雅黑" w:eastAsia="微软雅黑"/>
                <w:b/>
                <w:sz w:val="19"/>
              </w:rPr>
              <w:t>低阶建模含义</w:t>
            </w:r>
          </w:p>
        </w:tc>
      </w:tr>
      <w:tr>
        <w:tc>
          <w:tcPr>
            <w:tcW w:type="dxa" w:w="1850"/>
            <w:vAlign w:val="center"/>
          </w:tcPr>
          <w:p>
            <w:pPr>
              <w:spacing w:after="0" w:line="264" w:lineRule="auto"/>
            </w:pPr>
            <w:r>
              <w:rPr>
                <w:rFonts w:ascii="宋体" w:hAnsi="宋体" w:eastAsia="宋体"/>
                <w:sz w:val="18"/>
              </w:rPr>
              <w:t>正常工作状态</w:t>
            </w:r>
          </w:p>
        </w:tc>
        <w:tc>
          <w:tcPr>
            <w:tcW w:type="dxa" w:w="3550"/>
            <w:vAlign w:val="center"/>
          </w:tcPr>
          <w:p>
            <w:pPr>
              <w:spacing w:after="0" w:line="264" w:lineRule="auto"/>
            </w:pPr>
            <w:r>
              <w:rPr>
                <w:rFonts w:ascii="宋体" w:hAnsi="宋体" w:eastAsia="宋体"/>
                <w:sz w:val="18"/>
              </w:rPr>
              <w:t>尾迹总体向下，桨盘流动较有序</w:t>
            </w:r>
          </w:p>
        </w:tc>
        <w:tc>
          <w:tcPr>
            <w:tcW w:type="dxa" w:w="3900"/>
            <w:vAlign w:val="center"/>
          </w:tcPr>
          <w:p>
            <w:pPr>
              <w:spacing w:after="0" w:line="264" w:lineRule="auto"/>
            </w:pPr>
            <w:r>
              <w:rPr>
                <w:rFonts w:ascii="宋体" w:hAnsi="宋体" w:eastAsia="宋体"/>
                <w:sz w:val="18"/>
              </w:rPr>
              <w:t>动量理论和动态入流可直接使用</w:t>
            </w:r>
          </w:p>
        </w:tc>
      </w:tr>
      <w:tr>
        <w:tc>
          <w:tcPr>
            <w:tcW w:type="dxa" w:w="1850"/>
            <w:shd w:fill="F3F6F9"/>
            <w:vAlign w:val="center"/>
          </w:tcPr>
          <w:p>
            <w:pPr>
              <w:spacing w:after="0" w:line="264" w:lineRule="auto"/>
            </w:pPr>
            <w:r>
              <w:rPr>
                <w:rFonts w:ascii="宋体" w:hAnsi="宋体" w:eastAsia="宋体"/>
                <w:sz w:val="18"/>
              </w:rPr>
              <w:t>涡环状态</w:t>
            </w:r>
          </w:p>
        </w:tc>
        <w:tc>
          <w:tcPr>
            <w:tcW w:type="dxa" w:w="3550"/>
            <w:shd w:fill="F3F6F9"/>
            <w:vAlign w:val="center"/>
          </w:tcPr>
          <w:p>
            <w:pPr>
              <w:spacing w:after="0" w:line="264" w:lineRule="auto"/>
            </w:pPr>
            <w:r>
              <w:rPr>
                <w:rFonts w:ascii="宋体" w:hAnsi="宋体" w:eastAsia="宋体"/>
                <w:sz w:val="18"/>
              </w:rPr>
              <w:t>尾迹回卷、再循环、强非定常</w:t>
            </w:r>
          </w:p>
        </w:tc>
        <w:tc>
          <w:tcPr>
            <w:tcW w:type="dxa" w:w="3900"/>
            <w:shd w:fill="F3F6F9"/>
            <w:vAlign w:val="center"/>
          </w:tcPr>
          <w:p>
            <w:pPr>
              <w:spacing w:after="0" w:line="264" w:lineRule="auto"/>
            </w:pPr>
            <w:r>
              <w:rPr>
                <w:rFonts w:ascii="宋体" w:hAnsi="宋体" w:eastAsia="宋体"/>
                <w:sz w:val="18"/>
              </w:rPr>
              <w:t>需要经验边界和平均入流修正</w:t>
            </w:r>
          </w:p>
        </w:tc>
      </w:tr>
      <w:tr>
        <w:tc>
          <w:tcPr>
            <w:tcW w:type="dxa" w:w="1850"/>
            <w:vAlign w:val="center"/>
          </w:tcPr>
          <w:p>
            <w:pPr>
              <w:spacing w:after="0" w:line="264" w:lineRule="auto"/>
            </w:pPr>
            <w:r>
              <w:rPr>
                <w:rFonts w:ascii="宋体" w:hAnsi="宋体" w:eastAsia="宋体"/>
                <w:sz w:val="18"/>
              </w:rPr>
              <w:t>湍流尾迹状态</w:t>
            </w:r>
          </w:p>
        </w:tc>
        <w:tc>
          <w:tcPr>
            <w:tcW w:type="dxa" w:w="3550"/>
            <w:vAlign w:val="center"/>
          </w:tcPr>
          <w:p>
            <w:pPr>
              <w:spacing w:after="0" w:line="264" w:lineRule="auto"/>
            </w:pPr>
            <w:r>
              <w:rPr>
                <w:rFonts w:ascii="宋体" w:hAnsi="宋体" w:eastAsia="宋体"/>
                <w:sz w:val="18"/>
              </w:rPr>
              <w:t>尾迹破碎，诱导速度波动明显</w:t>
            </w:r>
          </w:p>
        </w:tc>
        <w:tc>
          <w:tcPr>
            <w:tcW w:type="dxa" w:w="3900"/>
            <w:vAlign w:val="center"/>
          </w:tcPr>
          <w:p>
            <w:pPr>
              <w:spacing w:after="0" w:line="264" w:lineRule="auto"/>
            </w:pPr>
            <w:r>
              <w:rPr>
                <w:rFonts w:ascii="宋体" w:hAnsi="宋体" w:eastAsia="宋体"/>
                <w:sz w:val="18"/>
              </w:rPr>
              <w:t>低阶模型仅能给出统计或平均效果</w:t>
            </w:r>
          </w:p>
        </w:tc>
      </w:tr>
      <w:tr>
        <w:tc>
          <w:tcPr>
            <w:tcW w:type="dxa" w:w="1850"/>
            <w:shd w:fill="F3F6F9"/>
            <w:vAlign w:val="center"/>
          </w:tcPr>
          <w:p>
            <w:pPr>
              <w:spacing w:after="0" w:line="264" w:lineRule="auto"/>
            </w:pPr>
            <w:r>
              <w:rPr>
                <w:rFonts w:ascii="宋体" w:hAnsi="宋体" w:eastAsia="宋体"/>
                <w:sz w:val="18"/>
              </w:rPr>
              <w:t>风车制动状态</w:t>
            </w:r>
          </w:p>
        </w:tc>
        <w:tc>
          <w:tcPr>
            <w:tcW w:type="dxa" w:w="3550"/>
            <w:shd w:fill="F3F6F9"/>
            <w:vAlign w:val="center"/>
          </w:tcPr>
          <w:p>
            <w:pPr>
              <w:spacing w:after="0" w:line="264" w:lineRule="auto"/>
            </w:pPr>
            <w:r>
              <w:rPr>
                <w:rFonts w:ascii="宋体" w:hAnsi="宋体" w:eastAsia="宋体"/>
                <w:sz w:val="18"/>
              </w:rPr>
              <w:t>气流穿过桨盘并向旋翼输入能量</w:t>
            </w:r>
          </w:p>
        </w:tc>
        <w:tc>
          <w:tcPr>
            <w:tcW w:type="dxa" w:w="3900"/>
            <w:shd w:fill="F3F6F9"/>
            <w:vAlign w:val="center"/>
          </w:tcPr>
          <w:p>
            <w:pPr>
              <w:spacing w:after="0" w:line="264" w:lineRule="auto"/>
            </w:pPr>
            <w:r>
              <w:rPr>
                <w:rFonts w:ascii="宋体" w:hAnsi="宋体" w:eastAsia="宋体"/>
                <w:sz w:val="18"/>
              </w:rPr>
              <w:t>需切换到自转/风车制动关系</w:t>
            </w:r>
          </w:p>
        </w:tc>
      </w:tr>
    </w:tbl>
    <w:p>
      <w:pPr>
        <w:spacing w:after="0"/>
      </w:pPr>
    </w:p>
    <w:p>
      <w:pPr>
        <w:pStyle w:val="Heading2"/>
      </w:pPr>
      <w:r>
        <w:t>4.3 运行判据与研究边界</w:t>
      </w:r>
    </w:p>
    <w:p>
      <w:r>
        <w:t>FAA 的飞行训练资料常以“有动力、低水平速度、较大下降率”描述易进入条件。这类判据适合运行解释，但不能直接替代仿真边界。研究模型应采用无量纲速度平面中的边界函数，并允许通过旋翼参数和试验数据标定。</w:t>
      </w:r>
    </w:p>
    <w:p>
      <w:pPr>
        <w:pStyle w:val="Equation"/>
      </w:pPr>
      <m:oMath>
        <m:sSub>
          <m:e>
            <m:r>
              <m:t>F</m:t>
            </m:r>
          </m:e>
          <m:sub>
            <m:r>
              <m:t>VRS</m:t>
            </m:r>
          </m:sub>
        </m:sSub>
        <m:r>
          <m:t>(</m:t>
        </m:r>
        <m:sSub>
          <m:e>
            <m:bar>
              <m:barPr>
                <m:pos m:val="top"/>
              </m:barPr>
              <m:e>
                <m:r>
                  <m:t>V</m:t>
                </m:r>
              </m:e>
            </m:bar>
          </m:e>
          <m:sub>
            <m:r>
              <m:t>h</m:t>
            </m:r>
          </m:sub>
        </m:sSub>
        <m:r>
          <m:t>,</m:t>
        </m:r>
        <m:sSub>
          <m:e>
            <m:bar>
              <m:barPr>
                <m:pos m:val="top"/>
              </m:barPr>
              <m:e>
                <m:r>
                  <m:t>V</m:t>
                </m:r>
              </m:e>
            </m:bar>
          </m:e>
          <m:sub>
            <m:r>
              <m:t>z</m:t>
            </m:r>
          </m:sub>
        </m:sSub>
        <m:r>
          <m:t>,</m:t>
        </m:r>
        <m:sSub>
          <m:e>
            <m:r>
              <m:t>C</m:t>
            </m:r>
          </m:e>
          <m:sub>
            <m:r>
              <m:t>T</m:t>
            </m:r>
          </m:sub>
        </m:sSub>
        <m:r>
          <m:t>,</m:t>
        </m:r>
        <m:sSub>
          <m:e>
            <m:r>
              <m:t>θ</m:t>
            </m:r>
          </m:e>
          <m:sub>
            <m:r>
              <m:t>0</m:t>
            </m:r>
          </m:sub>
        </m:sSub>
        <m:r>
          <m:t>,…)=0</m:t>
        </m:r>
      </m:oMath>
    </w:p>
    <w:p>
      <w:r>
        <w:t>当 F_VRS 进入指定一侧时，模型触发涡环修正；在边界附近设置平滑过渡带，避免推力或入流状态出现不连续。</w:t>
      </w:r>
    </w:p>
    <w:p>
      <w:pPr>
        <w:pStyle w:val="Heading1"/>
      </w:pPr>
      <w:r>
        <w:t>五、Johnson 平均入流修正模型</w:t>
      </w:r>
    </w:p>
    <w:p>
      <w:pPr>
        <w:pStyle w:val="Heading2"/>
      </w:pPr>
      <w:r>
        <w:t>5.1 模型用途</w:t>
      </w:r>
    </w:p>
    <w:p>
      <w:r>
        <w:t>Wayne Johnson 在 NASA/TP–2005–213477 中系统讨论旋翼轴向下降、涡环状态和湍流尾迹状态的诱导速度处理。该模型的重点不是解析复现瞬时涡结构，而是给低阶性能与飞行动力学程序提供连续、可计算的平均入流关系。</w:t>
      </w:r>
    </w:p>
    <w:p>
      <w:pPr>
        <w:pStyle w:val="Heading2"/>
      </w:pPr>
      <w:r>
        <w:t>5.2 正常工作状态关系</w:t>
      </w:r>
    </w:p>
    <w:p>
      <w:r>
        <w:t>用悬停诱导速度归一化，在轴向流中可写出理想动量关系的典型形式：</w:t>
      </w:r>
    </w:p>
    <w:p>
      <w:pPr>
        <w:pStyle w:val="Equation"/>
      </w:pPr>
      <m:oMath>
        <m:sSub>
          <m:e>
            <m:bar>
              <m:barPr>
                <m:pos m:val="top"/>
              </m:barPr>
              <m:e>
                <m:r>
                  <m:t>v</m:t>
                </m:r>
              </m:e>
            </m:bar>
          </m:e>
          <m:sub>
            <m:r>
              <m:t>i</m:t>
            </m:r>
          </m:sub>
        </m:sSub>
        <m:r>
          <m:t>=</m:t>
        </m:r>
        <m:rad>
          <m:radPr>
            <m:degHide m:val="on"/>
          </m:radPr>
          <m:deg/>
          <m:e>
            <m:r>
              <m:t>1+</m:t>
            </m:r>
            <m:sSup>
              <m:e>
                <m:d>
                  <m:dPr>
                    <m:sepChr m:val=""/>
                  </m:dPr>
                  <m:e>
                    <m:f>
                      <m:fPr>
                        <m:type m:val="bar"/>
                      </m:fPr>
                      <m:num>
                        <m:sSub>
                          <m:e>
                            <m:bar>
                              <m:barPr>
                                <m:pos m:val="top"/>
                              </m:barPr>
                              <m:e>
                                <m:r>
                                  <m:t>V</m:t>
                                </m:r>
                              </m:e>
                            </m:bar>
                          </m:e>
                          <m:sub>
                            <m:r>
                              <m:t>z</m:t>
                            </m:r>
                          </m:sub>
                        </m:sSub>
                      </m:num>
                      <m:den>
                        <m:r>
                          <m:t>2</m:t>
                        </m:r>
                      </m:den>
                    </m:f>
                  </m:e>
                </m:d>
              </m:e>
              <m:sup>
                <m:r>
                  <m:t>2</m:t>
                </m:r>
              </m:sup>
            </m:sSup>
          </m:e>
        </m:rad>
        <m:r>
          <m:t>−</m:t>
        </m:r>
        <m:f>
          <m:fPr>
            <m:type m:val="bar"/>
          </m:fPr>
          <m:num>
            <m:sSub>
              <m:e>
                <m:bar>
                  <m:barPr>
                    <m:pos m:val="top"/>
                  </m:barPr>
                  <m:e>
                    <m:r>
                      <m:t>V</m:t>
                    </m:r>
                  </m:e>
                </m:bar>
              </m:e>
              <m:sub>
                <m:r>
                  <m:t>z</m:t>
                </m:r>
              </m:sub>
            </m:sSub>
          </m:num>
          <m:den>
            <m:r>
              <m:t>2</m:t>
            </m:r>
          </m:den>
        </m:f>
      </m:oMath>
    </w:p>
    <w:p>
      <w:r>
        <w:t>在本报告的中俄轴系中，铅垂方向对应 +Y 向上，下降率统一记为 V_d = −dH/dt，并规定向下为正。Johnson 等英文文献中的轴向速度进入程序前必须转换到该约定。物理校核保持不变：悬停时平均诱导速度归一化值为 1；正常爬升时诱导速度相对减小；进入下降过渡区后经典单值关系不再可靠。</w:t>
      </w:r>
    </w:p>
    <w:p>
      <w:pPr>
        <w:pStyle w:val="Heading2"/>
      </w:pPr>
      <w:r>
        <w:t>5.3 涡环区的特征点插值</w:t>
      </w:r>
    </w:p>
    <w:p>
      <w:r>
        <w:t>Johnson 方法使用若干经验特征点连接正常工作、涡环和湍流尾迹区。专题笔记中按原文整理为 D、N、X、E 等特征位置，并将平均诱导速度表示为下降速度的分段光滑函数。工程实现可采用三次 Hermite 插值或样条：</w:t>
      </w:r>
    </w:p>
    <w:p>
      <w:pPr>
        <w:pStyle w:val="Equation"/>
      </w:pPr>
      <m:oMath>
        <m:sSub>
          <m:e>
            <m:bar>
              <m:barPr>
                <m:pos m:val="top"/>
              </m:barPr>
              <m:e>
                <m:r>
                  <m:t>v</m:t>
                </m:r>
              </m:e>
            </m:bar>
          </m:e>
          <m:sub>
            <m:r>
              <m:t>i</m:t>
            </m:r>
          </m:sub>
        </m:sSub>
        <m:r>
          <m:t>(</m:t>
        </m:r>
        <m:sSub>
          <m:e>
            <m:bar>
              <m:barPr>
                <m:pos m:val="top"/>
              </m:barPr>
              <m:e>
                <m:r>
                  <m:t>V</m:t>
                </m:r>
              </m:e>
            </m:bar>
          </m:e>
          <m:sub>
            <m:r>
              <m:t>z</m:t>
            </m:r>
          </m:sub>
        </m:sSub>
        <m:r>
          <m:t>)=</m:t>
        </m:r>
        <m:nary>
          <m:naryPr>
            <m:chr m:val="∑"/>
            <m:limLoc m:val="subSup"/>
            <m:grow m:val="1"/>
            <m:subHide m:val="off"/>
            <m:supHide m:val="off"/>
          </m:naryPr>
          <m:sub>
            <m:r>
              <m:t>k=0</m:t>
            </m:r>
          </m:sub>
          <m:sup>
            <m:r>
              <m:t>3</m:t>
            </m:r>
          </m:sup>
          <m:e>
            <m:sSub>
              <m:e>
                <m:r>
                  <m:t>a</m:t>
                </m:r>
              </m:e>
              <m:sub>
                <m:r>
                  <m:t>k</m:t>
                </m:r>
              </m:sub>
            </m:sSub>
          </m:e>
        </m:nary>
        <m:sSubSup>
          <m:e>
            <m:bar>
              <m:barPr>
                <m:pos m:val="top"/>
              </m:barPr>
              <m:e>
                <m:r>
                  <m:t>V</m:t>
                </m:r>
              </m:e>
            </m:bar>
          </m:e>
          <m:sub>
            <m:r>
              <m:t>z</m:t>
            </m:r>
          </m:sub>
          <m:sup>
            <m:r>
              <m:t>k</m:t>
            </m:r>
          </m:sup>
        </m:sSubSup>
      </m:oMath>
    </w:p>
    <w:p>
      <w:r>
        <w:t>系数由端点函数值和斜率共同确定，从而保证分区连接处至少一阶连续。特征点不是普适常数，应作为可标定参数存入配置文件，并记录其文献来源和适用旋翼。</w:t>
      </w:r>
    </w:p>
    <w:p>
      <w:pPr>
        <w:pStyle w:val="Heading2"/>
      </w:pPr>
      <w:r>
        <w:t>5.4 时间响应</w:t>
      </w:r>
    </w:p>
    <w:p>
      <w:r>
        <w:t>平均入流不应在边界跨越时瞬时跳变。可将 Johnson 给出的准稳态目标入流作为一阶滞后输入：</w:t>
      </w:r>
    </w:p>
    <w:p>
      <w:pPr>
        <w:pStyle w:val="Equation"/>
      </w:pPr>
      <m:oMath>
        <m:sSub>
          <m:e>
            <m:r>
              <m:t>τ</m:t>
            </m:r>
          </m:e>
          <m:sub>
            <m:r>
              <m:t>i</m:t>
            </m:r>
          </m:sub>
        </m:sSub>
        <m:sSub>
          <m:e>
            <m:limUpp>
              <m:e>
                <m:bar>
                  <m:barPr>
                    <m:pos m:val="top"/>
                  </m:barPr>
                  <m:e>
                    <m:r>
                      <m:t>v</m:t>
                    </m:r>
                  </m:e>
                </m:bar>
              </m:e>
              <m:lim>
                <m:r>
                  <m:t>˙</m:t>
                </m:r>
              </m:lim>
            </m:limUpp>
          </m:e>
          <m:sub>
            <m:r>
              <m:t>i</m:t>
            </m:r>
          </m:sub>
        </m:sSub>
        <m:r>
          <m:t>+</m:t>
        </m:r>
        <m:sSub>
          <m:e>
            <m:bar>
              <m:barPr>
                <m:pos m:val="top"/>
              </m:barPr>
              <m:e>
                <m:r>
                  <m:t>v</m:t>
                </m:r>
              </m:e>
            </m:bar>
          </m:e>
          <m:sub>
            <m:r>
              <m:t>i</m:t>
            </m:r>
          </m:sub>
        </m:sSub>
        <m:r>
          <m:t>=</m:t>
        </m:r>
        <m:sSub>
          <m:e>
            <m:bar>
              <m:barPr>
                <m:pos m:val="top"/>
              </m:barPr>
              <m:e>
                <m:r>
                  <m:t>v</m:t>
                </m:r>
              </m:e>
            </m:bar>
          </m:e>
          <m:sub>
            <m:r>
              <m:t>i,qs</m:t>
            </m:r>
          </m:sub>
        </m:sSub>
      </m:oMath>
    </w:p>
    <w:p>
      <w:r>
        <w:t>其中 τ_i 为等效入流时间常数，v_i,qs 为按当前速度和推力得到的准稳态目标值。更一般地，可把该目标值写入 Pitt–Peters 均匀入流状态方程，使正常工作与涡环修正共享同一动态积分框架。</w:t>
      </w:r>
    </w:p>
    <w:p>
      <w:pPr>
        <w:pStyle w:val="Heading2"/>
      </w:pPr>
      <w:r>
        <w:t>5.5 分层组合建议</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12"/>
        <w:gridCol w:w="2412"/>
        <w:gridCol w:w="2412"/>
        <w:gridCol w:w="2412"/>
      </w:tblGrid>
      <w:tr>
        <w:trPr>
          <w:tblHeader w:val="true"/>
        </w:trPr>
        <w:tc>
          <w:tcPr>
            <w:tcW w:type="dxa" w:w="1500"/>
            <w:shd w:fill="DCE6F1"/>
            <w:vAlign w:val="center"/>
          </w:tcPr>
          <w:p>
            <w:pPr>
              <w:spacing w:after="0"/>
              <w:jc w:val="center"/>
            </w:pPr>
            <w:r>
              <w:rPr>
                <w:rFonts w:ascii="微软雅黑" w:hAnsi="微软雅黑" w:eastAsia="微软雅黑"/>
                <w:b/>
                <w:sz w:val="19"/>
              </w:rPr>
              <w:t>模型层</w:t>
            </w:r>
          </w:p>
        </w:tc>
        <w:tc>
          <w:tcPr>
            <w:tcW w:type="dxa" w:w="2500"/>
            <w:shd w:fill="DCE6F1"/>
            <w:vAlign w:val="center"/>
          </w:tcPr>
          <w:p>
            <w:pPr>
              <w:spacing w:after="0"/>
              <w:jc w:val="center"/>
            </w:pPr>
            <w:r>
              <w:rPr>
                <w:rFonts w:ascii="微软雅黑" w:hAnsi="微软雅黑" w:eastAsia="微软雅黑"/>
                <w:b/>
                <w:sz w:val="19"/>
              </w:rPr>
              <w:t>输入</w:t>
            </w:r>
          </w:p>
        </w:tc>
        <w:tc>
          <w:tcPr>
            <w:tcW w:type="dxa" w:w="2500"/>
            <w:shd w:fill="DCE6F1"/>
            <w:vAlign w:val="center"/>
          </w:tcPr>
          <w:p>
            <w:pPr>
              <w:spacing w:after="0"/>
              <w:jc w:val="center"/>
            </w:pPr>
            <w:r>
              <w:rPr>
                <w:rFonts w:ascii="微软雅黑" w:hAnsi="微软雅黑" w:eastAsia="微软雅黑"/>
                <w:b/>
                <w:sz w:val="19"/>
              </w:rPr>
              <w:t>输出</w:t>
            </w:r>
          </w:p>
        </w:tc>
        <w:tc>
          <w:tcPr>
            <w:tcW w:type="dxa" w:w="2800"/>
            <w:shd w:fill="DCE6F1"/>
            <w:vAlign w:val="center"/>
          </w:tcPr>
          <w:p>
            <w:pPr>
              <w:spacing w:after="0"/>
              <w:jc w:val="center"/>
            </w:pPr>
            <w:r>
              <w:rPr>
                <w:rFonts w:ascii="微软雅黑" w:hAnsi="微软雅黑" w:eastAsia="微软雅黑"/>
                <w:b/>
                <w:sz w:val="19"/>
              </w:rPr>
              <w:t>作用</w:t>
            </w:r>
          </w:p>
        </w:tc>
      </w:tr>
      <w:tr>
        <w:tc>
          <w:tcPr>
            <w:tcW w:type="dxa" w:w="1500"/>
            <w:vAlign w:val="center"/>
          </w:tcPr>
          <w:p>
            <w:pPr>
              <w:spacing w:after="0" w:line="264" w:lineRule="auto"/>
            </w:pPr>
            <w:r>
              <w:rPr>
                <w:rFonts w:ascii="宋体" w:hAnsi="宋体" w:eastAsia="宋体"/>
                <w:sz w:val="18"/>
              </w:rPr>
              <w:t>边界判据层</w:t>
            </w:r>
          </w:p>
        </w:tc>
        <w:tc>
          <w:tcPr>
            <w:tcW w:type="dxa" w:w="2500"/>
            <w:vAlign w:val="center"/>
          </w:tcPr>
          <w:p>
            <w:pPr>
              <w:spacing w:after="0" w:line="264" w:lineRule="auto"/>
            </w:pPr>
            <w:r>
              <w:rPr>
                <w:rFonts w:ascii="宋体" w:hAnsi="宋体" w:eastAsia="宋体"/>
                <w:sz w:val="18"/>
              </w:rPr>
              <w:t>水平/竖直速度、推力、总距</w:t>
            </w:r>
          </w:p>
        </w:tc>
        <w:tc>
          <w:tcPr>
            <w:tcW w:type="dxa" w:w="2500"/>
            <w:vAlign w:val="center"/>
          </w:tcPr>
          <w:p>
            <w:pPr>
              <w:spacing w:after="0" w:line="264" w:lineRule="auto"/>
            </w:pPr>
            <w:r>
              <w:rPr>
                <w:rFonts w:ascii="宋体" w:hAnsi="宋体" w:eastAsia="宋体"/>
                <w:sz w:val="18"/>
              </w:rPr>
              <w:t>流态权重 w_VRS</w:t>
            </w:r>
          </w:p>
        </w:tc>
        <w:tc>
          <w:tcPr>
            <w:tcW w:type="dxa" w:w="2800"/>
            <w:vAlign w:val="center"/>
          </w:tcPr>
          <w:p>
            <w:pPr>
              <w:spacing w:after="0" w:line="264" w:lineRule="auto"/>
            </w:pPr>
            <w:r>
              <w:rPr>
                <w:rFonts w:ascii="宋体" w:hAnsi="宋体" w:eastAsia="宋体"/>
                <w:sz w:val="18"/>
              </w:rPr>
              <w:t>识别进入、退出和过渡带</w:t>
            </w:r>
          </w:p>
        </w:tc>
      </w:tr>
      <w:tr>
        <w:tc>
          <w:tcPr>
            <w:tcW w:type="dxa" w:w="1500"/>
            <w:shd w:fill="F3F6F9"/>
            <w:vAlign w:val="center"/>
          </w:tcPr>
          <w:p>
            <w:pPr>
              <w:spacing w:after="0" w:line="264" w:lineRule="auto"/>
            </w:pPr>
            <w:r>
              <w:rPr>
                <w:rFonts w:ascii="宋体" w:hAnsi="宋体" w:eastAsia="宋体"/>
                <w:sz w:val="18"/>
              </w:rPr>
              <w:t>平均入流层</w:t>
            </w:r>
          </w:p>
        </w:tc>
        <w:tc>
          <w:tcPr>
            <w:tcW w:type="dxa" w:w="2500"/>
            <w:shd w:fill="F3F6F9"/>
            <w:vAlign w:val="center"/>
          </w:tcPr>
          <w:p>
            <w:pPr>
              <w:spacing w:after="0" w:line="264" w:lineRule="auto"/>
            </w:pPr>
            <w:r>
              <w:rPr>
                <w:rFonts w:ascii="宋体" w:hAnsi="宋体" w:eastAsia="宋体"/>
                <w:sz w:val="18"/>
              </w:rPr>
              <w:t>流态权重、目标载荷</w:t>
            </w:r>
          </w:p>
        </w:tc>
        <w:tc>
          <w:tcPr>
            <w:tcW w:type="dxa" w:w="2500"/>
            <w:shd w:fill="F3F6F9"/>
            <w:vAlign w:val="center"/>
          </w:tcPr>
          <w:p>
            <w:pPr>
              <w:spacing w:after="0" w:line="264" w:lineRule="auto"/>
            </w:pPr>
            <w:r>
              <w:rPr>
                <w:rFonts w:ascii="宋体" w:hAnsi="宋体" w:eastAsia="宋体"/>
                <w:sz w:val="18"/>
              </w:rPr>
              <w:t>λ₀ 或平均诱导速度</w:t>
            </w:r>
          </w:p>
        </w:tc>
        <w:tc>
          <w:tcPr>
            <w:tcW w:type="dxa" w:w="2800"/>
            <w:shd w:fill="F3F6F9"/>
            <w:vAlign w:val="center"/>
          </w:tcPr>
          <w:p>
            <w:pPr>
              <w:spacing w:after="0" w:line="264" w:lineRule="auto"/>
            </w:pPr>
            <w:r>
              <w:rPr>
                <w:rFonts w:ascii="宋体" w:hAnsi="宋体" w:eastAsia="宋体"/>
                <w:sz w:val="18"/>
              </w:rPr>
              <w:t>采用 Johnson 类关系修正异常下降段</w:t>
            </w:r>
          </w:p>
        </w:tc>
      </w:tr>
      <w:tr>
        <w:tc>
          <w:tcPr>
            <w:tcW w:type="dxa" w:w="1500"/>
            <w:vAlign w:val="center"/>
          </w:tcPr>
          <w:p>
            <w:pPr>
              <w:spacing w:after="0" w:line="264" w:lineRule="auto"/>
            </w:pPr>
            <w:r>
              <w:rPr>
                <w:rFonts w:ascii="宋体" w:hAnsi="宋体" w:eastAsia="宋体"/>
                <w:sz w:val="18"/>
              </w:rPr>
              <w:t>动态入流层</w:t>
            </w:r>
          </w:p>
        </w:tc>
        <w:tc>
          <w:tcPr>
            <w:tcW w:type="dxa" w:w="2500"/>
            <w:vAlign w:val="center"/>
          </w:tcPr>
          <w:p>
            <w:pPr>
              <w:spacing w:after="0" w:line="264" w:lineRule="auto"/>
            </w:pPr>
            <w:r>
              <w:rPr>
                <w:rFonts w:ascii="宋体" w:hAnsi="宋体" w:eastAsia="宋体"/>
                <w:sz w:val="18"/>
              </w:rPr>
              <w:t>推力与盘面力矩系数</w:t>
            </w:r>
          </w:p>
        </w:tc>
        <w:tc>
          <w:tcPr>
            <w:tcW w:type="dxa" w:w="2500"/>
            <w:vAlign w:val="center"/>
          </w:tcPr>
          <w:p>
            <w:pPr>
              <w:spacing w:after="0" w:line="264" w:lineRule="auto"/>
            </w:pPr>
            <w:r>
              <w:rPr>
                <w:rFonts w:ascii="宋体" w:hAnsi="宋体" w:eastAsia="宋体"/>
                <w:sz w:val="18"/>
              </w:rPr>
              <w:t>λ₀、λ₁c、λ₁s</w:t>
            </w:r>
          </w:p>
        </w:tc>
        <w:tc>
          <w:tcPr>
            <w:tcW w:type="dxa" w:w="2800"/>
            <w:vAlign w:val="center"/>
          </w:tcPr>
          <w:p>
            <w:pPr>
              <w:spacing w:after="0" w:line="264" w:lineRule="auto"/>
            </w:pPr>
            <w:r>
              <w:rPr>
                <w:rFonts w:ascii="宋体" w:hAnsi="宋体" w:eastAsia="宋体"/>
                <w:sz w:val="18"/>
              </w:rPr>
              <w:t>采用 Pitt–Peters 状态描述动态和不均匀性</w:t>
            </w:r>
          </w:p>
        </w:tc>
      </w:tr>
      <w:tr>
        <w:tc>
          <w:tcPr>
            <w:tcW w:type="dxa" w:w="1500"/>
            <w:shd w:fill="F3F6F9"/>
            <w:vAlign w:val="center"/>
          </w:tcPr>
          <w:p>
            <w:pPr>
              <w:spacing w:after="0" w:line="264" w:lineRule="auto"/>
            </w:pPr>
            <w:r>
              <w:rPr>
                <w:rFonts w:ascii="宋体" w:hAnsi="宋体" w:eastAsia="宋体"/>
                <w:sz w:val="18"/>
              </w:rPr>
              <w:t>叶素/挥舞层</w:t>
            </w:r>
          </w:p>
        </w:tc>
        <w:tc>
          <w:tcPr>
            <w:tcW w:type="dxa" w:w="2500"/>
            <w:shd w:fill="F3F6F9"/>
            <w:vAlign w:val="center"/>
          </w:tcPr>
          <w:p>
            <w:pPr>
              <w:spacing w:after="0" w:line="264" w:lineRule="auto"/>
            </w:pPr>
            <w:r>
              <w:rPr>
                <w:rFonts w:ascii="宋体" w:hAnsi="宋体" w:eastAsia="宋体"/>
                <w:sz w:val="18"/>
              </w:rPr>
              <w:t>入流、操纵量、机体运动</w:t>
            </w:r>
          </w:p>
        </w:tc>
        <w:tc>
          <w:tcPr>
            <w:tcW w:type="dxa" w:w="2500"/>
            <w:shd w:fill="F3F6F9"/>
            <w:vAlign w:val="center"/>
          </w:tcPr>
          <w:p>
            <w:pPr>
              <w:spacing w:after="0" w:line="264" w:lineRule="auto"/>
            </w:pPr>
            <w:r>
              <w:rPr>
                <w:rFonts w:ascii="宋体" w:hAnsi="宋体" w:eastAsia="宋体"/>
                <w:sz w:val="18"/>
              </w:rPr>
              <w:t>旋翼力和力矩</w:t>
            </w:r>
          </w:p>
        </w:tc>
        <w:tc>
          <w:tcPr>
            <w:tcW w:type="dxa" w:w="2800"/>
            <w:shd w:fill="F3F6F9"/>
            <w:vAlign w:val="center"/>
          </w:tcPr>
          <w:p>
            <w:pPr>
              <w:spacing w:after="0" w:line="264" w:lineRule="auto"/>
            </w:pPr>
            <w:r>
              <w:rPr>
                <w:rFonts w:ascii="宋体" w:hAnsi="宋体" w:eastAsia="宋体"/>
                <w:sz w:val="18"/>
              </w:rPr>
              <w:t>闭合六自由度飞行动力学</w:t>
            </w:r>
          </w:p>
        </w:tc>
      </w:tr>
    </w:tbl>
    <w:p>
      <w:pPr>
        <w:spacing w:after="0"/>
      </w:pPr>
    </w:p>
    <w:p>
      <w:pPr>
        <w:pStyle w:val="Heading1"/>
      </w:pPr>
      <w:r>
        <w:t>六、王畅等风洞试验与半经验边界</w:t>
      </w:r>
    </w:p>
    <w:p>
      <w:pPr>
        <w:pStyle w:val="Heading2"/>
      </w:pPr>
      <w:r>
        <w:t>6.1 试验价值</w:t>
      </w:r>
    </w:p>
    <w:p>
      <w:r>
        <w:t>王畅等 2023 年发表的涡环状态边界风洞试验，针对模型旋翼在不同下降速度和水平速度组合下的载荷与流态变化进行测量。该资料的重要性在于：它把定性的“低速大下降率”描述转化为可用于边界标定的速度平面数据，并显示边界随下降速度和水平速度发生系统变化。</w:t>
      </w:r>
    </w:p>
    <w:p>
      <w:pPr>
        <w:pStyle w:val="Heading2"/>
      </w:pPr>
      <w:r>
        <w:t>6.2 主要量化结论</w:t>
      </w:r>
    </w:p>
    <w:p>
      <w:pPr>
        <w:pStyle w:val="ListBullet"/>
      </w:pPr>
      <w:r>
        <w:t>在试验覆盖范围内，随着下降速度增加，进入涡环状态所允许的水平速度范围会变化，边界并非固定水平速度阈值。</w:t>
      </w:r>
    </w:p>
    <w:p>
      <w:pPr>
        <w:pStyle w:val="ListBullet"/>
      </w:pPr>
      <w:r>
        <w:t>专题资料整理显示：相关边界量随下降速度变化可达到约 30% 的相对变化量级，说明单一常数判据不足。</w:t>
      </w:r>
    </w:p>
    <w:p>
      <w:pPr>
        <w:pStyle w:val="ListBullet"/>
      </w:pPr>
      <w:r>
        <w:t>部分载荷或脉动指标在涡环区可增至正常状态的约 160% 量级，表明边界不仅是平均推力变化，还伴随显著非定常增强。</w:t>
      </w:r>
    </w:p>
    <w:p>
      <w:r>
        <w:t>上述百分比用于确定趋势与校核量级，不应脱离原试验的旋翼尺度、转速、总距和测量定义直接移植为其他旋翼的固定阈值。</w:t>
      </w:r>
    </w:p>
    <w:p>
      <w:pPr>
        <w:pStyle w:val="Heading2"/>
      </w:pPr>
      <w:r>
        <w:t>6.3 半经验边界表达</w:t>
      </w:r>
    </w:p>
    <w:p>
      <w:r>
        <w:t>为兼顾试验趋势和程序可标定性，可在无量纲速度平面定义椭圆或广义指数边界：</w:t>
      </w:r>
    </w:p>
    <w:p>
      <w:pPr>
        <w:pStyle w:val="Equation"/>
      </w:pPr>
      <m:oMath>
        <m:sSup>
          <m:e>
            <m:d>
              <m:dPr>
                <m:begChr m:val="|"/>
                <m:sepChr m:val=""/>
                <m:endChr m:val="|"/>
              </m:dPr>
              <m:e>
                <m:f>
                  <m:fPr>
                    <m:type m:val="bar"/>
                  </m:fPr>
                  <m:num>
                    <m:sSub>
                      <m:e>
                        <m:bar>
                          <m:barPr>
                            <m:pos m:val="top"/>
                          </m:barPr>
                          <m:e>
                            <m:r>
                              <m:t>V</m:t>
                            </m:r>
                          </m:e>
                        </m:bar>
                      </m:e>
                      <m:sub>
                        <m:r>
                          <m:t>h</m:t>
                        </m:r>
                      </m:sub>
                    </m:sSub>
                  </m:num>
                  <m:den>
                    <m:r>
                      <m:t>a</m:t>
                    </m:r>
                  </m:den>
                </m:f>
              </m:e>
            </m:d>
          </m:e>
          <m:sup>
            <m:r>
              <m:t>m</m:t>
            </m:r>
          </m:sup>
        </m:sSup>
        <m:r>
          <m:t>+</m:t>
        </m:r>
        <m:sSup>
          <m:e>
            <m:d>
              <m:dPr>
                <m:begChr m:val="|"/>
                <m:sepChr m:val=""/>
                <m:endChr m:val="|"/>
              </m:dPr>
              <m:e>
                <m:f>
                  <m:fPr>
                    <m:type m:val="bar"/>
                  </m:fPr>
                  <m:num>
                    <m:sSub>
                      <m:e>
                        <m:bar>
                          <m:barPr>
                            <m:pos m:val="top"/>
                          </m:barPr>
                          <m:e>
                            <m:r>
                              <m:t>V</m:t>
                            </m:r>
                          </m:e>
                        </m:bar>
                      </m:e>
                      <m:sub>
                        <m:r>
                          <m:t>z</m:t>
                        </m:r>
                      </m:sub>
                    </m:sSub>
                    <m:r>
                      <m:t>−</m:t>
                    </m:r>
                    <m:sSub>
                      <m:e>
                        <m:bar>
                          <m:barPr>
                            <m:pos m:val="top"/>
                          </m:barPr>
                          <m:e>
                            <m:r>
                              <m:t>V</m:t>
                            </m:r>
                          </m:e>
                        </m:bar>
                      </m:e>
                      <m:sub>
                        <m:r>
                          <m:t>z0</m:t>
                        </m:r>
                      </m:sub>
                    </m:sSub>
                  </m:num>
                  <m:den>
                    <m:r>
                      <m:t>b</m:t>
                    </m:r>
                  </m:den>
                </m:f>
              </m:e>
            </m:d>
          </m:e>
          <m:sup>
            <m:r>
              <m:t>n</m:t>
            </m:r>
          </m:sup>
        </m:sSup>
        <m:r>
          <m:t>=1</m:t>
        </m:r>
      </m:oMath>
    </w:p>
    <w:p>
      <w:r>
        <w:t>其中 a 控制水平速度范围，b 控制下降速度范围，V_z0 表示边界中心偏移，m、n 控制边界形状。参数通过文献图线数字化或项目试验数据拟合。为避免切换抖振，定义进入与退出两条边界，或使用连续权重：</w:t>
      </w:r>
    </w:p>
    <w:p>
      <w:pPr>
        <w:pStyle w:val="Equation"/>
      </w:pPr>
      <m:oMath>
        <m:sSub>
          <m:e>
            <m:r>
              <m:t>w</m:t>
            </m:r>
          </m:e>
          <m:sub>
            <m:r>
              <m:t>VRS</m:t>
            </m:r>
          </m:sub>
        </m:sSub>
        <m:r>
          <m:t>=</m:t>
        </m:r>
        <m:f>
          <m:fPr>
            <m:type m:val="bar"/>
          </m:fPr>
          <m:num>
            <m:r>
              <m:t>1</m:t>
            </m:r>
          </m:num>
          <m:den>
            <m:r>
              <m:t>2</m:t>
            </m:r>
          </m:den>
        </m:f>
        <m:d>
          <m:dPr>
            <m:begChr m:val="["/>
            <m:sepChr m:val="+"/>
            <m:endChr m:val="]"/>
          </m:dPr>
          <m:e>
            <m:r>
              <m:t>1</m:t>
            </m:r>
          </m:e>
          <m:e>
            <m:r>
              <m:rPr>
                <m:sty m:val="p"/>
              </m:rPr>
              <m:t>tanh</m:t>
            </m:r>
            <m:d>
              <m:dPr>
                <m:sepChr m:val=""/>
              </m:dPr>
              <m:e>
                <m:f>
                  <m:fPr>
                    <m:type m:val="bar"/>
                  </m:fPr>
                  <m:num>
                    <m:r>
                      <m:t>s−</m:t>
                    </m:r>
                    <m:sSub>
                      <m:e>
                        <m:r>
                          <m:t>s</m:t>
                        </m:r>
                      </m:e>
                      <m:sub>
                        <m:r>
                          <m:t>0</m:t>
                        </m:r>
                      </m:sub>
                    </m:sSub>
                  </m:num>
                  <m:den>
                    <m:r>
                      <m:t>Δs</m:t>
                    </m:r>
                  </m:den>
                </m:f>
              </m:e>
            </m:d>
          </m:e>
        </m:d>
      </m:oMath>
    </w:p>
    <w:p>
      <w:r>
        <w:t>其中 s 是边界函数值，Δs 为过渡带宽。最终平均入流可在正常模型和涡环修正之间连续混合：</w:t>
      </w:r>
    </w:p>
    <w:p>
      <w:pPr>
        <w:pStyle w:val="Equation"/>
      </w:pPr>
      <m:oMath>
        <m:sSub>
          <m:e>
            <m:r>
              <m:t>λ</m:t>
            </m:r>
          </m:e>
          <m:sub>
            <m:r>
              <m:t>0</m:t>
            </m:r>
          </m:sub>
        </m:sSub>
        <m:r>
          <m:t>=(1−</m:t>
        </m:r>
        <m:sSub>
          <m:e>
            <m:r>
              <m:t>w</m:t>
            </m:r>
          </m:e>
          <m:sub>
            <m:r>
              <m:t>VRS</m:t>
            </m:r>
          </m:sub>
        </m:sSub>
        <m:r>
          <m:t>)</m:t>
        </m:r>
        <m:sSub>
          <m:e>
            <m:r>
              <m:t>λ</m:t>
            </m:r>
          </m:e>
          <m:sub>
            <m:r>
              <m:t>0,NW</m:t>
            </m:r>
          </m:sub>
        </m:sSub>
        <m:r>
          <m:t>+</m:t>
        </m:r>
        <m:sSub>
          <m:e>
            <m:r>
              <m:t>w</m:t>
            </m:r>
          </m:e>
          <m:sub>
            <m:r>
              <m:t>VRS</m:t>
            </m:r>
          </m:sub>
        </m:sSub>
        <m:sSub>
          <m:e>
            <m:r>
              <m:t>λ</m:t>
            </m:r>
          </m:e>
          <m:sub>
            <m:r>
              <m:t>0,VRS</m:t>
            </m:r>
          </m:sub>
        </m:sSub>
      </m:oMath>
    </w:p>
    <w:p>
      <w:pPr>
        <w:pStyle w:val="Heading2"/>
      </w:pPr>
      <w:r>
        <w:t>6.4 尺度与外推限制</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6"/>
        <w:gridCol w:w="3216"/>
        <w:gridCol w:w="3216"/>
      </w:tblGrid>
      <w:tr>
        <w:trPr>
          <w:tblHeader w:val="true"/>
        </w:trPr>
        <w:tc>
          <w:tcPr>
            <w:tcW w:type="dxa" w:w="1900"/>
            <w:shd w:fill="DCE6F1"/>
            <w:vAlign w:val="center"/>
          </w:tcPr>
          <w:p>
            <w:pPr>
              <w:spacing w:after="0"/>
              <w:jc w:val="center"/>
            </w:pPr>
            <w:r>
              <w:rPr>
                <w:rFonts w:ascii="微软雅黑" w:hAnsi="微软雅黑" w:eastAsia="微软雅黑"/>
                <w:b/>
                <w:sz w:val="19"/>
              </w:rPr>
              <w:t>影响因素</w:t>
            </w:r>
          </w:p>
        </w:tc>
        <w:tc>
          <w:tcPr>
            <w:tcW w:type="dxa" w:w="3350"/>
            <w:shd w:fill="DCE6F1"/>
            <w:vAlign w:val="center"/>
          </w:tcPr>
          <w:p>
            <w:pPr>
              <w:spacing w:after="0"/>
              <w:jc w:val="center"/>
            </w:pPr>
            <w:r>
              <w:rPr>
                <w:rFonts w:ascii="微软雅黑" w:hAnsi="微软雅黑" w:eastAsia="微软雅黑"/>
                <w:b/>
                <w:sz w:val="19"/>
              </w:rPr>
              <w:t>可能改变的现象</w:t>
            </w:r>
          </w:p>
        </w:tc>
        <w:tc>
          <w:tcPr>
            <w:tcW w:type="dxa" w:w="4050"/>
            <w:shd w:fill="DCE6F1"/>
            <w:vAlign w:val="center"/>
          </w:tcPr>
          <w:p>
            <w:pPr>
              <w:spacing w:after="0"/>
              <w:jc w:val="center"/>
            </w:pPr>
            <w:r>
              <w:rPr>
                <w:rFonts w:ascii="微软雅黑" w:hAnsi="微软雅黑" w:eastAsia="微软雅黑"/>
                <w:b/>
                <w:sz w:val="19"/>
              </w:rPr>
              <w:t>处理原则</w:t>
            </w:r>
          </w:p>
        </w:tc>
      </w:tr>
      <w:tr>
        <w:tc>
          <w:tcPr>
            <w:tcW w:type="dxa" w:w="1900"/>
            <w:vAlign w:val="center"/>
          </w:tcPr>
          <w:p>
            <w:pPr>
              <w:spacing w:after="0" w:line="264" w:lineRule="auto"/>
            </w:pPr>
            <w:r>
              <w:rPr>
                <w:rFonts w:ascii="宋体" w:hAnsi="宋体" w:eastAsia="宋体"/>
                <w:sz w:val="18"/>
              </w:rPr>
              <w:t>雷诺数与马赫数</w:t>
            </w:r>
          </w:p>
        </w:tc>
        <w:tc>
          <w:tcPr>
            <w:tcW w:type="dxa" w:w="3350"/>
            <w:vAlign w:val="center"/>
          </w:tcPr>
          <w:p>
            <w:pPr>
              <w:spacing w:after="0" w:line="264" w:lineRule="auto"/>
            </w:pPr>
            <w:r>
              <w:rPr>
                <w:rFonts w:ascii="宋体" w:hAnsi="宋体" w:eastAsia="宋体"/>
                <w:sz w:val="18"/>
              </w:rPr>
              <w:t>翼型升阻、失速和剖面阻力</w:t>
            </w:r>
          </w:p>
        </w:tc>
        <w:tc>
          <w:tcPr>
            <w:tcW w:type="dxa" w:w="4050"/>
            <w:vAlign w:val="center"/>
          </w:tcPr>
          <w:p>
            <w:pPr>
              <w:spacing w:after="0" w:line="264" w:lineRule="auto"/>
            </w:pPr>
            <w:r>
              <w:rPr>
                <w:rFonts w:ascii="宋体" w:hAnsi="宋体" w:eastAsia="宋体"/>
                <w:sz w:val="18"/>
              </w:rPr>
              <w:t>验证模型旋翼与目标旋翼的相似性</w:t>
            </w:r>
          </w:p>
        </w:tc>
      </w:tr>
      <w:tr>
        <w:tc>
          <w:tcPr>
            <w:tcW w:type="dxa" w:w="1900"/>
            <w:shd w:fill="F3F6F9"/>
            <w:vAlign w:val="center"/>
          </w:tcPr>
          <w:p>
            <w:pPr>
              <w:spacing w:after="0" w:line="264" w:lineRule="auto"/>
            </w:pPr>
            <w:r>
              <w:rPr>
                <w:rFonts w:ascii="宋体" w:hAnsi="宋体" w:eastAsia="宋体"/>
                <w:sz w:val="18"/>
              </w:rPr>
              <w:t>桨叶数与尖削/扭转</w:t>
            </w:r>
          </w:p>
        </w:tc>
        <w:tc>
          <w:tcPr>
            <w:tcW w:type="dxa" w:w="3350"/>
            <w:shd w:fill="F3F6F9"/>
            <w:vAlign w:val="center"/>
          </w:tcPr>
          <w:p>
            <w:pPr>
              <w:spacing w:after="0" w:line="264" w:lineRule="auto"/>
            </w:pPr>
            <w:r>
              <w:rPr>
                <w:rFonts w:ascii="宋体" w:hAnsi="宋体" w:eastAsia="宋体"/>
                <w:sz w:val="18"/>
              </w:rPr>
              <w:t>桨尖涡强度、载荷分布</w:t>
            </w:r>
          </w:p>
        </w:tc>
        <w:tc>
          <w:tcPr>
            <w:tcW w:type="dxa" w:w="4050"/>
            <w:shd w:fill="F3F6F9"/>
            <w:vAlign w:val="center"/>
          </w:tcPr>
          <w:p>
            <w:pPr>
              <w:spacing w:after="0" w:line="264" w:lineRule="auto"/>
            </w:pPr>
            <w:r>
              <w:rPr>
                <w:rFonts w:ascii="宋体" w:hAnsi="宋体" w:eastAsia="宋体"/>
                <w:sz w:val="18"/>
              </w:rPr>
              <w:t>参数表中明确几何配置</w:t>
            </w:r>
          </w:p>
        </w:tc>
      </w:tr>
      <w:tr>
        <w:tc>
          <w:tcPr>
            <w:tcW w:type="dxa" w:w="1900"/>
            <w:vAlign w:val="center"/>
          </w:tcPr>
          <w:p>
            <w:pPr>
              <w:spacing w:after="0" w:line="264" w:lineRule="auto"/>
            </w:pPr>
            <w:r>
              <w:rPr>
                <w:rFonts w:ascii="宋体" w:hAnsi="宋体" w:eastAsia="宋体"/>
                <w:sz w:val="18"/>
              </w:rPr>
              <w:t>总距与推力系数</w:t>
            </w:r>
          </w:p>
        </w:tc>
        <w:tc>
          <w:tcPr>
            <w:tcW w:type="dxa" w:w="3350"/>
            <w:vAlign w:val="center"/>
          </w:tcPr>
          <w:p>
            <w:pPr>
              <w:spacing w:after="0" w:line="264" w:lineRule="auto"/>
            </w:pPr>
            <w:r>
              <w:rPr>
                <w:rFonts w:ascii="宋体" w:hAnsi="宋体" w:eastAsia="宋体"/>
                <w:sz w:val="18"/>
              </w:rPr>
              <w:t>诱导速度标度和边界位置</w:t>
            </w:r>
          </w:p>
        </w:tc>
        <w:tc>
          <w:tcPr>
            <w:tcW w:type="dxa" w:w="4050"/>
            <w:vAlign w:val="center"/>
          </w:tcPr>
          <w:p>
            <w:pPr>
              <w:spacing w:after="0" w:line="264" w:lineRule="auto"/>
            </w:pPr>
            <w:r>
              <w:rPr>
                <w:rFonts w:ascii="宋体" w:hAnsi="宋体" w:eastAsia="宋体"/>
                <w:sz w:val="18"/>
              </w:rPr>
              <w:t>按 C_T 或 v_h 归一化并重新标定</w:t>
            </w:r>
          </w:p>
        </w:tc>
      </w:tr>
      <w:tr>
        <w:tc>
          <w:tcPr>
            <w:tcW w:type="dxa" w:w="1900"/>
            <w:shd w:fill="F3F6F9"/>
            <w:vAlign w:val="center"/>
          </w:tcPr>
          <w:p>
            <w:pPr>
              <w:spacing w:after="0" w:line="264" w:lineRule="auto"/>
            </w:pPr>
            <w:r>
              <w:rPr>
                <w:rFonts w:ascii="宋体" w:hAnsi="宋体" w:eastAsia="宋体"/>
                <w:sz w:val="18"/>
              </w:rPr>
              <w:t>机体与尾桨干扰</w:t>
            </w:r>
          </w:p>
        </w:tc>
        <w:tc>
          <w:tcPr>
            <w:tcW w:type="dxa" w:w="3350"/>
            <w:shd w:fill="F3F6F9"/>
            <w:vAlign w:val="center"/>
          </w:tcPr>
          <w:p>
            <w:pPr>
              <w:spacing w:after="0" w:line="264" w:lineRule="auto"/>
            </w:pPr>
            <w:r>
              <w:rPr>
                <w:rFonts w:ascii="宋体" w:hAnsi="宋体" w:eastAsia="宋体"/>
                <w:sz w:val="18"/>
              </w:rPr>
              <w:t>局部入流、振动和姿态响应</w:t>
            </w:r>
          </w:p>
        </w:tc>
        <w:tc>
          <w:tcPr>
            <w:tcW w:type="dxa" w:w="4050"/>
            <w:shd w:fill="F3F6F9"/>
            <w:vAlign w:val="center"/>
          </w:tcPr>
          <w:p>
            <w:pPr>
              <w:spacing w:after="0" w:line="264" w:lineRule="auto"/>
            </w:pPr>
            <w:r>
              <w:rPr>
                <w:rFonts w:ascii="宋体" w:hAnsi="宋体" w:eastAsia="宋体"/>
                <w:sz w:val="18"/>
              </w:rPr>
              <w:t>模型旋翼边界仅作为主旋翼基线</w:t>
            </w:r>
          </w:p>
        </w:tc>
      </w:tr>
    </w:tbl>
    <w:p>
      <w:pPr>
        <w:spacing w:after="0"/>
      </w:pPr>
    </w:p>
    <w:p>
      <w:pPr>
        <w:pStyle w:val="Heading1"/>
      </w:pPr>
      <w:r>
        <w:t>七、建模技术路线</w:t>
      </w:r>
    </w:p>
    <w:p>
      <w:pPr>
        <w:pStyle w:val="Heading2"/>
      </w:pPr>
      <w:r>
        <w:t>7.1 总体结构</w:t>
      </w:r>
    </w:p>
    <w:p>
      <w:pPr>
        <w:pStyle w:val="ListNumber"/>
      </w:pPr>
      <w:r>
        <w:t>冻结中俄轴系与符号：机体 X 轴向前、Y 轴向上、Z 轴向右；地轴 Y_D 向上；桨轴 Y_S 沿旋翼轴向上。所有速度、角速度、力矩、操纵量和旋翼转向均按右手定则记录，并在英文文献接口处集中转换。</w:t>
      </w:r>
    </w:p>
    <w:p>
      <w:pPr>
        <w:pStyle w:val="ListNumber"/>
      </w:pPr>
      <w:r>
        <w:t>建立旋翼基线：用叶素理论和一阶挥舞模型计算正常工作状态的力、力矩和功率。</w:t>
      </w:r>
    </w:p>
    <w:p>
      <w:pPr>
        <w:pStyle w:val="ListNumber"/>
      </w:pPr>
      <w:r>
        <w:t>加入动态入流：实现 Pitt–Peters 三状态方程，完成悬停和小扰动响应检查。</w:t>
      </w:r>
    </w:p>
    <w:p>
      <w:pPr>
        <w:pStyle w:val="ListNumber"/>
      </w:pPr>
      <w:r>
        <w:t>加入涡环判据：在无量纲水平—竖直速度平面计算流态权重，并设置进入/退出滞环。</w:t>
      </w:r>
    </w:p>
    <w:p>
      <w:pPr>
        <w:pStyle w:val="ListNumber"/>
      </w:pPr>
      <w:r>
        <w:t>加入平均入流修正：用 Johnson 类分段光滑关系替换涡环区的准稳态均匀入流目标。</w:t>
      </w:r>
    </w:p>
    <w:p>
      <w:pPr>
        <w:pStyle w:val="ListNumber"/>
      </w:pPr>
      <w:r>
        <w:t>联立机体运动：把旋翼力和力矩输入六自由度方程，观察下降率、姿态和操纵响应。</w:t>
      </w:r>
    </w:p>
    <w:p>
      <w:pPr>
        <w:pStyle w:val="ListNumber"/>
      </w:pPr>
      <w:r>
        <w:t>验证与敏感性分析：按理论极限、文献边界、试验趋势和参数扰动逐层验证。</w:t>
      </w:r>
    </w:p>
    <w:p>
      <w:pPr>
        <w:pStyle w:val="Heading2"/>
      </w:pPr>
      <w:r>
        <w:t>7.2 状态与接口</w:t>
      </w:r>
    </w:p>
    <w:p>
      <w:pPr>
        <w:pStyle w:val="Equation"/>
      </w:pPr>
      <m:oMath>
        <m:r>
          <m:t>𝐱=</m:t>
        </m:r>
        <m:sSup>
          <m:e>
            <m:r>
              <m:t>[</m:t>
            </m:r>
          </m:e>
          <m:sup>
            <m:m>
              <m:mPr>
                <m:baseJc m:val="center"/>
                <m:plcHide m:val="on"/>
                <m:mcs>
                  <m:mc>
                    <m:mcPr>
                      <m:count m:val="3"/>
                      <m:mcJc m:val="center"/>
                    </m:mcPr>
                  </m:mc>
                </m:mcs>
              </m:mPr>
              <m:mr>
                <m:e>
                  <m:sSubSup>
                    <m:e>
                      <m:r>
                        <m:t>𝐱</m:t>
                      </m:r>
                    </m:e>
                    <m:sub>
                      <m:r>
                        <m:t>body</m:t>
                      </m:r>
                    </m:sub>
                    <m:sup>
                      <m:r>
                        <m:t>T</m:t>
                      </m:r>
                    </m:sup>
                  </m:sSubSup>
                </m:e>
                <m:e>
                  <m:sSup>
                    <m:e>
                      <m:r>
                        <m:rPr>
                          <m:sty m:val="bi"/>
                        </m:rPr>
                        <m:t>β</m:t>
                      </m:r>
                    </m:e>
                    <m:sup>
                      <m:r>
                        <m:t>T</m:t>
                      </m:r>
                    </m:sup>
                  </m:sSup>
                </m:e>
                <m:e>
                  <m:sSup>
                    <m:e>
                      <m:r>
                        <m:rPr>
                          <m:sty m:val="bi"/>
                        </m:rPr>
                        <m:t>λ</m:t>
                      </m:r>
                    </m:e>
                    <m:sup>
                      <m:r>
                        <m:t>T</m:t>
                      </m:r>
                    </m:sup>
                  </m:sSup>
                </m:e>
              </m:mr>
            </m:m>
          </m:sup>
        </m:sSup>
      </m:oMath>
    </w:p>
    <w:p>
      <w:pPr>
        <w:pStyle w:val="Equation"/>
      </w:pPr>
      <m:oMath>
        <m:limUpp>
          <m:e>
            <m:r>
              <m:t>𝐱</m:t>
            </m:r>
          </m:e>
          <m:lim>
            <m:r>
              <m:t>˙</m:t>
            </m:r>
          </m:lim>
        </m:limUpp>
        <m:r>
          <m:t>=𝐟(𝐱,𝐮,𝐩,</m:t>
        </m:r>
        <m:sSub>
          <m:e>
            <m:r>
              <m:t>w</m:t>
            </m:r>
          </m:e>
          <m:sub>
            <m:r>
              <m:t>VRS</m:t>
            </m:r>
          </m:sub>
        </m:sSub>
        <m:r>
          <m:t>)</m:t>
        </m:r>
      </m:oMath>
    </w:p>
    <w:p>
      <w:r>
        <w:t>其中 x_body 按中俄轴系组织机体位置、姿态、线速度和角速度：X 向前、Y 向上、Z 向右；β 为挥舞状态；λ 为动态入流状态；u 为总距、周期变距和尾桨操纵；p 为几何、质量和气动参数；w_VRS 为涡环权重。</w:t>
      </w:r>
    </w:p>
    <w:p>
      <w:pPr>
        <w:pStyle w:val="Heading2"/>
      </w:pPr>
      <w:r>
        <w:t>7.3 逐级验证门槛</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12"/>
        <w:gridCol w:w="2412"/>
        <w:gridCol w:w="2412"/>
        <w:gridCol w:w="2412"/>
      </w:tblGrid>
      <w:tr>
        <w:trPr>
          <w:tblHeader w:val="true"/>
        </w:trPr>
        <w:tc>
          <w:tcPr>
            <w:tcW w:type="dxa" w:w="1550"/>
            <w:shd w:fill="DCE6F1"/>
            <w:vAlign w:val="center"/>
          </w:tcPr>
          <w:p>
            <w:pPr>
              <w:spacing w:after="0"/>
              <w:jc w:val="center"/>
            </w:pPr>
            <w:r>
              <w:rPr>
                <w:rFonts w:ascii="微软雅黑" w:hAnsi="微软雅黑" w:eastAsia="微软雅黑"/>
                <w:b/>
                <w:sz w:val="19"/>
              </w:rPr>
              <w:t>验证级别</w:t>
            </w:r>
          </w:p>
        </w:tc>
        <w:tc>
          <w:tcPr>
            <w:tcW w:type="dxa" w:w="2050"/>
            <w:shd w:fill="DCE6F1"/>
            <w:vAlign w:val="center"/>
          </w:tcPr>
          <w:p>
            <w:pPr>
              <w:spacing w:after="0"/>
              <w:jc w:val="center"/>
            </w:pPr>
            <w:r>
              <w:rPr>
                <w:rFonts w:ascii="微软雅黑" w:hAnsi="微软雅黑" w:eastAsia="微软雅黑"/>
                <w:b/>
                <w:sz w:val="19"/>
              </w:rPr>
              <w:t>工况</w:t>
            </w:r>
          </w:p>
        </w:tc>
        <w:tc>
          <w:tcPr>
            <w:tcW w:type="dxa" w:w="2700"/>
            <w:shd w:fill="DCE6F1"/>
            <w:vAlign w:val="center"/>
          </w:tcPr>
          <w:p>
            <w:pPr>
              <w:spacing w:after="0"/>
              <w:jc w:val="center"/>
            </w:pPr>
            <w:r>
              <w:rPr>
                <w:rFonts w:ascii="微软雅黑" w:hAnsi="微软雅黑" w:eastAsia="微软雅黑"/>
                <w:b/>
                <w:sz w:val="19"/>
              </w:rPr>
              <w:t>主要检查量</w:t>
            </w:r>
          </w:p>
        </w:tc>
        <w:tc>
          <w:tcPr>
            <w:tcW w:type="dxa" w:w="3000"/>
            <w:shd w:fill="DCE6F1"/>
            <w:vAlign w:val="center"/>
          </w:tcPr>
          <w:p>
            <w:pPr>
              <w:spacing w:after="0"/>
              <w:jc w:val="center"/>
            </w:pPr>
            <w:r>
              <w:rPr>
                <w:rFonts w:ascii="微软雅黑" w:hAnsi="微软雅黑" w:eastAsia="微软雅黑"/>
                <w:b/>
                <w:sz w:val="19"/>
              </w:rPr>
              <w:t>通过条件</w:t>
            </w:r>
          </w:p>
        </w:tc>
      </w:tr>
      <w:tr>
        <w:tc>
          <w:tcPr>
            <w:tcW w:type="dxa" w:w="1550"/>
            <w:vAlign w:val="center"/>
          </w:tcPr>
          <w:p>
            <w:pPr>
              <w:spacing w:after="0" w:line="264" w:lineRule="auto"/>
            </w:pPr>
            <w:r>
              <w:rPr>
                <w:rFonts w:ascii="宋体" w:hAnsi="宋体" w:eastAsia="宋体"/>
                <w:sz w:val="18"/>
              </w:rPr>
              <w:t>零级：数学检查</w:t>
            </w:r>
          </w:p>
        </w:tc>
        <w:tc>
          <w:tcPr>
            <w:tcW w:type="dxa" w:w="2050"/>
            <w:vAlign w:val="center"/>
          </w:tcPr>
          <w:p>
            <w:pPr>
              <w:spacing w:after="0" w:line="264" w:lineRule="auto"/>
            </w:pPr>
            <w:r>
              <w:rPr>
                <w:rFonts w:ascii="宋体" w:hAnsi="宋体" w:eastAsia="宋体"/>
                <w:sz w:val="18"/>
              </w:rPr>
              <w:t>静止输入、单位输入</w:t>
            </w:r>
          </w:p>
        </w:tc>
        <w:tc>
          <w:tcPr>
            <w:tcW w:type="dxa" w:w="2700"/>
            <w:vAlign w:val="center"/>
          </w:tcPr>
          <w:p>
            <w:pPr>
              <w:spacing w:after="0" w:line="264" w:lineRule="auto"/>
            </w:pPr>
            <w:r>
              <w:rPr>
                <w:rFonts w:ascii="宋体" w:hAnsi="宋体" w:eastAsia="宋体"/>
                <w:sz w:val="18"/>
              </w:rPr>
              <w:t>维度、符号、连续性</w:t>
            </w:r>
          </w:p>
        </w:tc>
        <w:tc>
          <w:tcPr>
            <w:tcW w:type="dxa" w:w="3000"/>
            <w:vAlign w:val="center"/>
          </w:tcPr>
          <w:p>
            <w:pPr>
              <w:spacing w:after="0" w:line="264" w:lineRule="auto"/>
            </w:pPr>
            <w:r>
              <w:rPr>
                <w:rFonts w:ascii="宋体" w:hAnsi="宋体" w:eastAsia="宋体"/>
                <w:sz w:val="18"/>
              </w:rPr>
              <w:t>无奇异值，边界函数连续</w:t>
            </w:r>
          </w:p>
        </w:tc>
      </w:tr>
      <w:tr>
        <w:tc>
          <w:tcPr>
            <w:tcW w:type="dxa" w:w="1550"/>
            <w:shd w:fill="F3F6F9"/>
            <w:vAlign w:val="center"/>
          </w:tcPr>
          <w:p>
            <w:pPr>
              <w:spacing w:after="0" w:line="264" w:lineRule="auto"/>
            </w:pPr>
            <w:r>
              <w:rPr>
                <w:rFonts w:ascii="宋体" w:hAnsi="宋体" w:eastAsia="宋体"/>
                <w:sz w:val="18"/>
              </w:rPr>
              <w:t>一级：悬停</w:t>
            </w:r>
          </w:p>
        </w:tc>
        <w:tc>
          <w:tcPr>
            <w:tcW w:type="dxa" w:w="2050"/>
            <w:shd w:fill="F3F6F9"/>
            <w:vAlign w:val="center"/>
          </w:tcPr>
          <w:p>
            <w:pPr>
              <w:spacing w:after="0" w:line="264" w:lineRule="auto"/>
            </w:pPr>
            <w:r>
              <w:rPr>
                <w:rFonts w:ascii="宋体" w:hAnsi="宋体" w:eastAsia="宋体"/>
                <w:sz w:val="18"/>
              </w:rPr>
              <w:t>定总距、无风</w:t>
            </w:r>
          </w:p>
        </w:tc>
        <w:tc>
          <w:tcPr>
            <w:tcW w:type="dxa" w:w="2700"/>
            <w:shd w:fill="F3F6F9"/>
            <w:vAlign w:val="center"/>
          </w:tcPr>
          <w:p>
            <w:pPr>
              <w:spacing w:after="0" w:line="264" w:lineRule="auto"/>
            </w:pPr>
            <w:r>
              <w:rPr>
                <w:rFonts w:ascii="宋体" w:hAnsi="宋体" w:eastAsia="宋体"/>
                <w:sz w:val="18"/>
              </w:rPr>
              <w:t>C_T、v_h、功率</w:t>
            </w:r>
          </w:p>
        </w:tc>
        <w:tc>
          <w:tcPr>
            <w:tcW w:type="dxa" w:w="3000"/>
            <w:shd w:fill="F3F6F9"/>
            <w:vAlign w:val="center"/>
          </w:tcPr>
          <w:p>
            <w:pPr>
              <w:spacing w:after="0" w:line="264" w:lineRule="auto"/>
            </w:pPr>
            <w:r>
              <w:rPr>
                <w:rFonts w:ascii="宋体" w:hAnsi="宋体" w:eastAsia="宋体"/>
                <w:sz w:val="18"/>
              </w:rPr>
              <w:t>满足动量标度与叶素趋势</w:t>
            </w:r>
          </w:p>
        </w:tc>
      </w:tr>
      <w:tr>
        <w:tc>
          <w:tcPr>
            <w:tcW w:type="dxa" w:w="1550"/>
            <w:vAlign w:val="center"/>
          </w:tcPr>
          <w:p>
            <w:pPr>
              <w:spacing w:after="0" w:line="264" w:lineRule="auto"/>
            </w:pPr>
            <w:r>
              <w:rPr>
                <w:rFonts w:ascii="宋体" w:hAnsi="宋体" w:eastAsia="宋体"/>
                <w:sz w:val="18"/>
              </w:rPr>
              <w:t>二级：正常轴向流</w:t>
            </w:r>
          </w:p>
        </w:tc>
        <w:tc>
          <w:tcPr>
            <w:tcW w:type="dxa" w:w="2050"/>
            <w:vAlign w:val="center"/>
          </w:tcPr>
          <w:p>
            <w:pPr>
              <w:spacing w:after="0" w:line="264" w:lineRule="auto"/>
            </w:pPr>
            <w:r>
              <w:rPr>
                <w:rFonts w:ascii="宋体" w:hAnsi="宋体" w:eastAsia="宋体"/>
                <w:sz w:val="18"/>
              </w:rPr>
              <w:t>爬升/小下降率</w:t>
            </w:r>
          </w:p>
        </w:tc>
        <w:tc>
          <w:tcPr>
            <w:tcW w:type="dxa" w:w="2700"/>
            <w:vAlign w:val="center"/>
          </w:tcPr>
          <w:p>
            <w:pPr>
              <w:spacing w:after="0" w:line="264" w:lineRule="auto"/>
            </w:pPr>
            <w:r>
              <w:rPr>
                <w:rFonts w:ascii="宋体" w:hAnsi="宋体" w:eastAsia="宋体"/>
                <w:sz w:val="18"/>
              </w:rPr>
              <w:t>稳态入流、时间常数</w:t>
            </w:r>
          </w:p>
        </w:tc>
        <w:tc>
          <w:tcPr>
            <w:tcW w:type="dxa" w:w="3000"/>
            <w:vAlign w:val="center"/>
          </w:tcPr>
          <w:p>
            <w:pPr>
              <w:spacing w:after="0" w:line="264" w:lineRule="auto"/>
            </w:pPr>
            <w:r>
              <w:rPr>
                <w:rFonts w:ascii="宋体" w:hAnsi="宋体" w:eastAsia="宋体"/>
                <w:sz w:val="18"/>
              </w:rPr>
              <w:t>与经典动量关系同趋势</w:t>
            </w:r>
          </w:p>
        </w:tc>
      </w:tr>
      <w:tr>
        <w:tc>
          <w:tcPr>
            <w:tcW w:type="dxa" w:w="1550"/>
            <w:shd w:fill="F3F6F9"/>
            <w:vAlign w:val="center"/>
          </w:tcPr>
          <w:p>
            <w:pPr>
              <w:spacing w:after="0" w:line="264" w:lineRule="auto"/>
            </w:pPr>
            <w:r>
              <w:rPr>
                <w:rFonts w:ascii="宋体" w:hAnsi="宋体" w:eastAsia="宋体"/>
                <w:sz w:val="18"/>
              </w:rPr>
              <w:t>三级：边界扫描</w:t>
            </w:r>
          </w:p>
        </w:tc>
        <w:tc>
          <w:tcPr>
            <w:tcW w:type="dxa" w:w="2050"/>
            <w:shd w:fill="F3F6F9"/>
            <w:vAlign w:val="center"/>
          </w:tcPr>
          <w:p>
            <w:pPr>
              <w:spacing w:after="0" w:line="264" w:lineRule="auto"/>
            </w:pPr>
            <w:r>
              <w:rPr>
                <w:rFonts w:ascii="宋体" w:hAnsi="宋体" w:eastAsia="宋体"/>
                <w:sz w:val="18"/>
              </w:rPr>
              <w:t>V_h–V_z 网格</w:t>
            </w:r>
          </w:p>
        </w:tc>
        <w:tc>
          <w:tcPr>
            <w:tcW w:type="dxa" w:w="2700"/>
            <w:shd w:fill="F3F6F9"/>
            <w:vAlign w:val="center"/>
          </w:tcPr>
          <w:p>
            <w:pPr>
              <w:spacing w:after="0" w:line="264" w:lineRule="auto"/>
            </w:pPr>
            <w:r>
              <w:rPr>
                <w:rFonts w:ascii="宋体" w:hAnsi="宋体" w:eastAsia="宋体"/>
                <w:sz w:val="18"/>
              </w:rPr>
              <w:t>w_VRS、入流、推力波动指标</w:t>
            </w:r>
          </w:p>
        </w:tc>
        <w:tc>
          <w:tcPr>
            <w:tcW w:type="dxa" w:w="3000"/>
            <w:shd w:fill="F3F6F9"/>
            <w:vAlign w:val="center"/>
          </w:tcPr>
          <w:p>
            <w:pPr>
              <w:spacing w:after="0" w:line="264" w:lineRule="auto"/>
            </w:pPr>
            <w:r>
              <w:rPr>
                <w:rFonts w:ascii="宋体" w:hAnsi="宋体" w:eastAsia="宋体"/>
                <w:sz w:val="18"/>
              </w:rPr>
              <w:t>边界形状与试验趋势一致</w:t>
            </w:r>
          </w:p>
        </w:tc>
      </w:tr>
      <w:tr>
        <w:tc>
          <w:tcPr>
            <w:tcW w:type="dxa" w:w="1550"/>
            <w:vAlign w:val="center"/>
          </w:tcPr>
          <w:p>
            <w:pPr>
              <w:spacing w:after="0" w:line="264" w:lineRule="auto"/>
            </w:pPr>
            <w:r>
              <w:rPr>
                <w:rFonts w:ascii="宋体" w:hAnsi="宋体" w:eastAsia="宋体"/>
                <w:sz w:val="18"/>
              </w:rPr>
              <w:t>四级：穿越过程</w:t>
            </w:r>
          </w:p>
        </w:tc>
        <w:tc>
          <w:tcPr>
            <w:tcW w:type="dxa" w:w="2050"/>
            <w:vAlign w:val="center"/>
          </w:tcPr>
          <w:p>
            <w:pPr>
              <w:spacing w:after="0" w:line="264" w:lineRule="auto"/>
            </w:pPr>
            <w:r>
              <w:rPr>
                <w:rFonts w:ascii="宋体" w:hAnsi="宋体" w:eastAsia="宋体"/>
                <w:sz w:val="18"/>
              </w:rPr>
              <w:t>逐渐进入和退出</w:t>
            </w:r>
          </w:p>
        </w:tc>
        <w:tc>
          <w:tcPr>
            <w:tcW w:type="dxa" w:w="2700"/>
            <w:vAlign w:val="center"/>
          </w:tcPr>
          <w:p>
            <w:pPr>
              <w:spacing w:after="0" w:line="264" w:lineRule="auto"/>
            </w:pPr>
            <w:r>
              <w:rPr>
                <w:rFonts w:ascii="宋体" w:hAnsi="宋体" w:eastAsia="宋体"/>
                <w:sz w:val="18"/>
              </w:rPr>
              <w:t>滞后、滞环、状态连续性</w:t>
            </w:r>
          </w:p>
        </w:tc>
        <w:tc>
          <w:tcPr>
            <w:tcW w:type="dxa" w:w="3000"/>
            <w:vAlign w:val="center"/>
          </w:tcPr>
          <w:p>
            <w:pPr>
              <w:spacing w:after="0" w:line="264" w:lineRule="auto"/>
            </w:pPr>
            <w:r>
              <w:rPr>
                <w:rFonts w:ascii="宋体" w:hAnsi="宋体" w:eastAsia="宋体"/>
                <w:sz w:val="18"/>
              </w:rPr>
              <w:t>无非物理跳变与数值发散</w:t>
            </w:r>
          </w:p>
        </w:tc>
      </w:tr>
    </w:tbl>
    <w:p>
      <w:pPr>
        <w:spacing w:after="0"/>
      </w:pPr>
    </w:p>
    <w:p>
      <w:pPr>
        <w:pStyle w:val="Heading1"/>
      </w:pPr>
      <w:r>
        <w:t>八、验证参数与数据来源</w:t>
      </w:r>
    </w:p>
    <w:p>
      <w:pPr>
        <w:pStyle w:val="Heading2"/>
      </w:pPr>
      <w:r>
        <w:t>8.1 参数清单</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12"/>
        <w:gridCol w:w="2412"/>
        <w:gridCol w:w="2412"/>
        <w:gridCol w:w="2412"/>
      </w:tblGrid>
      <w:tr>
        <w:trPr>
          <w:tblHeader w:val="true"/>
        </w:trPr>
        <w:tc>
          <w:tcPr>
            <w:tcW w:type="dxa" w:w="1200"/>
            <w:shd w:fill="DCE6F1"/>
            <w:vAlign w:val="center"/>
          </w:tcPr>
          <w:p>
            <w:pPr>
              <w:spacing w:after="0"/>
              <w:jc w:val="center"/>
            </w:pPr>
            <w:r>
              <w:rPr>
                <w:rFonts w:ascii="微软雅黑" w:hAnsi="微软雅黑" w:eastAsia="微软雅黑"/>
                <w:b/>
                <w:sz w:val="19"/>
              </w:rPr>
              <w:t>类别</w:t>
            </w:r>
          </w:p>
        </w:tc>
        <w:tc>
          <w:tcPr>
            <w:tcW w:type="dxa" w:w="3000"/>
            <w:shd w:fill="DCE6F1"/>
            <w:vAlign w:val="center"/>
          </w:tcPr>
          <w:p>
            <w:pPr>
              <w:spacing w:after="0"/>
              <w:jc w:val="center"/>
            </w:pPr>
            <w:r>
              <w:rPr>
                <w:rFonts w:ascii="微软雅黑" w:hAnsi="微软雅黑" w:eastAsia="微软雅黑"/>
                <w:b/>
                <w:sz w:val="19"/>
              </w:rPr>
              <w:t>关键参数</w:t>
            </w:r>
          </w:p>
        </w:tc>
        <w:tc>
          <w:tcPr>
            <w:tcW w:type="dxa" w:w="2750"/>
            <w:shd w:fill="DCE6F1"/>
            <w:vAlign w:val="center"/>
          </w:tcPr>
          <w:p>
            <w:pPr>
              <w:spacing w:after="0"/>
              <w:jc w:val="center"/>
            </w:pPr>
            <w:r>
              <w:rPr>
                <w:rFonts w:ascii="微软雅黑" w:hAnsi="微软雅黑" w:eastAsia="微软雅黑"/>
                <w:b/>
                <w:sz w:val="19"/>
              </w:rPr>
              <w:t>首选来源</w:t>
            </w:r>
          </w:p>
        </w:tc>
        <w:tc>
          <w:tcPr>
            <w:tcW w:type="dxa" w:w="2350"/>
            <w:shd w:fill="DCE6F1"/>
            <w:vAlign w:val="center"/>
          </w:tcPr>
          <w:p>
            <w:pPr>
              <w:spacing w:after="0"/>
              <w:jc w:val="center"/>
            </w:pPr>
            <w:r>
              <w:rPr>
                <w:rFonts w:ascii="微软雅黑" w:hAnsi="微软雅黑" w:eastAsia="微软雅黑"/>
                <w:b/>
                <w:sz w:val="19"/>
              </w:rPr>
              <w:t>缺失时处理</w:t>
            </w:r>
          </w:p>
        </w:tc>
      </w:tr>
      <w:tr>
        <w:tc>
          <w:tcPr>
            <w:tcW w:type="dxa" w:w="1200"/>
            <w:vAlign w:val="center"/>
          </w:tcPr>
          <w:p>
            <w:pPr>
              <w:spacing w:after="0" w:line="264" w:lineRule="auto"/>
            </w:pPr>
            <w:r>
              <w:rPr>
                <w:rFonts w:ascii="宋体" w:hAnsi="宋体" w:eastAsia="宋体"/>
                <w:sz w:val="18"/>
              </w:rPr>
              <w:t>环境</w:t>
            </w:r>
          </w:p>
        </w:tc>
        <w:tc>
          <w:tcPr>
            <w:tcW w:type="dxa" w:w="3000"/>
            <w:vAlign w:val="center"/>
          </w:tcPr>
          <w:p>
            <w:pPr>
              <w:spacing w:after="0" w:line="264" w:lineRule="auto"/>
            </w:pPr>
            <w:r>
              <w:rPr>
                <w:rFonts w:ascii="宋体" w:hAnsi="宋体" w:eastAsia="宋体"/>
                <w:sz w:val="18"/>
              </w:rPr>
              <w:t>空气密度、重力、温度</w:t>
            </w:r>
          </w:p>
        </w:tc>
        <w:tc>
          <w:tcPr>
            <w:tcW w:type="dxa" w:w="2750"/>
            <w:vAlign w:val="center"/>
          </w:tcPr>
          <w:p>
            <w:pPr>
              <w:spacing w:after="0" w:line="264" w:lineRule="auto"/>
            </w:pPr>
            <w:r>
              <w:rPr>
                <w:rFonts w:ascii="宋体" w:hAnsi="宋体" w:eastAsia="宋体"/>
                <w:sz w:val="18"/>
              </w:rPr>
              <w:t>标准大气或试验记录</w:t>
            </w:r>
          </w:p>
        </w:tc>
        <w:tc>
          <w:tcPr>
            <w:tcW w:type="dxa" w:w="2350"/>
            <w:vAlign w:val="center"/>
          </w:tcPr>
          <w:p>
            <w:pPr>
              <w:spacing w:after="0" w:line="264" w:lineRule="auto"/>
            </w:pPr>
            <w:r>
              <w:rPr>
                <w:rFonts w:ascii="宋体" w:hAnsi="宋体" w:eastAsia="宋体"/>
                <w:sz w:val="18"/>
              </w:rPr>
              <w:t>采用海平面标准值并标注</w:t>
            </w:r>
          </w:p>
        </w:tc>
      </w:tr>
      <w:tr>
        <w:tc>
          <w:tcPr>
            <w:tcW w:type="dxa" w:w="1200"/>
            <w:shd w:fill="F3F6F9"/>
            <w:vAlign w:val="center"/>
          </w:tcPr>
          <w:p>
            <w:pPr>
              <w:spacing w:after="0" w:line="264" w:lineRule="auto"/>
            </w:pPr>
            <w:r>
              <w:rPr>
                <w:rFonts w:ascii="宋体" w:hAnsi="宋体" w:eastAsia="宋体"/>
                <w:sz w:val="18"/>
              </w:rPr>
              <w:t>旋翼几何</w:t>
            </w:r>
          </w:p>
        </w:tc>
        <w:tc>
          <w:tcPr>
            <w:tcW w:type="dxa" w:w="3000"/>
            <w:shd w:fill="F3F6F9"/>
            <w:vAlign w:val="center"/>
          </w:tcPr>
          <w:p>
            <w:pPr>
              <w:spacing w:after="0" w:line="264" w:lineRule="auto"/>
            </w:pPr>
            <w:r>
              <w:rPr>
                <w:rFonts w:ascii="宋体" w:hAnsi="宋体" w:eastAsia="宋体"/>
                <w:sz w:val="18"/>
              </w:rPr>
              <w:t>R、弦长、桨叶数、扭转、实度</w:t>
            </w:r>
          </w:p>
        </w:tc>
        <w:tc>
          <w:tcPr>
            <w:tcW w:type="dxa" w:w="2750"/>
            <w:shd w:fill="F3F6F9"/>
            <w:vAlign w:val="center"/>
          </w:tcPr>
          <w:p>
            <w:pPr>
              <w:spacing w:after="0" w:line="264" w:lineRule="auto"/>
            </w:pPr>
            <w:r>
              <w:rPr>
                <w:rFonts w:ascii="宋体" w:hAnsi="宋体" w:eastAsia="宋体"/>
                <w:sz w:val="18"/>
              </w:rPr>
              <w:t>目标机手册/试验模型</w:t>
            </w:r>
          </w:p>
        </w:tc>
        <w:tc>
          <w:tcPr>
            <w:tcW w:type="dxa" w:w="2350"/>
            <w:shd w:fill="F3F6F9"/>
            <w:vAlign w:val="center"/>
          </w:tcPr>
          <w:p>
            <w:pPr>
              <w:spacing w:after="0" w:line="264" w:lineRule="auto"/>
            </w:pPr>
            <w:r>
              <w:rPr>
                <w:rFonts w:ascii="宋体" w:hAnsi="宋体" w:eastAsia="宋体"/>
                <w:sz w:val="18"/>
              </w:rPr>
              <w:t>建立明确的基准旋翼</w:t>
            </w:r>
          </w:p>
        </w:tc>
      </w:tr>
      <w:tr>
        <w:tc>
          <w:tcPr>
            <w:tcW w:type="dxa" w:w="1200"/>
            <w:vAlign w:val="center"/>
          </w:tcPr>
          <w:p>
            <w:pPr>
              <w:spacing w:after="0" w:line="264" w:lineRule="auto"/>
            </w:pPr>
            <w:r>
              <w:rPr>
                <w:rFonts w:ascii="宋体" w:hAnsi="宋体" w:eastAsia="宋体"/>
                <w:sz w:val="18"/>
              </w:rPr>
              <w:t>旋翼运行</w:t>
            </w:r>
          </w:p>
        </w:tc>
        <w:tc>
          <w:tcPr>
            <w:tcW w:type="dxa" w:w="3000"/>
            <w:vAlign w:val="center"/>
          </w:tcPr>
          <w:p>
            <w:pPr>
              <w:spacing w:after="0" w:line="264" w:lineRule="auto"/>
            </w:pPr>
            <w:r>
              <w:rPr>
                <w:rFonts w:ascii="宋体" w:hAnsi="宋体" w:eastAsia="宋体"/>
                <w:sz w:val="18"/>
              </w:rPr>
              <w:t>转速、总距、C_T、桨尖速度</w:t>
            </w:r>
          </w:p>
        </w:tc>
        <w:tc>
          <w:tcPr>
            <w:tcW w:type="dxa" w:w="2750"/>
            <w:vAlign w:val="center"/>
          </w:tcPr>
          <w:p>
            <w:pPr>
              <w:spacing w:after="0" w:line="264" w:lineRule="auto"/>
            </w:pPr>
            <w:r>
              <w:rPr>
                <w:rFonts w:ascii="宋体" w:hAnsi="宋体" w:eastAsia="宋体"/>
                <w:sz w:val="18"/>
              </w:rPr>
              <w:t>工况记录</w:t>
            </w:r>
          </w:p>
        </w:tc>
        <w:tc>
          <w:tcPr>
            <w:tcW w:type="dxa" w:w="2350"/>
            <w:vAlign w:val="center"/>
          </w:tcPr>
          <w:p>
            <w:pPr>
              <w:spacing w:after="0" w:line="264" w:lineRule="auto"/>
            </w:pPr>
            <w:r>
              <w:rPr>
                <w:rFonts w:ascii="宋体" w:hAnsi="宋体" w:eastAsia="宋体"/>
                <w:sz w:val="18"/>
              </w:rPr>
              <w:t>由悬停平衡反算</w:t>
            </w:r>
          </w:p>
        </w:tc>
      </w:tr>
      <w:tr>
        <w:tc>
          <w:tcPr>
            <w:tcW w:type="dxa" w:w="1200"/>
            <w:shd w:fill="F3F6F9"/>
            <w:vAlign w:val="center"/>
          </w:tcPr>
          <w:p>
            <w:pPr>
              <w:spacing w:after="0" w:line="264" w:lineRule="auto"/>
            </w:pPr>
            <w:r>
              <w:rPr>
                <w:rFonts w:ascii="宋体" w:hAnsi="宋体" w:eastAsia="宋体"/>
                <w:sz w:val="18"/>
              </w:rPr>
              <w:t>翼型气动</w:t>
            </w:r>
          </w:p>
        </w:tc>
        <w:tc>
          <w:tcPr>
            <w:tcW w:type="dxa" w:w="3000"/>
            <w:shd w:fill="F3F6F9"/>
            <w:vAlign w:val="center"/>
          </w:tcPr>
          <w:p>
            <w:pPr>
              <w:spacing w:after="0" w:line="264" w:lineRule="auto"/>
            </w:pPr>
            <w:r>
              <w:rPr>
                <w:rFonts w:ascii="宋体" w:hAnsi="宋体" w:eastAsia="宋体"/>
                <w:sz w:val="18"/>
              </w:rPr>
              <w:t>C_l(α)、C_d(α)、失速特性</w:t>
            </w:r>
          </w:p>
        </w:tc>
        <w:tc>
          <w:tcPr>
            <w:tcW w:type="dxa" w:w="2750"/>
            <w:shd w:fill="F3F6F9"/>
            <w:vAlign w:val="center"/>
          </w:tcPr>
          <w:p>
            <w:pPr>
              <w:spacing w:after="0" w:line="264" w:lineRule="auto"/>
            </w:pPr>
            <w:r>
              <w:rPr>
                <w:rFonts w:ascii="宋体" w:hAnsi="宋体" w:eastAsia="宋体"/>
                <w:sz w:val="18"/>
              </w:rPr>
              <w:t>公开极曲线或风洞数据</w:t>
            </w:r>
          </w:p>
        </w:tc>
        <w:tc>
          <w:tcPr>
            <w:tcW w:type="dxa" w:w="2350"/>
            <w:shd w:fill="F3F6F9"/>
            <w:vAlign w:val="center"/>
          </w:tcPr>
          <w:p>
            <w:pPr>
              <w:spacing w:after="0" w:line="264" w:lineRule="auto"/>
            </w:pPr>
            <w:r>
              <w:rPr>
                <w:rFonts w:ascii="宋体" w:hAnsi="宋体" w:eastAsia="宋体"/>
                <w:sz w:val="18"/>
              </w:rPr>
              <w:t>先用 NACA 0012 基线并做敏感性分析</w:t>
            </w:r>
          </w:p>
        </w:tc>
      </w:tr>
      <w:tr>
        <w:tc>
          <w:tcPr>
            <w:tcW w:type="dxa" w:w="1200"/>
            <w:vAlign w:val="center"/>
          </w:tcPr>
          <w:p>
            <w:pPr>
              <w:spacing w:after="0" w:line="264" w:lineRule="auto"/>
            </w:pPr>
            <w:r>
              <w:rPr>
                <w:rFonts w:ascii="宋体" w:hAnsi="宋体" w:eastAsia="宋体"/>
                <w:sz w:val="18"/>
              </w:rPr>
              <w:t>动态入流</w:t>
            </w:r>
          </w:p>
        </w:tc>
        <w:tc>
          <w:tcPr>
            <w:tcW w:type="dxa" w:w="3000"/>
            <w:vAlign w:val="center"/>
          </w:tcPr>
          <w:p>
            <w:pPr>
              <w:spacing w:after="0" w:line="264" w:lineRule="auto"/>
            </w:pPr>
            <w:r>
              <w:rPr>
                <w:rFonts w:ascii="宋体" w:hAnsi="宋体" w:eastAsia="宋体"/>
                <w:sz w:val="18"/>
              </w:rPr>
              <w:t>M、L、时间尺度</w:t>
            </w:r>
          </w:p>
        </w:tc>
        <w:tc>
          <w:tcPr>
            <w:tcW w:type="dxa" w:w="2750"/>
            <w:vAlign w:val="center"/>
          </w:tcPr>
          <w:p>
            <w:pPr>
              <w:spacing w:after="0" w:line="264" w:lineRule="auto"/>
            </w:pPr>
            <w:r>
              <w:rPr>
                <w:rFonts w:ascii="宋体" w:hAnsi="宋体" w:eastAsia="宋体"/>
                <w:sz w:val="18"/>
              </w:rPr>
              <w:t>Pitt–Peters/Peters 文献</w:t>
            </w:r>
          </w:p>
        </w:tc>
        <w:tc>
          <w:tcPr>
            <w:tcW w:type="dxa" w:w="2350"/>
            <w:vAlign w:val="center"/>
          </w:tcPr>
          <w:p>
            <w:pPr>
              <w:spacing w:after="0" w:line="264" w:lineRule="auto"/>
            </w:pPr>
            <w:r>
              <w:rPr>
                <w:rFonts w:ascii="宋体" w:hAnsi="宋体" w:eastAsia="宋体"/>
                <w:sz w:val="18"/>
              </w:rPr>
              <w:t>按公开公式实现并单独测试</w:t>
            </w:r>
          </w:p>
        </w:tc>
      </w:tr>
      <w:tr>
        <w:tc>
          <w:tcPr>
            <w:tcW w:type="dxa" w:w="1200"/>
            <w:shd w:fill="F3F6F9"/>
            <w:vAlign w:val="center"/>
          </w:tcPr>
          <w:p>
            <w:pPr>
              <w:spacing w:after="0" w:line="264" w:lineRule="auto"/>
            </w:pPr>
            <w:r>
              <w:rPr>
                <w:rFonts w:ascii="宋体" w:hAnsi="宋体" w:eastAsia="宋体"/>
                <w:sz w:val="18"/>
              </w:rPr>
              <w:t>涡环修正</w:t>
            </w:r>
          </w:p>
        </w:tc>
        <w:tc>
          <w:tcPr>
            <w:tcW w:type="dxa" w:w="3000"/>
            <w:shd w:fill="F3F6F9"/>
            <w:vAlign w:val="center"/>
          </w:tcPr>
          <w:p>
            <w:pPr>
              <w:spacing w:after="0" w:line="264" w:lineRule="auto"/>
            </w:pPr>
            <w:r>
              <w:rPr>
                <w:rFonts w:ascii="宋体" w:hAnsi="宋体" w:eastAsia="宋体"/>
                <w:sz w:val="18"/>
              </w:rPr>
              <w:t>边界参数、特征点、过渡带</w:t>
            </w:r>
          </w:p>
        </w:tc>
        <w:tc>
          <w:tcPr>
            <w:tcW w:type="dxa" w:w="2750"/>
            <w:shd w:fill="F3F6F9"/>
            <w:vAlign w:val="center"/>
          </w:tcPr>
          <w:p>
            <w:pPr>
              <w:spacing w:after="0" w:line="264" w:lineRule="auto"/>
            </w:pPr>
            <w:r>
              <w:rPr>
                <w:rFonts w:ascii="宋体" w:hAnsi="宋体" w:eastAsia="宋体"/>
                <w:sz w:val="18"/>
              </w:rPr>
              <w:t>Johnson 与王畅等资料</w:t>
            </w:r>
          </w:p>
        </w:tc>
        <w:tc>
          <w:tcPr>
            <w:tcW w:type="dxa" w:w="2350"/>
            <w:shd w:fill="F3F6F9"/>
            <w:vAlign w:val="center"/>
          </w:tcPr>
          <w:p>
            <w:pPr>
              <w:spacing w:after="0" w:line="264" w:lineRule="auto"/>
            </w:pPr>
            <w:r>
              <w:rPr>
                <w:rFonts w:ascii="宋体" w:hAnsi="宋体" w:eastAsia="宋体"/>
                <w:sz w:val="18"/>
              </w:rPr>
              <w:t>作为可标定参数，不写死</w:t>
            </w:r>
          </w:p>
        </w:tc>
      </w:tr>
    </w:tbl>
    <w:p>
      <w:pPr>
        <w:spacing w:after="0"/>
      </w:pPr>
    </w:p>
    <w:p>
      <w:pPr>
        <w:pStyle w:val="Heading2"/>
      </w:pPr>
      <w:r>
        <w:t>8.2 已准备的公开数据</w:t>
      </w:r>
    </w:p>
    <w:p>
      <w:r>
        <w:t>项目资料目录已保存 NACA 0012 翼型坐标与公开升阻极曲线，可作为叶素模型的初始翼型数据；同时已生成阶段二参数种子、涡环触发网格和合理性检查摘要。公开数据只作为可复现基线，不等同于具体直升机的最终标定数据。</w:t>
      </w:r>
    </w:p>
    <w:p>
      <w:pPr>
        <w:pStyle w:val="Heading2"/>
      </w:pPr>
      <w:r>
        <w:t>8.3 验证指标</w:t>
      </w:r>
    </w:p>
    <w:p>
      <w:pPr>
        <w:pStyle w:val="ListBullet"/>
      </w:pPr>
      <w:r>
        <w:t>悬停推力系数、平均诱导速度与功率的数量级；</w:t>
      </w:r>
    </w:p>
    <w:p>
      <w:pPr>
        <w:pStyle w:val="ListBullet"/>
      </w:pPr>
      <w:r>
        <w:t>总距阶跃后入流和推力响应的时间常数、超调与相位；</w:t>
      </w:r>
    </w:p>
    <w:p>
      <w:pPr>
        <w:pStyle w:val="ListBullet"/>
      </w:pPr>
      <w:r>
        <w:t>无量纲速度平面中进入/退出边界的位置与形状；</w:t>
      </w:r>
    </w:p>
    <w:p>
      <w:pPr>
        <w:pStyle w:val="ListBullet"/>
      </w:pPr>
      <w:r>
        <w:t>穿越涡环区时平均入流、推力与振动代理量的连续性；</w:t>
      </w:r>
    </w:p>
    <w:p>
      <w:pPr>
        <w:pStyle w:val="ListBullet"/>
      </w:pPr>
      <w:r>
        <w:t>边界参数、时间常数和翼型数据扰动对结果的敏感性。</w:t>
      </w:r>
    </w:p>
    <w:p>
      <w:pPr>
        <w:pStyle w:val="Heading1"/>
      </w:pPr>
      <w:r>
        <w:t>九、阶段结论</w:t>
      </w:r>
    </w:p>
    <w:p>
      <w:r>
        <w:t>阶段一已经形成一条可用于后续仿真的理论链：动量理论给出诱导速度标度，叶素理论计算旋翼载荷，挥舞模型提供盘面姿态响应，Pitt–Peters 模型描述入流动态与一阶不均匀性，Johnson 模型修正涡环下降段的平均入流，王畅等风洞试验为边界变化与非定常增强提供验证依据。</w:t>
      </w:r>
    </w:p>
    <w:p>
      <w:r>
        <w:t>最关键的建模判断是：Pitt–Peters 动态入流与 Johnson 涡环修正不是互相替代，而是承担不同层次的功能。后续实现应保持边界判据、准稳态目标、动态状态和叶素载荷四个模块相互独立，并通过连续权重耦合。这样既能保留正常飞行状态下的动力学解释，又能避免经典动量理论在涡环区的失效导致数值跳变。</w:t>
      </w:r>
    </w:p>
    <w:tbl>
      <w:tblPr>
        <w:tblW w:type="auto" w:w="0"/>
        <w:jc w:val="center"/>
        <w:tblLayout w:type="fixed"/>
        <w:tblLook w:firstColumn="1" w:firstRow="1" w:lastColumn="0" w:lastRow="0" w:noHBand="0" w:noVBand="1" w:val="04A0"/>
      </w:tblPr>
      <w:tblGrid>
        <w:gridCol w:w="9648"/>
      </w:tblGrid>
      <w:tr>
        <w:tc>
          <w:tcPr>
            <w:tcW w:type="dxa" w:w="9300"/>
            <w:shd w:fill="EAF2F8"/>
          </w:tcPr>
          <w:p>
            <w:pPr>
              <w:spacing w:after="40"/>
            </w:pPr>
            <w:r>
              <w:rPr>
                <w:b/>
                <w:color w:val="1F4E79"/>
              </w:rPr>
              <w:t xml:space="preserve">阶段一完成标志  </w:t>
            </w:r>
            <w:r>
              <w:t>理论基础、涡环边界、动态入流出处、修正模型、技术路线和验证参数均已明确，可进入模型方程固化、程序实现与分级验证阶段。</w:t>
            </w:r>
          </w:p>
        </w:tc>
      </w:tr>
    </w:tbl>
    <w:p>
      <w:pPr>
        <w:spacing w:after="0"/>
      </w:pPr>
    </w:p>
    <w:p>
      <w:r>
        <w:br w:type="page"/>
      </w:r>
    </w:p>
    <w:p>
      <w:pPr>
        <w:pStyle w:val="Heading1"/>
      </w:pPr>
      <w:r>
        <w:t>参考文献</w:t>
      </w:r>
    </w:p>
    <w:p>
      <w:pPr>
        <w:spacing w:after="100"/>
        <w:ind w:hanging="360" w:left="360"/>
      </w:pPr>
      <w:r>
        <w:t>[1] Leishman, J. G. Principles of Helicopter Aerodynamics. Cambridge University Press.</w:t>
      </w:r>
    </w:p>
    <w:p>
      <w:pPr>
        <w:spacing w:after="100"/>
        <w:ind w:hanging="360" w:left="360"/>
      </w:pPr>
      <w:r>
        <w:t>[2] Padfield, G. D. Helicopter Flight Dynamics: The Theory and Application of Flying Qualities and Simulation Modelling. Wiley.</w:t>
      </w:r>
    </w:p>
    <w:p>
      <w:pPr>
        <w:spacing w:after="100"/>
        <w:ind w:hanging="360" w:left="360"/>
      </w:pPr>
      <w:r>
        <w:t>[3] Pitt, D. M., Peters, D. A. Theoretical Prediction of Dynamic-Inflow Derivatives. Sixth European Rotorcraft and Powered Lift Aircraft Forum, Paper No. 47, 1980.</w:t>
      </w:r>
    </w:p>
    <w:p>
      <w:pPr>
        <w:spacing w:after="100"/>
        <w:ind w:hanging="360" w:left="360"/>
      </w:pPr>
      <w:r>
        <w:t>[4] Peters, D. A., HaQuang, N. Dynamic Inflow for Practical Applications. Journal of the American Helicopter Society, 1988.</w:t>
      </w:r>
    </w:p>
    <w:p>
      <w:pPr>
        <w:spacing w:after="100"/>
        <w:ind w:hanging="360" w:left="360"/>
      </w:pPr>
      <w:r>
        <w:t>[5] Peters, D. A. Finite State Induced Flow Models Part I: Two-Dimensional Thin Airfoil. DTIC Report ADA416347.</w:t>
      </w:r>
    </w:p>
    <w:p>
      <w:pPr>
        <w:spacing w:after="100"/>
        <w:ind w:hanging="360" w:left="360"/>
      </w:pPr>
      <w:r>
        <w:t>[6] Johnson, W. Model for Vortex Ring State Influence on Rotorcraft Flight Dynamics. NASA/TP–2005–213477, 2005.</w:t>
      </w:r>
    </w:p>
    <w:p>
      <w:pPr>
        <w:spacing w:after="100"/>
        <w:ind w:hanging="360" w:left="360"/>
      </w:pPr>
      <w:r>
        <w:t>[7] 王畅，等. 直升机旋翼涡环状态边界风洞试验研究. 2023.</w:t>
      </w:r>
    </w:p>
    <w:p>
      <w:pPr>
        <w:spacing w:after="100"/>
        <w:ind w:hanging="360" w:left="360"/>
      </w:pPr>
      <w:r>
        <w:t>[8] Federal Aviation Administration. Helicopter Flying Handbook. FAA-H-8083-21B.</w:t>
      </w:r>
    </w:p>
    <w:p>
      <w:pPr>
        <w:spacing w:after="100"/>
        <w:ind w:hanging="360" w:left="360"/>
      </w:pPr>
      <w:r>
        <w:t>[9] Bramwell, A. R. S., Done, G., Balmford, D. Bramwell's Helicopter Dynamics. Butterworth-Heinemann.</w:t>
      </w:r>
    </w:p>
    <w:p>
      <w:pPr>
        <w:spacing w:after="100"/>
        <w:ind w:hanging="360" w:left="360"/>
      </w:pPr>
      <w:r>
        <w:t>[10] Chen, R. T. N. A Survey of Nonuniform Inflow Models for Rotorcraft Flight Dynamics and Control Applications. NASA Technical Memorandum.</w:t>
      </w:r>
    </w:p>
    <w:p>
      <w:pPr>
        <w:pStyle w:val="Heading2"/>
      </w:pPr>
      <w:r>
        <w:t>在线原文入口</w:t>
      </w:r>
    </w:p>
    <w:p>
      <w:r>
        <w:t>Pitt–Peters 1980 原文：</w:t>
      </w:r>
      <w:hyperlink r:id="rId11">
        <w:r>
          <w:rPr>
            <w:color w:val="0563C1"/>
            <w:u w:val="single"/>
          </w:rPr>
          <w:t>European Rotorcraft Forum 文献库</w:t>
        </w:r>
      </w:hyperlink>
    </w:p>
    <w:p>
      <w:r>
        <w:t>Johnson 2005 报告：</w:t>
      </w:r>
      <w:hyperlink r:id="rId13">
        <w:r>
          <w:rPr>
            <w:color w:val="0563C1"/>
            <w:u w:val="single"/>
          </w:rPr>
          <w:t>NASA Technical Reports Server</w:t>
        </w:r>
      </w:hyperlink>
    </w:p>
    <w:p>
      <w:r>
        <w:t>FAA 飞行手册：</w:t>
      </w:r>
      <w:hyperlink r:id="rId14">
        <w:r>
          <w:rPr>
            <w:color w:val="0563C1"/>
            <w:u w:val="single"/>
          </w:rPr>
          <w:t>FAA Helicopter Flying Handbook</w:t>
        </w:r>
      </w:hyperlink>
    </w:p>
    <w:sectPr w:rsidR="00FC693F" w:rsidRPr="0006063C" w:rsidSect="00034616">
      <w:headerReference w:type="default" r:id="rId9"/>
      <w:footerReference w:type="default" r:id="rId10"/>
      <w:pgSz w:w="12240" w:h="15840"/>
      <w:pgMar w:top="1181" w:right="1296" w:bottom="1080" w:left="1296"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微软雅黑" w:hAnsi="微软雅黑" w:eastAsia="微软雅黑"/>
        <w:color w:val="7F7F7F"/>
        <w:sz w:val="17"/>
      </w:rPr>
      <w:t>直升机涡环状态建模仿真  |  第一部分：理论基础与文献调研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324" w:after="140"/>
      <w:jc w:val="both"/>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微软雅黑" w:hAnsi="微软雅黑"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微软雅黑" w:hAnsi="微软雅黑"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微软雅黑" w:hAnsi="微软雅黑" w:eastAsia="微软雅黑"/>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80" w:line="240" w:lineRule="auto" w:before="0"/>
      <w:contextualSpacing/>
    </w:pPr>
    <w:rPr>
      <w:rFonts w:asciiTheme="majorHAnsi" w:eastAsiaTheme="majorEastAsia" w:hAnsiTheme="majorHAnsi" w:cstheme="majorBidi" w:ascii="微软雅黑" w:hAnsi="微软雅黑" w:eastAsia="微软雅黑"/>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微软雅黑" w:hAnsi="微软雅黑" w:eastAsia="微软雅黑"/>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360" w:hanging="259"/>
      <w:contextualSpacing/>
    </w:pPr>
    <w:rPr>
      <w:rFonts w:ascii="宋体" w:hAnsi="宋体"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360" w:hanging="259"/>
      <w:contextualSpacing/>
    </w:pPr>
    <w:rPr>
      <w:rFonts w:ascii="宋体" w:hAnsi="宋体"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space-erf.nlr.nl/server/api/core/bitstreams/f44866bc-39f1-4fff-b015-937938c4fff9/content" TargetMode="External"/><Relationship Id="rId12" Type="http://schemas.openxmlformats.org/officeDocument/2006/relationships/hyperlink" Target="https://apps.dtic.mil/sti/tr/pdf/ADA416347.pdf" TargetMode="External"/><Relationship Id="rId13" Type="http://schemas.openxmlformats.org/officeDocument/2006/relationships/hyperlink" Target="https://ntrs.nasa.gov/citations/20060005120" TargetMode="External"/><Relationship Id="rId14" Type="http://schemas.openxmlformats.org/officeDocument/2006/relationships/hyperlink" Target="https://www.faa.gov/regulations_policies/handbooks_manuals/aviation/helicopter_flying_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直升机涡环状态建模仿真；中俄轴系</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