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2E" w:val="clear"/>
            <w:tcMar>
              <w:top w:type="dxa" w:w="440"/>
              <w:left w:type="dxa" w:w="440"/>
              <w:bottom w:type="dxa" w:w="440"/>
              <w:right w:type="dxa" w:w="440"/>
            </w:tcMar>
          </w:tcPr>
          <w:p>
            <w:pPr>
              <w:spacing w:before="0" w:after="80"/>
              <w:jc w:val="center"/>
            </w:pPr>
            <w:r>
              <w:rPr>
                <w:rFonts w:ascii="Arial" w:cs="Arial" w:eastAsia="Arial" w:hAnsi="Arial"/>
                <w:b/>
                <w:bCs/>
                <w:color w:val="FFFFFF"/>
                <w:sz w:val="52"/>
                <w:szCs w:val="52"/>
              </w:rPr>
              <w:t xml:space="preserve">INVENTORY MANAGEMENT</w:t>
            </w:r>
          </w:p>
          <w:p>
            <w:pPr>
              <w:spacing w:before="0" w:after="80"/>
              <w:jc w:val="center"/>
            </w:pPr>
            <w:r>
              <w:rPr>
                <w:rFonts w:ascii="Arial" w:cs="Arial" w:eastAsia="Arial" w:hAnsi="Arial"/>
                <w:color w:val="8BBDA8"/>
                <w:sz w:val="30"/>
                <w:szCs w:val="30"/>
              </w:rPr>
              <w:t xml:space="preserve">Dashboard Executive Summary</w:t>
            </w:r>
          </w:p>
          <w:p>
            <w:pPr>
              <w:spacing w:before="0" w:after="0"/>
              <w:jc w:val="center"/>
            </w:pPr>
            <w:r>
              <w:rPr>
                <w:rFonts w:ascii="Arial" w:cs="Arial" w:eastAsia="Arial" w:hAnsi="Arial"/>
                <w:color w:val="5F9E85"/>
                <w:sz w:val="20"/>
                <w:szCs w:val="20"/>
              </w:rPr>
              <w:t xml:space="preserve">Stock Position  |  Stock Health  |  OOS Risk Planning  |  Multi-Warehouse</w:t>
            </w:r>
          </w:p>
        </w:tc>
      </w:tr>
    </w:tbl>
    <w:p>
      <w:pPr>
        <w:spacing w:before="0" w:after="200"/>
      </w:pPr>
      <w:r>
        <w:t xml:space="preserve"/>
      </w:r>
    </w:p>
    <w:p>
      <w:pPr>
        <w:pBdr>
          <w:bottom w:val="single" w:color="D4860A" w:sz="6" w:space="4"/>
        </w:pBdr>
        <w:spacing w:before="280" w:after="120"/>
      </w:pPr>
      <w:r>
        <w:rPr>
          <w:rFonts w:ascii="Arial" w:cs="Arial" w:eastAsia="Arial" w:hAnsi="Arial"/>
          <w:b/>
          <w:bCs/>
          <w:color w:val="1A3C2E"/>
          <w:sz w:val="30"/>
          <w:szCs w:val="30"/>
        </w:rPr>
        <w:t xml:space="preserve">Dashboard Overview</w:t>
      </w:r>
    </w:p>
    <w:p>
      <w:pPr>
        <w:spacing w:before="60" w:after="90"/>
      </w:pPr>
      <w:r>
        <w:rPr>
          <w:rFonts w:ascii="Arial" w:cs="Arial" w:eastAsia="Arial" w:hAnsi="Arial"/>
          <w:b w:val="false"/>
          <w:bCs w:val="false"/>
          <w:i w:val="false"/>
          <w:iCs w:val="false"/>
          <w:color w:val="111111"/>
          <w:sz w:val="22"/>
          <w:szCs w:val="22"/>
        </w:rPr>
        <w:t xml:space="preserve">The Inventory Management Dashboard is a Tableau workbook designed to give supply chain, operations, and procurement teams a real-time view of stock health across multiple warehouses and three product categories — Furniture, Office Supplies, and Technology. It comprises two primary dashboards (Overview and Planning), each available in both light and dark display modes, and covers stock position counts, quantities, financial value, and forward-looking out-of-stock (OOS) risk projections.</w:t>
      </w:r>
    </w:p>
    <w:p>
      <w:pPr>
        <w:spacing w:before="0" w:after="120"/>
      </w:pPr>
      <w:r>
        <w:t xml:space="preserve"/>
      </w:r>
    </w:p>
    <w:p>
      <w:pPr>
        <w:pBdr>
          <w:bottom w:val="single" w:color="D4860A" w:sz="6" w:space="4"/>
        </w:pBdr>
        <w:spacing w:before="280" w:after="120"/>
      </w:pPr>
      <w:r>
        <w:rPr>
          <w:rFonts w:ascii="Arial" w:cs="Arial" w:eastAsia="Arial" w:hAnsi="Arial"/>
          <w:b/>
          <w:bCs/>
          <w:color w:val="1A3C2E"/>
          <w:sz w:val="30"/>
          <w:szCs w:val="30"/>
        </w:rPr>
        <w:t xml:space="preserve">Key Performance Indicators</w:t>
      </w:r>
    </w:p>
    <w:p>
      <w:pPr>
        <w:spacing w:before="60" w:after="90"/>
      </w:pPr>
      <w:r>
        <w:rPr>
          <w:rFonts w:ascii="Arial" w:cs="Arial" w:eastAsia="Arial" w:hAnsi="Arial"/>
          <w:b w:val="false"/>
          <w:bCs w:val="false"/>
          <w:i w:val="false"/>
          <w:iCs w:val="false"/>
          <w:color w:val="111111"/>
          <w:sz w:val="22"/>
          <w:szCs w:val="22"/>
        </w:rPr>
        <w:t xml:space="preserve">Three headline KPIs sit at the top of the Overview dashboard, each with a live bar indicator and a reference benchmark showing the percentage of stock within target range: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860A" w:sz="4"/>
              <w:left w:val="single" w:color="CCCCCC" w:sz="1"/>
              <w:bottom w:val="single" w:color="CCCCCC" w:sz="1"/>
              <w:right w:val="single" w:color="CCCCCC" w:sz="1"/>
            </w:tcBorders>
            <w:shd w:fill="EAF4EE" w:val="clear"/>
            <w:tcMar>
              <w:top w:type="dxa" w:w="120"/>
              <w:left w:type="dxa" w:w="120"/>
              <w:bottom w:type="dxa" w:w="120"/>
              <w:right w:type="dxa" w:w="120"/>
            </w:tcMar>
          </w:tcPr>
          <w:p>
            <w:pPr>
              <w:spacing w:before="0" w:after="30"/>
              <w:jc w:val="center"/>
            </w:pPr>
            <w:r>
              <w:rPr>
                <w:rFonts w:ascii="Arial" w:cs="Arial" w:eastAsia="Arial" w:hAnsi="Arial"/>
                <w:color w:val="666666"/>
                <w:sz w:val="17"/>
                <w:szCs w:val="17"/>
              </w:rPr>
              <w:t xml:space="preserve">Stock Positions</w:t>
            </w:r>
          </w:p>
          <w:p>
            <w:pPr>
              <w:spacing w:before="0" w:after="30"/>
              <w:jc w:val="center"/>
            </w:pPr>
            <w:r>
              <w:rPr>
                <w:rFonts w:ascii="Arial" w:cs="Arial" w:eastAsia="Arial" w:hAnsi="Arial"/>
                <w:b/>
                <w:bCs/>
                <w:color w:val="1A3C2E"/>
                <w:sz w:val="28"/>
                <w:szCs w:val="28"/>
              </w:rPr>
              <w:t xml:space="preserve"># SKUs Active</w:t>
            </w:r>
          </w:p>
          <w:p>
            <w:pPr>
              <w:spacing w:before="0" w:after="0"/>
              <w:jc w:val="center"/>
            </w:pPr>
            <w:r>
              <w:rPr>
                <w:rFonts w:ascii="Arial" w:cs="Arial" w:eastAsia="Arial" w:hAnsi="Arial"/>
                <w:color w:val="D4860A"/>
                <w:sz w:val="17"/>
                <w:szCs w:val="17"/>
              </w:rPr>
              <w:t xml:space="preserve">Distinct item–warehouse combinations</w:t>
            </w:r>
          </w:p>
        </w:tc>
        <w:tc>
          <w:tcPr>
            <w:tcW w:type="dxa" w:w="3120"/>
            <w:tcBorders>
              <w:top w:val="single" w:color="D4860A" w:sz="4"/>
              <w:left w:val="single" w:color="CCCCCC" w:sz="1"/>
              <w:bottom w:val="single" w:color="CCCCCC" w:sz="1"/>
              <w:right w:val="single" w:color="CCCCCC" w:sz="1"/>
            </w:tcBorders>
            <w:shd w:fill="EAF4EE" w:val="clear"/>
            <w:tcMar>
              <w:top w:type="dxa" w:w="120"/>
              <w:left w:type="dxa" w:w="120"/>
              <w:bottom w:type="dxa" w:w="120"/>
              <w:right w:type="dxa" w:w="120"/>
            </w:tcMar>
          </w:tcPr>
          <w:p>
            <w:pPr>
              <w:spacing w:before="0" w:after="30"/>
              <w:jc w:val="center"/>
            </w:pPr>
            <w:r>
              <w:rPr>
                <w:rFonts w:ascii="Arial" w:cs="Arial" w:eastAsia="Arial" w:hAnsi="Arial"/>
                <w:color w:val="666666"/>
                <w:sz w:val="17"/>
                <w:szCs w:val="17"/>
              </w:rPr>
              <w:t xml:space="preserve">Stock Quantity</w:t>
            </w:r>
          </w:p>
          <w:p>
            <w:pPr>
              <w:spacing w:before="0" w:after="30"/>
              <w:jc w:val="center"/>
            </w:pPr>
            <w:r>
              <w:rPr>
                <w:rFonts w:ascii="Arial" w:cs="Arial" w:eastAsia="Arial" w:hAnsi="Arial"/>
                <w:b/>
                <w:bCs/>
                <w:color w:val="1A3C2E"/>
                <w:sz w:val="28"/>
                <w:szCs w:val="28"/>
              </w:rPr>
              <w:t xml:space="preserve">Total Units</w:t>
            </w:r>
          </w:p>
          <w:p>
            <w:pPr>
              <w:spacing w:before="0" w:after="0"/>
              <w:jc w:val="center"/>
            </w:pPr>
            <w:r>
              <w:rPr>
                <w:rFonts w:ascii="Arial" w:cs="Arial" w:eastAsia="Arial" w:hAnsi="Arial"/>
                <w:color w:val="D4860A"/>
                <w:sz w:val="17"/>
                <w:szCs w:val="17"/>
              </w:rPr>
              <w:t xml:space="preserve">% qty within target range shown</w:t>
            </w:r>
          </w:p>
        </w:tc>
        <w:tc>
          <w:tcPr>
            <w:tcW w:type="dxa" w:w="3120"/>
            <w:tcBorders>
              <w:top w:val="single" w:color="D4860A" w:sz="4"/>
              <w:left w:val="single" w:color="CCCCCC" w:sz="1"/>
              <w:bottom w:val="single" w:color="CCCCCC" w:sz="1"/>
              <w:right w:val="single" w:color="CCCCCC" w:sz="1"/>
            </w:tcBorders>
            <w:shd w:fill="EAF4EE" w:val="clear"/>
            <w:tcMar>
              <w:top w:type="dxa" w:w="120"/>
              <w:left w:type="dxa" w:w="120"/>
              <w:bottom w:type="dxa" w:w="120"/>
              <w:right w:type="dxa" w:w="120"/>
            </w:tcMar>
          </w:tcPr>
          <w:p>
            <w:pPr>
              <w:spacing w:before="0" w:after="30"/>
              <w:jc w:val="center"/>
            </w:pPr>
            <w:r>
              <w:rPr>
                <w:rFonts w:ascii="Arial" w:cs="Arial" w:eastAsia="Arial" w:hAnsi="Arial"/>
                <w:color w:val="666666"/>
                <w:sz w:val="17"/>
                <w:szCs w:val="17"/>
              </w:rPr>
              <w:t xml:space="preserve">Stock Value ($)</w:t>
            </w:r>
          </w:p>
          <w:p>
            <w:pPr>
              <w:spacing w:before="0" w:after="30"/>
              <w:jc w:val="center"/>
            </w:pPr>
            <w:r>
              <w:rPr>
                <w:rFonts w:ascii="Arial" w:cs="Arial" w:eastAsia="Arial" w:hAnsi="Arial"/>
                <w:b/>
                <w:bCs/>
                <w:color w:val="1A3C2E"/>
                <w:sz w:val="28"/>
                <w:szCs w:val="28"/>
              </w:rPr>
              <w:t xml:space="preserve">Total Value</w:t>
            </w:r>
          </w:p>
          <w:p>
            <w:pPr>
              <w:spacing w:before="0" w:after="0"/>
              <w:jc w:val="center"/>
            </w:pPr>
            <w:r>
              <w:rPr>
                <w:rFonts w:ascii="Arial" w:cs="Arial" w:eastAsia="Arial" w:hAnsi="Arial"/>
                <w:color w:val="D4860A"/>
                <w:sz w:val="17"/>
                <w:szCs w:val="17"/>
              </w:rPr>
              <w:t xml:space="preserve">% value within target range shown</w:t>
            </w:r>
          </w:p>
        </w:tc>
      </w:tr>
    </w:tbl>
    <w:p>
      <w:pPr>
        <w:spacing w:before="0" w:after="120"/>
      </w:pPr>
      <w:r>
        <w:t xml:space="preserve"/>
      </w:r>
    </w:p>
    <w:p>
      <w:pPr>
        <w:spacing w:before="60" w:after="90"/>
      </w:pPr>
      <w:r>
        <w:rPr>
          <w:rFonts w:ascii="Arial" w:cs="Arial" w:eastAsia="Arial" w:hAnsi="Arial"/>
          <w:b w:val="false"/>
          <w:bCs w:val="false"/>
          <w:i w:val="false"/>
          <w:iCs w:val="false"/>
          <w:color w:val="111111"/>
          <w:sz w:val="22"/>
          <w:szCs w:val="22"/>
        </w:rPr>
        <w:t xml:space="preserve">Two additional cost KPIs appear below the headline row:</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860A" w:sz="4"/>
              <w:left w:val="single" w:color="CCCCCC" w:sz="1"/>
              <w:bottom w:val="single" w:color="CCCCCC" w:sz="1"/>
              <w:right w:val="single" w:color="CCCCCC" w:sz="1"/>
            </w:tcBorders>
            <w:shd w:fill="EAF4EE" w:val="clear"/>
            <w:tcMar>
              <w:top w:type="dxa" w:w="120"/>
              <w:left w:type="dxa" w:w="120"/>
              <w:bottom w:type="dxa" w:w="120"/>
              <w:right w:type="dxa" w:w="120"/>
            </w:tcMar>
          </w:tcPr>
          <w:p>
            <w:pPr>
              <w:spacing w:before="0" w:after="30"/>
              <w:jc w:val="center"/>
            </w:pPr>
            <w:r>
              <w:rPr>
                <w:rFonts w:ascii="Arial" w:cs="Arial" w:eastAsia="Arial" w:hAnsi="Arial"/>
                <w:color w:val="666666"/>
                <w:sz w:val="17"/>
                <w:szCs w:val="17"/>
              </w:rPr>
              <w:t xml:space="preserve">Missing Stock Cost</w:t>
            </w:r>
          </w:p>
          <w:p>
            <w:pPr>
              <w:spacing w:before="0" w:after="30"/>
              <w:jc w:val="center"/>
            </w:pPr>
            <w:r>
              <w:rPr>
                <w:rFonts w:ascii="Arial" w:cs="Arial" w:eastAsia="Arial" w:hAnsi="Arial"/>
                <w:b/>
                <w:bCs/>
                <w:color w:val="1A3C2E"/>
                <w:sz w:val="28"/>
                <w:szCs w:val="28"/>
              </w:rPr>
              <w:t xml:space="preserve">$ Shortfall</w:t>
            </w:r>
          </w:p>
          <w:p>
            <w:pPr>
              <w:spacing w:before="0" w:after="0"/>
              <w:jc w:val="center"/>
            </w:pPr>
            <w:r>
              <w:rPr>
                <w:rFonts w:ascii="Arial" w:cs="Arial" w:eastAsia="Arial" w:hAnsi="Arial"/>
                <w:color w:val="D4860A"/>
                <w:sz w:val="17"/>
                <w:szCs w:val="17"/>
              </w:rPr>
              <w:t xml:space="preserve">(Target Min − Qty in Stock) × Unit Value</w:t>
            </w:r>
          </w:p>
        </w:tc>
        <w:tc>
          <w:tcPr>
            <w:tcW w:type="dxa" w:w="4680"/>
            <w:tcBorders>
              <w:top w:val="single" w:color="D4860A" w:sz="4"/>
              <w:left w:val="single" w:color="CCCCCC" w:sz="1"/>
              <w:bottom w:val="single" w:color="CCCCCC" w:sz="1"/>
              <w:right w:val="single" w:color="CCCCCC" w:sz="1"/>
            </w:tcBorders>
            <w:shd w:fill="EAF4EE" w:val="clear"/>
            <w:tcMar>
              <w:top w:type="dxa" w:w="120"/>
              <w:left w:type="dxa" w:w="120"/>
              <w:bottom w:type="dxa" w:w="120"/>
              <w:right w:type="dxa" w:w="120"/>
            </w:tcMar>
          </w:tcPr>
          <w:p>
            <w:pPr>
              <w:spacing w:before="0" w:after="30"/>
              <w:jc w:val="center"/>
            </w:pPr>
            <w:r>
              <w:rPr>
                <w:rFonts w:ascii="Arial" w:cs="Arial" w:eastAsia="Arial" w:hAnsi="Arial"/>
                <w:color w:val="666666"/>
                <w:sz w:val="17"/>
                <w:szCs w:val="17"/>
              </w:rPr>
              <w:t xml:space="preserve">Surplus Stock Cost</w:t>
            </w:r>
          </w:p>
          <w:p>
            <w:pPr>
              <w:spacing w:before="0" w:after="30"/>
              <w:jc w:val="center"/>
            </w:pPr>
            <w:r>
              <w:rPr>
                <w:rFonts w:ascii="Arial" w:cs="Arial" w:eastAsia="Arial" w:hAnsi="Arial"/>
                <w:b/>
                <w:bCs/>
                <w:color w:val="1A3C2E"/>
                <w:sz w:val="28"/>
                <w:szCs w:val="28"/>
              </w:rPr>
              <w:t xml:space="preserve">$ Overstock</w:t>
            </w:r>
          </w:p>
          <w:p>
            <w:pPr>
              <w:spacing w:before="0" w:after="0"/>
              <w:jc w:val="center"/>
            </w:pPr>
            <w:r>
              <w:rPr>
                <w:rFonts w:ascii="Arial" w:cs="Arial" w:eastAsia="Arial" w:hAnsi="Arial"/>
                <w:color w:val="D4860A"/>
                <w:sz w:val="17"/>
                <w:szCs w:val="17"/>
              </w:rPr>
              <w:t xml:space="preserve">(Qty in Stock − Target Max) × Unit Value</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2E" w:val="clear"/>
            <w:tcMar>
              <w:top w:type="dxa" w:w="160"/>
              <w:left w:type="dxa" w:w="280"/>
              <w:bottom w:type="dxa" w:w="160"/>
              <w:right w:type="dxa" w:w="280"/>
            </w:tcMar>
          </w:tcPr>
          <w:p>
            <w:pPr>
              <w:spacing w:before="0" w:after="40"/>
            </w:pPr>
            <w:r>
              <w:rPr>
                <w:rFonts w:ascii="Arial" w:cs="Arial" w:eastAsia="Arial" w:hAnsi="Arial"/>
                <w:b/>
                <w:bCs/>
                <w:color w:val="FFFFFF"/>
                <w:sz w:val="26"/>
                <w:szCs w:val="26"/>
              </w:rPr>
              <w:t xml:space="preserve">Stock Status Classification</w:t>
            </w:r>
          </w:p>
          <w:p>
            <w:pPr>
              <w:spacing w:before="0" w:after="0"/>
            </w:pPr>
            <w:r>
              <w:rPr>
                <w:rFonts w:ascii="Arial" w:cs="Arial" w:eastAsia="Arial" w:hAnsi="Arial"/>
                <w:color w:val="8BBDA8"/>
                <w:sz w:val="18"/>
                <w:szCs w:val="18"/>
              </w:rPr>
              <w:t xml:space="preserve">Four-tier system used across all charts, callouts, and the planning Gantt</w:t>
            </w:r>
          </w:p>
        </w:tc>
      </w:tr>
    </w:tbl>
    <w:p>
      <w:pPr>
        <w:spacing w:before="0" w:after="120"/>
      </w:pPr>
      <w:r>
        <w:t xml:space="preserve"/>
      </w:r>
    </w:p>
    <w:p>
      <w:pPr>
        <w:spacing w:before="60" w:after="90"/>
      </w:pPr>
      <w:r>
        <w:rPr>
          <w:rFonts w:ascii="Arial" w:cs="Arial" w:eastAsia="Arial" w:hAnsi="Arial"/>
          <w:b w:val="false"/>
          <w:bCs w:val="false"/>
          <w:i w:val="false"/>
          <w:iCs w:val="false"/>
          <w:color w:val="111111"/>
          <w:sz w:val="22"/>
          <w:szCs w:val="22"/>
        </w:rPr>
        <w:t xml:space="preserve">Every item–warehouse combination is classified into one of four stock statuses based on current quantity relative to configured min/max target levels. This classification drives all colour coding and aggregation across the dashboard:</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r>
              <w:rPr>
                <w:rFonts w:ascii="Arial" w:cs="Arial" w:eastAsia="Arial" w:hAnsi="Arial"/>
                <w:b/>
                <w:bCs/>
                <w:color w:val="FFFFFF"/>
                <w:sz w:val="20"/>
                <w:szCs w:val="20"/>
              </w:rPr>
              <w:t xml:space="preserve">Stock Status</w:t>
            </w:r>
          </w:p>
        </w:tc>
        <w:tc>
          <w:tcPr>
            <w:tcW w:type="dxa" w:w="18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r>
              <w:rPr>
                <w:rFonts w:ascii="Arial" w:cs="Arial" w:eastAsia="Arial" w:hAnsi="Arial"/>
                <w:b/>
                <w:bCs/>
                <w:color w:val="FFFFFF"/>
                <w:sz w:val="20"/>
                <w:szCs w:val="20"/>
              </w:rPr>
              <w:t xml:space="preserve">Colour Signal</w:t>
            </w:r>
          </w:p>
        </w:tc>
        <w:tc>
          <w:tcPr>
            <w:tcW w:type="dxa" w:w="516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r>
              <w:rPr>
                <w:rFonts w:ascii="Arial" w:cs="Arial" w:eastAsia="Arial" w:hAnsi="Arial"/>
                <w:b/>
                <w:bCs/>
                <w:color w:val="FFFFFF"/>
                <w:sz w:val="20"/>
                <w:szCs w:val="20"/>
              </w:rPr>
              <w:t xml:space="preserve">Definition / Trigger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Out-of-Stock</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Black</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Quantity in Stock = 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Under-Stock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 / Alert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&lt; Quantity in Stock &lt; Target Stock Min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Within Range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Green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Target Stock Min ≤ Quantity in Stock ≤ Target Stock Max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Over-Stock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Amber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Quantity in Stock &gt; Target Stock Max</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2E" w:val="clear"/>
            <w:tcMar>
              <w:top w:type="dxa" w:w="160"/>
              <w:left w:type="dxa" w:w="280"/>
              <w:bottom w:type="dxa" w:w="160"/>
              <w:right w:type="dxa" w:w="280"/>
            </w:tcMar>
          </w:tcPr>
          <w:p>
            <w:pPr>
              <w:spacing w:before="0" w:after="40"/>
            </w:pPr>
            <w:r>
              <w:rPr>
                <w:rFonts w:ascii="Arial" w:cs="Arial" w:eastAsia="Arial" w:hAnsi="Arial"/>
                <w:b/>
                <w:bCs/>
                <w:color w:val="FFFFFF"/>
                <w:sz w:val="26"/>
                <w:szCs w:val="26"/>
              </w:rPr>
              <w:t xml:space="preserve">1. Overview Dashboard</w:t>
            </w:r>
          </w:p>
          <w:p>
            <w:pPr>
              <w:spacing w:before="0" w:after="0"/>
            </w:pPr>
            <w:r>
              <w:rPr>
                <w:rFonts w:ascii="Arial" w:cs="Arial" w:eastAsia="Arial" w:hAnsi="Arial"/>
                <w:color w:val="8BBDA8"/>
                <w:sz w:val="18"/>
                <w:szCs w:val="18"/>
              </w:rPr>
              <w:t xml:space="preserve">Cross-category stock health monitoring and top-mover identification</w:t>
            </w:r>
          </w:p>
        </w:tc>
      </w:tr>
    </w:tbl>
    <w:p>
      <w:pPr>
        <w:spacing w:before="0" w:after="120"/>
      </w:pPr>
      <w:r>
        <w:t xml:space="preserve"/>
      </w:r>
    </w:p>
    <w:p>
      <w:pPr>
        <w:spacing w:before="60" w:after="90"/>
      </w:pPr>
      <w:r>
        <w:rPr>
          <w:rFonts w:ascii="Arial" w:cs="Arial" w:eastAsia="Arial" w:hAnsi="Arial"/>
          <w:b w:val="false"/>
          <w:bCs w:val="false"/>
          <w:i w:val="false"/>
          <w:iCs w:val="false"/>
          <w:color w:val="111111"/>
          <w:sz w:val="22"/>
          <w:szCs w:val="22"/>
        </w:rPr>
        <w:t xml:space="preserve">The Overview dashboard provides a single-screen summary of stock health across all three product categories. It is structured in parallel columns — one per category — so managers can compare performance side-by-side at a glance.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W w:type="dxa" w:w="4580"/>
            <w:tcBorders>
              <w:top w:val="none" w:color="FFFFFF" w:sz="0"/>
              <w:left w:val="none" w:color="FFFFFF" w:sz="0"/>
              <w:bottom w:val="none" w:color="FFFFFF" w:sz="0"/>
              <w:right w:val="none" w:color="FFFFFF" w:sz="0"/>
            </w:tcBorders>
            <w:tcMar>
              <w:top w:type="dxa" w:w="0"/>
              <w:left w:type="dxa" w:w="0"/>
              <w:bottom w:type="dxa" w:w="0"/>
              <w:right w:type="dxa" w:w="200"/>
            </w:tcMar>
          </w:tcPr>
          <w:p>
            <w:pPr>
              <w:spacing w:before="120" w:after="80"/>
            </w:pPr>
            <w:r>
              <w:rPr>
                <w:rFonts w:ascii="Arial" w:cs="Arial" w:eastAsia="Arial" w:hAnsi="Arial"/>
                <w:b/>
                <w:bCs/>
                <w:color w:val="2D6A4F"/>
                <w:sz w:val="22"/>
                <w:szCs w:val="22"/>
              </w:rPr>
              <w:t xml:space="preserve">Category Panels: Furniture, Office Supplies, Technology</w:t>
            </w:r>
          </w:p>
          <w:p>
            <w:pPr>
              <w:spacing w:before="60" w:after="90"/>
            </w:pPr>
            <w:r>
              <w:rPr>
                <w:rFonts w:ascii="Arial" w:cs="Arial" w:eastAsia="Arial" w:hAnsi="Arial"/>
                <w:b w:val="false"/>
                <w:bCs w:val="false"/>
                <w:i w:val="false"/>
                <w:iCs w:val="false"/>
                <w:color w:val="111111"/>
                <w:sz w:val="22"/>
                <w:szCs w:val="22"/>
              </w:rPr>
              <w:t xml:space="preserve">Each category column contains four components:</w:t>
            </w:r>
          </w:p>
          <w:p>
            <w:pPr>
              <w:pStyle w:val="ListParagraph"/>
              <w:numPr>
                <w:ilvl w:val="0"/>
                <w:numId w:val="2"/>
              </w:numPr>
              <w:spacing w:before="50" w:after="50"/>
            </w:pPr>
            <w:r>
              <w:rPr>
                <w:rFonts w:ascii="Arial" w:cs="Arial" w:eastAsia="Arial" w:hAnsi="Arial"/>
                <w:sz w:val="22"/>
                <w:szCs w:val="22"/>
              </w:rPr>
              <w:t xml:space="preserve">Callout banner — total metric value for the category (switchable between Positions, Quantity, Value, Missing Stock Cost, or Surplus Cost)</w:t>
            </w:r>
          </w:p>
          <w:p>
            <w:pPr>
              <w:pStyle w:val="ListParagraph"/>
              <w:numPr>
                <w:ilvl w:val="0"/>
                <w:numId w:val="2"/>
              </w:numPr>
              <w:spacing w:before="50" w:after="50"/>
            </w:pPr>
            <w:r>
              <w:rPr>
                <w:rFonts w:ascii="Arial" w:cs="Arial" w:eastAsia="Arial" w:hAnsi="Arial"/>
                <w:sz w:val="22"/>
                <w:szCs w:val="22"/>
              </w:rPr>
              <w:t xml:space="preserve">Status Distribution bar — breakdown of items by Out-of-Stock / Under-Stock / Within Range / Over-Stock</w:t>
            </w:r>
          </w:p>
          <w:p>
            <w:pPr>
              <w:pStyle w:val="ListParagraph"/>
              <w:numPr>
                <w:ilvl w:val="0"/>
                <w:numId w:val="2"/>
              </w:numPr>
              <w:spacing w:before="50" w:after="50"/>
            </w:pPr>
            <w:r>
              <w:rPr>
                <w:rFonts w:ascii="Arial" w:cs="Arial" w:eastAsia="Arial" w:hAnsi="Arial"/>
                <w:sz w:val="22"/>
                <w:szCs w:val="22"/>
              </w:rPr>
              <w:t xml:space="preserve">Trend chart — category metric over time (monthly), showing current period vs. prior months</w:t>
            </w:r>
          </w:p>
          <w:p>
            <w:pPr>
              <w:pStyle w:val="ListParagraph"/>
              <w:numPr>
                <w:ilvl w:val="0"/>
                <w:numId w:val="2"/>
              </w:numPr>
              <w:spacing w:before="50" w:after="50"/>
            </w:pPr>
            <w:r>
              <w:rPr>
                <w:rFonts w:ascii="Arial" w:cs="Arial" w:eastAsia="Arial" w:hAnsi="Arial"/>
                <w:sz w:val="22"/>
                <w:szCs w:val="22"/>
              </w:rPr>
              <w:t xml:space="preserve">Top 5 Movers table — top 5 items by selected metric within the category, with item name, warehouse, and value</w:t>
            </w:r>
          </w:p>
        </w:tc>
        <w:tc>
          <w:tcPr>
            <w:tcW w:type="dxa" w:w="4780"/>
            <w:tcBorders>
              <w:top w:val="none" w:color="FFFFFF" w:sz="0"/>
              <w:left w:val="none" w:color="FFFFFF" w:sz="0"/>
              <w:bottom w:val="none" w:color="FFFFFF" w:sz="0"/>
              <w:right w:val="none" w:color="FFFFFF" w:sz="0"/>
            </w:tcBorders>
            <w:tcMar>
              <w:top w:type="dxa" w:w="0"/>
              <w:left w:type="dxa" w:w="200"/>
              <w:bottom w:type="dxa" w:w="0"/>
              <w:right w:type="dxa" w:w="0"/>
            </w:tcMar>
          </w:tcPr>
          <w:p>
            <w:pPr>
              <w:spacing w:before="120" w:after="80"/>
            </w:pPr>
            <w:r>
              <w:rPr>
                <w:rFonts w:ascii="Arial" w:cs="Arial" w:eastAsia="Arial" w:hAnsi="Arial"/>
                <w:b/>
                <w:bCs/>
                <w:color w:val="2D6A4F"/>
                <w:sz w:val="22"/>
                <w:szCs w:val="22"/>
              </w:rPr>
              <w:t xml:space="preserve">Detail Switcher (Parameter: Detail)</w:t>
            </w:r>
          </w:p>
          <w:p>
            <w:pPr>
              <w:spacing w:before="60" w:after="90"/>
            </w:pPr>
            <w:r>
              <w:rPr>
                <w:rFonts w:ascii="Arial" w:cs="Arial" w:eastAsia="Arial" w:hAnsi="Arial"/>
                <w:b w:val="false"/>
                <w:bCs w:val="false"/>
                <w:i w:val="false"/>
                <w:iCs w:val="false"/>
                <w:color w:val="111111"/>
                <w:sz w:val="22"/>
                <w:szCs w:val="22"/>
              </w:rPr>
              <w:t xml:space="preserve">A toggle bar lets users switch all category panels simultaneously across five views:</w:t>
            </w:r>
          </w:p>
          <w:p>
            <w:pPr>
              <w:pStyle w:val="ListParagraph"/>
              <w:numPr>
                <w:ilvl w:val="0"/>
                <w:numId w:val="2"/>
              </w:numPr>
              <w:spacing w:before="50" w:after="50"/>
            </w:pPr>
            <w:r>
              <w:rPr>
                <w:rFonts w:ascii="Arial" w:cs="Arial" w:eastAsia="Arial" w:hAnsi="Arial"/>
                <w:sz w:val="22"/>
                <w:szCs w:val="22"/>
              </w:rPr>
              <w:t xml:space="preserve">Positions — count of distinct item–warehouse combinations</w:t>
            </w:r>
          </w:p>
          <w:p>
            <w:pPr>
              <w:pStyle w:val="ListParagraph"/>
              <w:numPr>
                <w:ilvl w:val="0"/>
                <w:numId w:val="2"/>
              </w:numPr>
              <w:spacing w:before="50" w:after="50"/>
            </w:pPr>
            <w:r>
              <w:rPr>
                <w:rFonts w:ascii="Arial" w:cs="Arial" w:eastAsia="Arial" w:hAnsi="Arial"/>
                <w:sz w:val="22"/>
                <w:szCs w:val="22"/>
              </w:rPr>
              <w:t xml:space="preserve">Quantity — total units in stock</w:t>
            </w:r>
          </w:p>
          <w:p>
            <w:pPr>
              <w:pStyle w:val="ListParagraph"/>
              <w:numPr>
                <w:ilvl w:val="0"/>
                <w:numId w:val="2"/>
              </w:numPr>
              <w:spacing w:before="50" w:after="50"/>
            </w:pPr>
            <w:r>
              <w:rPr>
                <w:rFonts w:ascii="Arial" w:cs="Arial" w:eastAsia="Arial" w:hAnsi="Arial"/>
                <w:sz w:val="22"/>
                <w:szCs w:val="22"/>
              </w:rPr>
              <w:t xml:space="preserve">Value — total stock value in dollars</w:t>
            </w:r>
          </w:p>
          <w:p>
            <w:pPr>
              <w:pStyle w:val="ListParagraph"/>
              <w:numPr>
                <w:ilvl w:val="0"/>
                <w:numId w:val="2"/>
              </w:numPr>
              <w:spacing w:before="50" w:after="50"/>
            </w:pPr>
            <w:r>
              <w:rPr>
                <w:rFonts w:ascii="Arial" w:cs="Arial" w:eastAsia="Arial" w:hAnsi="Arial"/>
                <w:sz w:val="22"/>
                <w:szCs w:val="22"/>
              </w:rPr>
              <w:t xml:space="preserve">Missing Stock Cost — financial cost of under-stocked positions</w:t>
            </w:r>
          </w:p>
          <w:p>
            <w:pPr>
              <w:pStyle w:val="ListParagraph"/>
              <w:numPr>
                <w:ilvl w:val="0"/>
                <w:numId w:val="2"/>
              </w:numPr>
              <w:spacing w:before="50" w:after="50"/>
            </w:pPr>
            <w:r>
              <w:rPr>
                <w:rFonts w:ascii="Arial" w:cs="Arial" w:eastAsia="Arial" w:hAnsi="Arial"/>
                <w:sz w:val="22"/>
                <w:szCs w:val="22"/>
              </w:rPr>
              <w:t xml:space="preserve">Surplus Cost — financial cost of over-stocked positions</w:t>
            </w:r>
          </w:p>
          <w:p>
            <w:pPr>
              <w:spacing w:before="0" w:after="80"/>
            </w:pPr>
            <w:r>
              <w:t xml:space="preserve"/>
            </w:r>
          </w:p>
          <w:p>
            <w:pPr>
              <w:spacing w:before="120" w:after="80"/>
            </w:pPr>
            <w:r>
              <w:rPr>
                <w:rFonts w:ascii="Arial" w:cs="Arial" w:eastAsia="Arial" w:hAnsi="Arial"/>
                <w:b/>
                <w:bCs/>
                <w:color w:val="2D6A4F"/>
                <w:sz w:val="22"/>
                <w:szCs w:val="22"/>
              </w:rPr>
              <w:t xml:space="preserve">Warehouse Filtering</w:t>
            </w:r>
          </w:p>
          <w:p>
            <w:pPr>
              <w:spacing w:before="60" w:after="90"/>
            </w:pPr>
            <w:r>
              <w:rPr>
                <w:rFonts w:ascii="Arial" w:cs="Arial" w:eastAsia="Arial" w:hAnsi="Arial"/>
                <w:b w:val="false"/>
                <w:bCs w:val="false"/>
                <w:i w:val="false"/>
                <w:iCs w:val="false"/>
                <w:color w:val="111111"/>
                <w:sz w:val="22"/>
                <w:szCs w:val="22"/>
              </w:rPr>
              <w:t xml:space="preserve">Certain worksheets suppress data for specific warehouses (Warehouse 001 and Warehouse 003) where data is unavailable — shown as 'No Data for this Warehouse' rather than blank, preventing misinterpretation of missing values.</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2E" w:val="clear"/>
            <w:tcMar>
              <w:top w:type="dxa" w:w="160"/>
              <w:left w:type="dxa" w:w="280"/>
              <w:bottom w:type="dxa" w:w="160"/>
              <w:right w:type="dxa" w:w="280"/>
            </w:tcMar>
          </w:tcPr>
          <w:p>
            <w:pPr>
              <w:spacing w:before="0" w:after="40"/>
            </w:pPr>
            <w:r>
              <w:rPr>
                <w:rFonts w:ascii="Arial" w:cs="Arial" w:eastAsia="Arial" w:hAnsi="Arial"/>
                <w:b/>
                <w:bCs/>
                <w:color w:val="FFFFFF"/>
                <w:sz w:val="26"/>
                <w:szCs w:val="26"/>
              </w:rPr>
              <w:t xml:space="preserve">2. Planning Dashboard — Out-of-Stock Risk Gantt</w:t>
            </w:r>
          </w:p>
          <w:p>
            <w:pPr>
              <w:spacing w:before="0" w:after="0"/>
            </w:pPr>
            <w:r>
              <w:rPr>
                <w:rFonts w:ascii="Arial" w:cs="Arial" w:eastAsia="Arial" w:hAnsi="Arial"/>
                <w:color w:val="8BBDA8"/>
                <w:sz w:val="18"/>
                <w:szCs w:val="18"/>
              </w:rPr>
              <w:t xml:space="preserve">Item-level OOS date forecasting and replenishment cost estimation</w:t>
            </w:r>
          </w:p>
        </w:tc>
      </w:tr>
    </w:tbl>
    <w:p>
      <w:pPr>
        <w:spacing w:before="0" w:after="120"/>
      </w:pPr>
      <w:r>
        <w:t xml:space="preserve"/>
      </w:r>
    </w:p>
    <w:p>
      <w:pPr>
        <w:spacing w:before="60" w:after="90"/>
      </w:pPr>
      <w:r>
        <w:rPr>
          <w:rFonts w:ascii="Arial" w:cs="Arial" w:eastAsia="Arial" w:hAnsi="Arial"/>
          <w:b w:val="false"/>
          <w:bCs w:val="false"/>
          <w:i w:val="false"/>
          <w:iCs w:val="false"/>
          <w:color w:val="111111"/>
          <w:sz w:val="22"/>
          <w:szCs w:val="22"/>
        </w:rPr>
        <w:t xml:space="preserve">The Planning dashboard shifts the focus from current stock health to forward-looking risk. At its core is a Gantt-style chart that forecasts when each item is expected to go out of stock, based on recent consumption patterns — enabling procurement teams to prioritise replenishment orders before a stockout occurs.</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W w:type="dxa" w:w="4580"/>
            <w:tcBorders>
              <w:top w:val="none" w:color="FFFFFF" w:sz="0"/>
              <w:left w:val="none" w:color="FFFFFF" w:sz="0"/>
              <w:bottom w:val="none" w:color="FFFFFF" w:sz="0"/>
              <w:right w:val="none" w:color="FFFFFF" w:sz="0"/>
            </w:tcBorders>
            <w:tcMar>
              <w:top w:type="dxa" w:w="0"/>
              <w:left w:type="dxa" w:w="0"/>
              <w:bottom w:type="dxa" w:w="0"/>
              <w:right w:type="dxa" w:w="200"/>
            </w:tcMar>
          </w:tcPr>
          <w:p>
            <w:pPr>
              <w:spacing w:before="120" w:after="80"/>
            </w:pPr>
            <w:r>
              <w:rPr>
                <w:rFonts w:ascii="Arial" w:cs="Arial" w:eastAsia="Arial" w:hAnsi="Arial"/>
                <w:b/>
                <w:bCs/>
                <w:color w:val="2D6A4F"/>
                <w:sz w:val="22"/>
                <w:szCs w:val="22"/>
              </w:rPr>
              <w:t xml:space="preserve">Gantt Chart Metrics</w:t>
            </w:r>
          </w:p>
          <w:p>
            <w:pPr>
              <w:pStyle w:val="ListParagraph"/>
              <w:numPr>
                <w:ilvl w:val="0"/>
                <w:numId w:val="2"/>
              </w:numPr>
              <w:spacing w:before="50" w:after="50"/>
            </w:pPr>
            <w:r>
              <w:rPr>
                <w:rFonts w:ascii="Arial" w:cs="Arial" w:eastAsia="Arial" w:hAnsi="Arial"/>
                <w:sz w:val="22"/>
                <w:szCs w:val="22"/>
              </w:rPr>
              <w:t xml:space="preserve">Days Until OOS — calculated as current stock level divided by average daily consumption rate</w:t>
            </w:r>
          </w:p>
          <w:p>
            <w:pPr>
              <w:pStyle w:val="ListParagraph"/>
              <w:numPr>
                <w:ilvl w:val="0"/>
                <w:numId w:val="2"/>
              </w:numPr>
              <w:spacing w:before="50" w:after="50"/>
            </w:pPr>
            <w:r>
              <w:rPr>
                <w:rFonts w:ascii="Arial" w:cs="Arial" w:eastAsia="Arial" w:hAnsi="Arial"/>
                <w:sz w:val="22"/>
                <w:szCs w:val="22"/>
              </w:rPr>
              <w:t xml:space="preserve">Expected OOS Date — projected date when stock reaches zero (DATEADD from last eval date)</w:t>
            </w:r>
          </w:p>
          <w:p>
            <w:pPr>
              <w:pStyle w:val="ListParagraph"/>
              <w:numPr>
                <w:ilvl w:val="0"/>
                <w:numId w:val="2"/>
              </w:numPr>
              <w:spacing w:before="50" w:after="50"/>
            </w:pPr>
            <w:r>
              <w:rPr>
                <w:rFonts w:ascii="Arial" w:cs="Arial" w:eastAsia="Arial" w:hAnsi="Arial"/>
                <w:sz w:val="22"/>
                <w:szCs w:val="22"/>
              </w:rPr>
              <w:t xml:space="preserve">Estimated Time Until OOS — displayed as a bar length; items already OOS show a fixed indicator</w:t>
            </w:r>
          </w:p>
          <w:p>
            <w:pPr>
              <w:pStyle w:val="ListParagraph"/>
              <w:numPr>
                <w:ilvl w:val="0"/>
                <w:numId w:val="2"/>
              </w:numPr>
              <w:spacing w:before="50" w:after="50"/>
            </w:pPr>
            <w:r>
              <w:rPr>
                <w:rFonts w:ascii="Arial" w:cs="Arial" w:eastAsia="Arial" w:hAnsi="Arial"/>
                <w:sz w:val="22"/>
                <w:szCs w:val="22"/>
              </w:rPr>
              <w:t xml:space="preserve">Avg Daily Loss — average daily stock drawdown over the rolling look-back window (negative daily changes only, excluding zero-stock days)</w:t>
            </w:r>
          </w:p>
          <w:p>
            <w:pPr>
              <w:pStyle w:val="ListParagraph"/>
              <w:numPr>
                <w:ilvl w:val="0"/>
                <w:numId w:val="2"/>
              </w:numPr>
              <w:spacing w:before="50" w:after="50"/>
            </w:pPr>
            <w:r>
              <w:rPr>
                <w:rFonts w:ascii="Arial" w:cs="Arial" w:eastAsia="Arial" w:hAnsi="Arial"/>
                <w:sz w:val="22"/>
                <w:szCs w:val="22"/>
              </w:rPr>
              <w:t xml:space="preserve">Avg Purchase — average daily inbound stock (positive daily changes); falls back to Target Stock Min when no purchases are recorded</w:t>
            </w:r>
          </w:p>
          <w:p>
            <w:pPr>
              <w:pStyle w:val="ListParagraph"/>
              <w:numPr>
                <w:ilvl w:val="0"/>
                <w:numId w:val="2"/>
              </w:numPr>
              <w:spacing w:before="50" w:after="50"/>
            </w:pPr>
            <w:r>
              <w:rPr>
                <w:rFonts w:ascii="Arial" w:cs="Arial" w:eastAsia="Arial" w:hAnsi="Arial"/>
                <w:sz w:val="22"/>
                <w:szCs w:val="22"/>
              </w:rPr>
              <w:t xml:space="preserve">Estimated Cost — projected financial impact of the OOS event (Avg Daily Loss × Unit Value)</w:t>
            </w:r>
          </w:p>
        </w:tc>
        <w:tc>
          <w:tcPr>
            <w:tcW w:type="dxa" w:w="4780"/>
            <w:tcBorders>
              <w:top w:val="none" w:color="FFFFFF" w:sz="0"/>
              <w:left w:val="none" w:color="FFFFFF" w:sz="0"/>
              <w:bottom w:val="none" w:color="FFFFFF" w:sz="0"/>
              <w:right w:val="none" w:color="FFFFFF" w:sz="0"/>
            </w:tcBorders>
            <w:tcMar>
              <w:top w:type="dxa" w:w="0"/>
              <w:left w:type="dxa" w:w="200"/>
              <w:bottom w:type="dxa" w:w="0"/>
              <w:right w:type="dxa" w:w="0"/>
            </w:tcMar>
          </w:tcPr>
          <w:p>
            <w:pPr>
              <w:spacing w:before="120" w:after="80"/>
            </w:pPr>
            <w:r>
              <w:rPr>
                <w:rFonts w:ascii="Arial" w:cs="Arial" w:eastAsia="Arial" w:hAnsi="Arial"/>
                <w:b/>
                <w:bCs/>
                <w:color w:val="2D6A4F"/>
                <w:sz w:val="22"/>
                <w:szCs w:val="22"/>
              </w:rPr>
              <w:t xml:space="preserve">Look-Back Window (Parameter: Go Back X Days)</w:t>
            </w:r>
          </w:p>
          <w:p>
            <w:pPr>
              <w:spacing w:before="60" w:after="90"/>
            </w:pPr>
            <w:r>
              <w:rPr>
                <w:rFonts w:ascii="Arial" w:cs="Arial" w:eastAsia="Arial" w:hAnsi="Arial"/>
                <w:b w:val="false"/>
                <w:bCs w:val="false"/>
                <w:i w:val="false"/>
                <w:iCs w:val="false"/>
                <w:color w:val="111111"/>
                <w:sz w:val="22"/>
                <w:szCs w:val="22"/>
              </w:rPr>
              <w:t xml:space="preserve">The consumption rate calculation uses a rolling look-back window, defaulting to 120 days. Users can adjust this parameter to widen or narrow the demand history used for OOS date projection — shorter windows reflect recent demand shifts; longer windows smooth out seasonal variation.</w:t>
            </w:r>
          </w:p>
          <w:p>
            <w:pPr>
              <w:spacing w:before="0" w:after="80"/>
            </w:pPr>
            <w:r>
              <w:t xml:space="preserve"/>
            </w:r>
          </w:p>
          <w:p>
            <w:pPr>
              <w:spacing w:before="120" w:after="80"/>
            </w:pPr>
            <w:r>
              <w:rPr>
                <w:rFonts w:ascii="Arial" w:cs="Arial" w:eastAsia="Arial" w:hAnsi="Arial"/>
                <w:b/>
                <w:bCs/>
                <w:color w:val="2D6A4F"/>
                <w:sz w:val="22"/>
                <w:szCs w:val="22"/>
              </w:rPr>
              <w:t xml:space="preserve">Items Currently Out-of-Stock</w:t>
            </w:r>
          </w:p>
          <w:p>
            <w:pPr>
              <w:spacing w:before="60" w:after="90"/>
            </w:pPr>
            <w:r>
              <w:rPr>
                <w:rFonts w:ascii="Arial" w:cs="Arial" w:eastAsia="Arial" w:hAnsi="Arial"/>
                <w:b w:val="false"/>
                <w:bCs w:val="false"/>
                <w:i w:val="false"/>
                <w:iCs w:val="false"/>
                <w:color w:val="111111"/>
                <w:sz w:val="22"/>
                <w:szCs w:val="22"/>
              </w:rPr>
              <w:t xml:space="preserve">Items already at zero stock are flagged separately — their bar renders at minimum size with a distinct indicator, and their expected OOS date is set to today (the last evaluation date), making them immediately visible at the top of the Gantt.</w:t>
            </w:r>
          </w:p>
          <w:p>
            <w:pPr>
              <w:spacing w:before="0" w:after="80"/>
            </w:pPr>
            <w:r>
              <w:t xml:space="preserve"/>
            </w:r>
          </w:p>
          <w:p>
            <w:pPr>
              <w:spacing w:before="120" w:after="80"/>
            </w:pPr>
            <w:r>
              <w:rPr>
                <w:rFonts w:ascii="Arial" w:cs="Arial" w:eastAsia="Arial" w:hAnsi="Arial"/>
                <w:b/>
                <w:bCs/>
                <w:color w:val="2D6A4F"/>
                <w:sz w:val="22"/>
                <w:szCs w:val="22"/>
              </w:rPr>
              <w:t xml:space="preserve">Legend</w:t>
            </w:r>
          </w:p>
          <w:p>
            <w:pPr>
              <w:spacing w:before="60" w:after="90"/>
            </w:pPr>
            <w:r>
              <w:rPr>
                <w:rFonts w:ascii="Arial" w:cs="Arial" w:eastAsia="Arial" w:hAnsi="Arial"/>
                <w:b w:val="false"/>
                <w:bCs w:val="false"/>
                <w:i w:val="false"/>
                <w:iCs w:val="false"/>
                <w:color w:val="111111"/>
                <w:sz w:val="22"/>
                <w:szCs w:val="22"/>
              </w:rPr>
              <w:t xml:space="preserve">A horizontal legend appears at the top of the Planning dashboard identifying the colour coding for each stock status category, available in both light and dark display variants.</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2E" w:val="clear"/>
            <w:tcMar>
              <w:top w:type="dxa" w:w="160"/>
              <w:left w:type="dxa" w:w="280"/>
              <w:bottom w:type="dxa" w:w="160"/>
              <w:right w:type="dxa" w:w="280"/>
            </w:tcMar>
          </w:tcPr>
          <w:p>
            <w:pPr>
              <w:spacing w:before="0" w:after="40"/>
            </w:pPr>
            <w:r>
              <w:rPr>
                <w:rFonts w:ascii="Arial" w:cs="Arial" w:eastAsia="Arial" w:hAnsi="Arial"/>
                <w:b/>
                <w:bCs/>
                <w:color w:val="FFFFFF"/>
                <w:sz w:val="26"/>
                <w:szCs w:val="26"/>
              </w:rPr>
              <w:t xml:space="preserve">3. Product Category Details</w:t>
            </w:r>
          </w:p>
          <w:p>
            <w:pPr>
              <w:spacing w:before="0" w:after="0"/>
            </w:pPr>
            <w:r>
              <w:rPr>
                <w:rFonts w:ascii="Arial" w:cs="Arial" w:eastAsia="Arial" w:hAnsi="Arial"/>
                <w:color w:val="8BBDA8"/>
                <w:sz w:val="18"/>
                <w:szCs w:val="18"/>
              </w:rPr>
              <w:t xml:space="preserve">Three tracked categories with independent warehouse availability rules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16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r>
              <w:rPr>
                <w:rFonts w:ascii="Arial" w:cs="Arial" w:eastAsia="Arial" w:hAnsi="Arial"/>
                <w:b/>
                <w:bCs/>
                <w:color w:val="FFFFFF"/>
                <w:sz w:val="20"/>
                <w:szCs w:val="20"/>
              </w:rPr>
              <w:t xml:space="preserve">Warehouse Coverage</w:t>
            </w:r>
          </w:p>
        </w:tc>
        <w:tc>
          <w:tcPr>
            <w:tcW w:type="dxa" w:w="38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r>
              <w:rPr>
                <w:rFonts w:ascii="Arial" w:cs="Arial" w:eastAsia="Arial" w:hAnsi="Arial"/>
                <w:b/>
                <w:bCs/>
                <w:color w:val="FFFFFF"/>
                <w:sz w:val="20"/>
                <w:szCs w:val="20"/>
              </w:rPr>
              <w:t xml:space="preserve">Dashboard Panels</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b/>
                <w:bCs/>
                <w:color w:val="2D6A4F"/>
                <w:sz w:val="20"/>
                <w:szCs w:val="20"/>
              </w:rPr>
              <w:t xml:space="preserve">Furniture</w:t>
            </w:r>
          </w:p>
        </w:tc>
        <w:tc>
          <w:tcPr>
            <w:tcW w:type="dxa" w:w="3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sz w:val="20"/>
                <w:szCs w:val="20"/>
              </w:rPr>
              <w:t xml:space="preserve">All warehouses (Warehouse 001 included)</w:t>
            </w:r>
          </w:p>
        </w:tc>
        <w:tc>
          <w:tcPr>
            <w:tcW w:type="dxa" w:w="3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sz w:val="20"/>
                <w:szCs w:val="20"/>
              </w:rPr>
              <w:t xml:space="preserve">Callout, Status Distribution, Trend chart, Top 5 Movers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6A4F"/>
                <w:sz w:val="20"/>
                <w:szCs w:val="20"/>
              </w:rPr>
              <w:t xml:space="preserve">Office Supplies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Excludes Warehouse 001 &amp; 003 (no data)</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Callout, Status Distribution, Trend chart, Top 5 Movers</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b/>
                <w:bCs/>
                <w:color w:val="2D6A4F"/>
                <w:sz w:val="20"/>
                <w:szCs w:val="20"/>
              </w:rPr>
              <w:t xml:space="preserve">Technology</w:t>
            </w:r>
          </w:p>
        </w:tc>
        <w:tc>
          <w:tcPr>
            <w:tcW w:type="dxa" w:w="3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sz w:val="20"/>
                <w:szCs w:val="20"/>
              </w:rPr>
              <w:t xml:space="preserve">Excludes Warehouse 001 only (no data)</w:t>
            </w:r>
          </w:p>
        </w:tc>
        <w:tc>
          <w:tcPr>
            <w:tcW w:type="dxa" w:w="3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sz w:val="20"/>
                <w:szCs w:val="20"/>
              </w:rPr>
              <w:t xml:space="preserve">Callout, Status Distribution, Trend chart, Top 5 Movers</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2E" w:val="clear"/>
            <w:tcMar>
              <w:top w:type="dxa" w:w="160"/>
              <w:left w:type="dxa" w:w="280"/>
              <w:bottom w:type="dxa" w:w="160"/>
              <w:right w:type="dxa" w:w="280"/>
            </w:tcMar>
          </w:tcPr>
          <w:p>
            <w:pPr>
              <w:spacing w:before="0" w:after="40"/>
            </w:pPr>
            <w:r>
              <w:rPr>
                <w:rFonts w:ascii="Arial" w:cs="Arial" w:eastAsia="Arial" w:hAnsi="Arial"/>
                <w:b/>
                <w:bCs/>
                <w:color w:val="FFFFFF"/>
                <w:sz w:val="26"/>
                <w:szCs w:val="26"/>
              </w:rPr>
              <w:t xml:space="preserve">4. Parameters &amp; Interactivity</w:t>
            </w:r>
          </w:p>
          <w:p>
            <w:pPr>
              <w:spacing w:before="0" w:after="0"/>
            </w:pPr>
            <w:r>
              <w:rPr>
                <w:rFonts w:ascii="Arial" w:cs="Arial" w:eastAsia="Arial" w:hAnsi="Arial"/>
                <w:color w:val="8BBDA8"/>
                <w:sz w:val="18"/>
                <w:szCs w:val="18"/>
              </w:rPr>
              <w:t xml:space="preserve">User-controlled filters that drive all dashboard views simultaneously</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W w:type="dxa" w:w="4580"/>
            <w:tcBorders>
              <w:top w:val="none" w:color="FFFFFF" w:sz="0"/>
              <w:left w:val="none" w:color="FFFFFF" w:sz="0"/>
              <w:bottom w:val="none" w:color="FFFFFF" w:sz="0"/>
              <w:right w:val="none" w:color="FFFFFF" w:sz="0"/>
            </w:tcBorders>
            <w:tcMar>
              <w:top w:type="dxa" w:w="0"/>
              <w:left w:type="dxa" w:w="0"/>
              <w:bottom w:type="dxa" w:w="0"/>
              <w:right w:type="dxa" w:w="200"/>
            </w:tcMar>
          </w:tcPr>
          <w:p>
            <w:pPr>
              <w:spacing w:before="120" w:after="80"/>
            </w:pPr>
            <w:r>
              <w:rPr>
                <w:rFonts w:ascii="Arial" w:cs="Arial" w:eastAsia="Arial" w:hAnsi="Arial"/>
                <w:b/>
                <w:bCs/>
                <w:color w:val="2D6A4F"/>
                <w:sz w:val="22"/>
                <w:szCs w:val="22"/>
              </w:rPr>
              <w:t xml:space="preserve">Detail Parameter — 5 Views</w:t>
            </w:r>
          </w:p>
          <w:p>
            <w:pPr>
              <w:spacing w:before="60" w:after="90"/>
            </w:pPr>
            <w:r>
              <w:rPr>
                <w:rFonts w:ascii="Arial" w:cs="Arial" w:eastAsia="Arial" w:hAnsi="Arial"/>
                <w:b w:val="false"/>
                <w:bCs w:val="false"/>
                <w:i w:val="false"/>
                <w:iCs w:val="false"/>
                <w:color w:val="111111"/>
                <w:sz w:val="22"/>
                <w:szCs w:val="22"/>
              </w:rPr>
              <w:t xml:space="preserve">The Detail toggle is the primary interactivity control on the Overview dashboard. A single click switches every callout, trend chart, status distribution, and top-5 table across all three categories simultaneously:</w:t>
            </w:r>
          </w:p>
          <w:p>
            <w:pPr>
              <w:pStyle w:val="ListParagraph"/>
              <w:numPr>
                <w:ilvl w:val="0"/>
                <w:numId w:val="2"/>
              </w:numPr>
              <w:spacing w:before="50" w:after="50"/>
            </w:pPr>
            <w:r>
              <w:rPr>
                <w:rFonts w:ascii="Arial" w:cs="Arial" w:eastAsia="Arial" w:hAnsi="Arial"/>
                <w:sz w:val="22"/>
                <w:szCs w:val="22"/>
              </w:rPr>
              <w:t xml:space="preserve">Positions — count of active item–warehouse SKUs</w:t>
            </w:r>
          </w:p>
          <w:p>
            <w:pPr>
              <w:pStyle w:val="ListParagraph"/>
              <w:numPr>
                <w:ilvl w:val="0"/>
                <w:numId w:val="2"/>
              </w:numPr>
              <w:spacing w:before="50" w:after="50"/>
            </w:pPr>
            <w:r>
              <w:rPr>
                <w:rFonts w:ascii="Arial" w:cs="Arial" w:eastAsia="Arial" w:hAnsi="Arial"/>
                <w:sz w:val="22"/>
                <w:szCs w:val="22"/>
              </w:rPr>
              <w:t xml:space="preserve">Quantity — aggregate units in stock</w:t>
            </w:r>
          </w:p>
          <w:p>
            <w:pPr>
              <w:pStyle w:val="ListParagraph"/>
              <w:numPr>
                <w:ilvl w:val="0"/>
                <w:numId w:val="2"/>
              </w:numPr>
              <w:spacing w:before="50" w:after="50"/>
            </w:pPr>
            <w:r>
              <w:rPr>
                <w:rFonts w:ascii="Arial" w:cs="Arial" w:eastAsia="Arial" w:hAnsi="Arial"/>
                <w:sz w:val="22"/>
                <w:szCs w:val="22"/>
              </w:rPr>
              <w:t xml:space="preserve">Value — total stock value ($)</w:t>
            </w:r>
          </w:p>
          <w:p>
            <w:pPr>
              <w:pStyle w:val="ListParagraph"/>
              <w:numPr>
                <w:ilvl w:val="0"/>
                <w:numId w:val="2"/>
              </w:numPr>
              <w:spacing w:before="50" w:after="50"/>
            </w:pPr>
            <w:r>
              <w:rPr>
                <w:rFonts w:ascii="Arial" w:cs="Arial" w:eastAsia="Arial" w:hAnsi="Arial"/>
                <w:sz w:val="22"/>
                <w:szCs w:val="22"/>
              </w:rPr>
              <w:t xml:space="preserve">Missing Stock Cost — cost of filling all under-stocked positions to minimum</w:t>
            </w:r>
          </w:p>
          <w:p>
            <w:pPr>
              <w:pStyle w:val="ListParagraph"/>
              <w:numPr>
                <w:ilvl w:val="0"/>
                <w:numId w:val="2"/>
              </w:numPr>
              <w:spacing w:before="50" w:after="50"/>
            </w:pPr>
            <w:r>
              <w:rPr>
                <w:rFonts w:ascii="Arial" w:cs="Arial" w:eastAsia="Arial" w:hAnsi="Arial"/>
                <w:sz w:val="22"/>
                <w:szCs w:val="22"/>
              </w:rPr>
              <w:t xml:space="preserve">Surplus Cost — cost value of excess stock above maximum targets</w:t>
            </w:r>
          </w:p>
        </w:tc>
        <w:tc>
          <w:tcPr>
            <w:tcW w:type="dxa" w:w="4780"/>
            <w:tcBorders>
              <w:top w:val="none" w:color="FFFFFF" w:sz="0"/>
              <w:left w:val="none" w:color="FFFFFF" w:sz="0"/>
              <w:bottom w:val="none" w:color="FFFFFF" w:sz="0"/>
              <w:right w:val="none" w:color="FFFFFF" w:sz="0"/>
            </w:tcBorders>
            <w:tcMar>
              <w:top w:type="dxa" w:w="0"/>
              <w:left w:type="dxa" w:w="200"/>
              <w:bottom w:type="dxa" w:w="0"/>
              <w:right w:type="dxa" w:w="0"/>
            </w:tcMar>
          </w:tcPr>
          <w:p>
            <w:pPr>
              <w:spacing w:before="120" w:after="80"/>
            </w:pPr>
            <w:r>
              <w:rPr>
                <w:rFonts w:ascii="Arial" w:cs="Arial" w:eastAsia="Arial" w:hAnsi="Arial"/>
                <w:b/>
                <w:bCs/>
                <w:color w:val="2D6A4F"/>
                <w:sz w:val="22"/>
                <w:szCs w:val="22"/>
              </w:rPr>
              <w:t xml:space="preserve">Go Back X Days — Rolling Window</w:t>
            </w:r>
          </w:p>
          <w:p>
            <w:pPr>
              <w:spacing w:before="60" w:after="90"/>
            </w:pPr>
            <w:r>
              <w:rPr>
                <w:rFonts w:ascii="Arial" w:cs="Arial" w:eastAsia="Arial" w:hAnsi="Arial"/>
                <w:b w:val="false"/>
                <w:bCs w:val="false"/>
                <w:i w:val="false"/>
                <w:iCs w:val="false"/>
                <w:color w:val="111111"/>
                <w:sz w:val="22"/>
                <w:szCs w:val="22"/>
              </w:rPr>
              <w:t xml:space="preserve">Controls the look-back period for average daily consumption rate calculations used in the Planning Gantt. Default is 120 days.</w:t>
            </w:r>
          </w:p>
          <w:p>
            <w:pPr>
              <w:pStyle w:val="ListParagraph"/>
              <w:numPr>
                <w:ilvl w:val="0"/>
                <w:numId w:val="2"/>
              </w:numPr>
              <w:spacing w:before="50" w:after="50"/>
            </w:pPr>
            <w:r>
              <w:rPr>
                <w:rFonts w:ascii="Arial" w:cs="Arial" w:eastAsia="Arial" w:hAnsi="Arial"/>
                <w:sz w:val="22"/>
                <w:szCs w:val="22"/>
              </w:rPr>
              <w:t xml:space="preserve">Shorter windows (e.g. 30–60 days) capture recent demand spikes or seasonal shifts</w:t>
            </w:r>
          </w:p>
          <w:p>
            <w:pPr>
              <w:pStyle w:val="ListParagraph"/>
              <w:numPr>
                <w:ilvl w:val="0"/>
                <w:numId w:val="2"/>
              </w:numPr>
              <w:spacing w:before="50" w:after="50"/>
            </w:pPr>
            <w:r>
              <w:rPr>
                <w:rFonts w:ascii="Arial" w:cs="Arial" w:eastAsia="Arial" w:hAnsi="Arial"/>
                <w:sz w:val="22"/>
                <w:szCs w:val="22"/>
              </w:rPr>
              <w:t xml:space="preserve">Longer windows (e.g. 180+ days) smooth volatility and reflect steady-state consumption</w:t>
            </w:r>
          </w:p>
          <w:p>
            <w:pPr>
              <w:pStyle w:val="ListParagraph"/>
              <w:numPr>
                <w:ilvl w:val="0"/>
                <w:numId w:val="2"/>
              </w:numPr>
              <w:spacing w:before="50" w:after="50"/>
            </w:pPr>
            <w:r>
              <w:rPr>
                <w:rFonts w:ascii="Arial" w:cs="Arial" w:eastAsia="Arial" w:hAnsi="Arial"/>
                <w:sz w:val="22"/>
                <w:szCs w:val="22"/>
              </w:rPr>
              <w:t xml:space="preserve">Affects: Avg Daily Loss, Days Until OOS, Expected OOS Date, Estimated Cost</w:t>
            </w:r>
          </w:p>
          <w:p>
            <w:pPr>
              <w:spacing w:before="0" w:after="80"/>
            </w:pPr>
            <w:r>
              <w:t xml:space="preserve"/>
            </w:r>
          </w:p>
          <w:p>
            <w:pPr>
              <w:spacing w:before="120" w:after="80"/>
            </w:pPr>
            <w:r>
              <w:rPr>
                <w:rFonts w:ascii="Arial" w:cs="Arial" w:eastAsia="Arial" w:hAnsi="Arial"/>
                <w:b/>
                <w:bCs/>
                <w:color w:val="2D6A4F"/>
                <w:sz w:val="22"/>
                <w:szCs w:val="22"/>
              </w:rPr>
              <w:t xml:space="preserve">Max Date</w:t>
            </w:r>
          </w:p>
          <w:p>
            <w:pPr>
              <w:spacing w:before="60" w:after="90"/>
            </w:pPr>
            <w:r>
              <w:rPr>
                <w:rFonts w:ascii="Arial" w:cs="Arial" w:eastAsia="Arial" w:hAnsi="Arial"/>
                <w:b w:val="false"/>
                <w:bCs w:val="false"/>
                <w:i w:val="false"/>
                <w:iCs w:val="false"/>
                <w:color w:val="111111"/>
                <w:sz w:val="22"/>
                <w:szCs w:val="22"/>
              </w:rPr>
              <w:t xml:space="preserve">Sets the reference date for all 'current stock' calculations. Defaults to 26 December 2021 (the latest date in the dataset). All point-in-time stock level and status calculations are evaluated as of this date.</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2E" w:val="clear"/>
            <w:tcMar>
              <w:top w:type="dxa" w:w="160"/>
              <w:left w:type="dxa" w:w="280"/>
              <w:bottom w:type="dxa" w:w="160"/>
              <w:right w:type="dxa" w:w="280"/>
            </w:tcMar>
          </w:tcPr>
          <w:p>
            <w:pPr>
              <w:spacing w:before="0" w:after="40"/>
            </w:pPr>
            <w:r>
              <w:rPr>
                <w:rFonts w:ascii="Arial" w:cs="Arial" w:eastAsia="Arial" w:hAnsi="Arial"/>
                <w:b/>
                <w:bCs/>
                <w:color w:val="FFFFFF"/>
                <w:sz w:val="26"/>
                <w:szCs w:val="26"/>
              </w:rPr>
              <w:t xml:space="preserve">5. Light &amp; Dark Display Modes</w:t>
            </w:r>
          </w:p>
          <w:p>
            <w:pPr>
              <w:spacing w:before="0" w:after="0"/>
            </w:pPr>
            <w:r>
              <w:rPr>
                <w:rFonts w:ascii="Arial" w:cs="Arial" w:eastAsia="Arial" w:hAnsi="Arial"/>
                <w:color w:val="8BBDA8"/>
                <w:sz w:val="18"/>
                <w:szCs w:val="18"/>
              </w:rPr>
              <w:t xml:space="preserve">Full parity between light and dark themes across both dashboards</w:t>
            </w:r>
          </w:p>
        </w:tc>
      </w:tr>
    </w:tbl>
    <w:p>
      <w:pPr>
        <w:spacing w:before="0" w:after="120"/>
      </w:pPr>
      <w:r>
        <w:t xml:space="preserve"/>
      </w:r>
    </w:p>
    <w:p>
      <w:pPr>
        <w:spacing w:before="60" w:after="90"/>
      </w:pPr>
      <w:r>
        <w:rPr>
          <w:rFonts w:ascii="Arial" w:cs="Arial" w:eastAsia="Arial" w:hAnsi="Arial"/>
          <w:b w:val="false"/>
          <w:bCs w:val="false"/>
          <w:i w:val="false"/>
          <w:iCs w:val="false"/>
          <w:color w:val="111111"/>
          <w:sz w:val="22"/>
          <w:szCs w:val="22"/>
        </w:rPr>
        <w:t xml:space="preserve">Both the Overview and Planning dashboards are published in matched light-mode and dark-mode variants. All KPI cards, bar charts, status distributions, trend lines, Gantt charts, and Top 5 tables have equivalent dark-mode worksheets. Toggle buttons on each dashboard allow users to switch between modes — implemented as navigation actions to the opposite-theme dashboard tab.</w:t>
      </w:r>
    </w:p>
    <w:p>
      <w:pPr>
        <w:spacing w:before="0" w:after="80"/>
      </w:pPr>
      <w:r>
        <w:t xml:space="preserve"/>
      </w:r>
    </w:p>
    <w:p>
      <w:pPr>
        <w:spacing w:before="60" w:after="90"/>
      </w:pPr>
      <w:r>
        <w:rPr>
          <w:rFonts w:ascii="Arial" w:cs="Arial" w:eastAsia="Arial" w:hAnsi="Arial"/>
          <w:b w:val="false"/>
          <w:bCs w:val="false"/>
          <w:i w:val="false"/>
          <w:iCs w:val="false"/>
          <w:color w:val="111111"/>
          <w:sz w:val="22"/>
          <w:szCs w:val="22"/>
        </w:rPr>
        <w:t xml:space="preserve">Dark mode uses inverted background shading with adjusted text and chart colours while preserving the same data, calculations, and interactivity as the light mode.</w:t>
      </w:r>
    </w:p>
    <w:p>
      <w:pPr>
        <w:spacing w:before="0" w:after="200"/>
      </w:pPr>
      <w:r>
        <w:t xml:space="preserve"/>
      </w:r>
    </w:p>
    <w:p>
      <w:pPr>
        <w:pBdr>
          <w:bottom w:val="single" w:color="D4860A" w:sz="6" w:space="4"/>
        </w:pBdr>
        <w:spacing w:before="280" w:after="120"/>
      </w:pPr>
      <w:r>
        <w:rPr>
          <w:rFonts w:ascii="Arial" w:cs="Arial" w:eastAsia="Arial" w:hAnsi="Arial"/>
          <w:b/>
          <w:bCs/>
          <w:color w:val="1A3C2E"/>
          <w:sz w:val="30"/>
          <w:szCs w:val="30"/>
        </w:rPr>
        <w:t xml:space="preserve">Strategic Observations for Management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D4860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840"/>
            <w:tcBorders>
              <w:top w:val="none" w:color="FFFFFF" w:sz="0"/>
              <w:left w:val="none" w:color="FFFFFF" w:sz="0"/>
              <w:bottom w:val="single" w:color="CCCCCC" w:sz="1"/>
              <w:right w:val="none" w:color="FFFFFF" w:sz="0"/>
            </w:tcBorders>
            <w:tcMar>
              <w:top w:type="dxa" w:w="80"/>
              <w:left w:type="dxa" w:w="160"/>
              <w:bottom w:type="dxa" w:w="80"/>
              <w:right w:type="dxa" w:w="0"/>
            </w:tcMar>
          </w:tcPr>
          <w:p>
            <w:pPr>
              <w:spacing w:before="0" w:after="0"/>
            </w:pPr>
            <w:r>
              <w:rPr>
                <w:rFonts w:ascii="Arial" w:cs="Arial" w:eastAsia="Arial" w:hAnsi="Arial"/>
                <w:b/>
                <w:bCs/>
                <w:sz w:val="22"/>
                <w:szCs w:val="22"/>
              </w:rPr>
              <w:t xml:space="preserve">Missing Stock Cost is the most urgent financial metric on the dashboard. </w:t>
            </w:r>
            <w:r>
              <w:rPr>
                <w:rFonts w:ascii="Arial" w:cs="Arial" w:eastAsia="Arial" w:hAnsi="Arial"/>
                <w:sz w:val="22"/>
                <w:szCs w:val="22"/>
              </w:rPr>
              <w:t xml:space="preserve">It quantifies in dollars the revenue or service-level risk of every under-stocked position. A high missing stock cost concentrated in a single category or warehouse signals an immediate replenishment priority — cross-reference with the Planning Gantt to confirm which specific items will deplete first.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D4860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840"/>
            <w:tcBorders>
              <w:top w:val="none" w:color="FFFFFF" w:sz="0"/>
              <w:left w:val="none" w:color="FFFFFF" w:sz="0"/>
              <w:bottom w:val="single" w:color="CCCCCC" w:sz="1"/>
              <w:right w:val="none" w:color="FFFFFF" w:sz="0"/>
            </w:tcBorders>
            <w:tcMar>
              <w:top w:type="dxa" w:w="80"/>
              <w:left w:type="dxa" w:w="160"/>
              <w:bottom w:type="dxa" w:w="80"/>
              <w:right w:type="dxa" w:w="0"/>
            </w:tcMar>
          </w:tcPr>
          <w:p>
            <w:pPr>
              <w:spacing w:before="0" w:after="0"/>
            </w:pPr>
            <w:r>
              <w:rPr>
                <w:rFonts w:ascii="Arial" w:cs="Arial" w:eastAsia="Arial" w:hAnsi="Arial"/>
                <w:b/>
                <w:bCs/>
                <w:sz w:val="22"/>
                <w:szCs w:val="22"/>
              </w:rPr>
              <w:t xml:space="preserve">Surplus Stock Cost is a working capital efficiency indicator. </w:t>
            </w:r>
            <w:r>
              <w:rPr>
                <w:rFonts w:ascii="Arial" w:cs="Arial" w:eastAsia="Arial" w:hAnsi="Arial"/>
                <w:sz w:val="22"/>
                <w:szCs w:val="22"/>
              </w:rPr>
              <w:t xml:space="preserve">Excess inventory above target maximums ties up cash and warehouse capacity. Items consistently in Over-Stock status should trigger a review of reorder point and reorder quantity settings — or a demand reforecast if consumption has slowed.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D4860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840"/>
            <w:tcBorders>
              <w:top w:val="none" w:color="FFFFFF" w:sz="0"/>
              <w:left w:val="none" w:color="FFFFFF" w:sz="0"/>
              <w:bottom w:val="single" w:color="CCCCCC" w:sz="1"/>
              <w:right w:val="none" w:color="FFFFFF" w:sz="0"/>
            </w:tcBorders>
            <w:tcMar>
              <w:top w:type="dxa" w:w="80"/>
              <w:left w:type="dxa" w:w="160"/>
              <w:bottom w:type="dxa" w:w="80"/>
              <w:right w:type="dxa" w:w="0"/>
            </w:tcMar>
          </w:tcPr>
          <w:p>
            <w:pPr>
              <w:spacing w:before="0" w:after="0"/>
            </w:pPr>
            <w:r>
              <w:rPr>
                <w:rFonts w:ascii="Arial" w:cs="Arial" w:eastAsia="Arial" w:hAnsi="Arial"/>
                <w:b/>
                <w:bCs/>
                <w:sz w:val="22"/>
                <w:szCs w:val="22"/>
              </w:rPr>
              <w:t xml:space="preserve">The Planning Gantt should be reviewed at minimum weekly. </w:t>
            </w:r>
            <w:r>
              <w:rPr>
                <w:rFonts w:ascii="Arial" w:cs="Arial" w:eastAsia="Arial" w:hAnsi="Arial"/>
                <w:sz w:val="22"/>
                <w:szCs w:val="22"/>
              </w:rPr>
              <w:t xml:space="preserve">Items with Days Until OOS under 14 days require immediate procurement action. The Expected OOS Date is a calculated forecast — earlier dates indicate faster consumption relative to current stock levels. Use the Go Back X Days parameter to stress-test the forecast against shorter demand windows if recent consumption has accelerated.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D4860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8840"/>
            <w:tcBorders>
              <w:top w:val="none" w:color="FFFFFF" w:sz="0"/>
              <w:left w:val="none" w:color="FFFFFF" w:sz="0"/>
              <w:bottom w:val="single" w:color="CCCCCC" w:sz="1"/>
              <w:right w:val="none" w:color="FFFFFF" w:sz="0"/>
            </w:tcBorders>
            <w:tcMar>
              <w:top w:type="dxa" w:w="80"/>
              <w:left w:type="dxa" w:w="160"/>
              <w:bottom w:type="dxa" w:w="80"/>
              <w:right w:type="dxa" w:w="0"/>
            </w:tcMar>
          </w:tcPr>
          <w:p>
            <w:pPr>
              <w:spacing w:before="0" w:after="0"/>
            </w:pPr>
            <w:r>
              <w:rPr>
                <w:rFonts w:ascii="Arial" w:cs="Arial" w:eastAsia="Arial" w:hAnsi="Arial"/>
                <w:b/>
                <w:bCs/>
                <w:sz w:val="22"/>
                <w:szCs w:val="22"/>
              </w:rPr>
              <w:t xml:space="preserve">Warehouse-level suppression flags data gaps that need resolution. </w:t>
            </w:r>
            <w:r>
              <w:rPr>
                <w:rFonts w:ascii="Arial" w:cs="Arial" w:eastAsia="Arial" w:hAnsi="Arial"/>
                <w:sz w:val="22"/>
                <w:szCs w:val="22"/>
              </w:rPr>
              <w:t xml:space="preserve">Office Supplies data is unavailable for Warehouse 001 and Warehouse 003, and Technology data is unavailable for Warehouse 001. These gaps mean stock health for those category–warehouse combinations is unmonitored. Confirm whether this reflects genuine absence of those product types at those locations, or a data pipeline issue requiring remediation.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D4860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8840"/>
            <w:tcBorders>
              <w:top w:val="none" w:color="FFFFFF" w:sz="0"/>
              <w:left w:val="none" w:color="FFFFFF" w:sz="0"/>
              <w:bottom w:val="single" w:color="CCCCCC" w:sz="1"/>
              <w:right w:val="none" w:color="FFFFFF" w:sz="0"/>
            </w:tcBorders>
            <w:tcMar>
              <w:top w:type="dxa" w:w="80"/>
              <w:left w:type="dxa" w:w="160"/>
              <w:bottom w:type="dxa" w:w="80"/>
              <w:right w:type="dxa" w:w="0"/>
            </w:tcMar>
          </w:tcPr>
          <w:p>
            <w:pPr>
              <w:spacing w:before="0" w:after="0"/>
            </w:pPr>
            <w:r>
              <w:rPr>
                <w:rFonts w:ascii="Arial" w:cs="Arial" w:eastAsia="Arial" w:hAnsi="Arial"/>
                <w:b/>
                <w:bCs/>
                <w:sz w:val="22"/>
                <w:szCs w:val="22"/>
              </w:rPr>
              <w:t xml:space="preserve">The status distribution bars are the fastest diagnostic for overall fleet health. </w:t>
            </w:r>
            <w:r>
              <w:rPr>
                <w:rFonts w:ascii="Arial" w:cs="Arial" w:eastAsia="Arial" w:hAnsi="Arial"/>
                <w:sz w:val="22"/>
                <w:szCs w:val="22"/>
              </w:rPr>
              <w:t xml:space="preserve">A healthy inventory portfolio shows the majority of positions in 'Within Range' (green). A shift toward red (Under-Stock) or black (Out-of-Stock) in any category demands attention. Amber (Over-Stock) in volume should prompt a review of purchasing patterns. Monitor the distribution trend over time using the trend charts to detect directional deterioration.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D4860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W w:type="dxa" w:w="8840"/>
            <w:tcBorders>
              <w:top w:val="none" w:color="FFFFFF" w:sz="0"/>
              <w:left w:val="none" w:color="FFFFFF" w:sz="0"/>
              <w:bottom w:val="single" w:color="CCCCCC" w:sz="1"/>
              <w:right w:val="none" w:color="FFFFFF" w:sz="0"/>
            </w:tcBorders>
            <w:tcMar>
              <w:top w:type="dxa" w:w="80"/>
              <w:left w:type="dxa" w:w="160"/>
              <w:bottom w:type="dxa" w:w="80"/>
              <w:right w:type="dxa" w:w="0"/>
            </w:tcMar>
          </w:tcPr>
          <w:p>
            <w:pPr>
              <w:spacing w:before="0" w:after="0"/>
            </w:pPr>
            <w:r>
              <w:rPr>
                <w:rFonts w:ascii="Arial" w:cs="Arial" w:eastAsia="Arial" w:hAnsi="Arial"/>
                <w:b/>
                <w:bCs/>
                <w:sz w:val="22"/>
                <w:szCs w:val="22"/>
              </w:rPr>
              <w:t xml:space="preserve">The Top 5 Movers table is your highest-impact action list. </w:t>
            </w:r>
            <w:r>
              <w:rPr>
                <w:rFonts w:ascii="Arial" w:cs="Arial" w:eastAsia="Arial" w:hAnsi="Arial"/>
                <w:sz w:val="22"/>
                <w:szCs w:val="22"/>
              </w:rPr>
              <w:t xml:space="preserve">Whether sorted by value, quantity, or cost metrics, the top 5 items in each category represent the greatest concentration of risk or financial exposure. Procurement and operations teams should use this list to anchor weekly replenishment review conversations.</w:t>
            </w:r>
          </w:p>
        </w:tc>
      </w:tr>
    </w:tbl>
    <w:p>
      <w:pPr>
        <w:spacing w:before="0" w:after="200"/>
      </w:pPr>
      <w:r>
        <w:t xml:space="preserve"/>
      </w:r>
    </w:p>
    <w:p>
      <w:pPr>
        <w:pBdr>
          <w:bottom w:val="single" w:color="D4860A" w:sz="6" w:space="4"/>
        </w:pBdr>
        <w:spacing w:before="280" w:after="120"/>
      </w:pPr>
      <w:r>
        <w:rPr>
          <w:rFonts w:ascii="Arial" w:cs="Arial" w:eastAsia="Arial" w:hAnsi="Arial"/>
          <w:b/>
          <w:bCs/>
          <w:color w:val="1A3C2E"/>
          <w:sz w:val="30"/>
          <w:szCs w:val="30"/>
        </w:rPr>
        <w:t xml:space="preserve">Data Model Reference</w:t>
      </w:r>
    </w:p>
    <w:p>
      <w:pPr>
        <w:spacing w:before="60" w:after="90"/>
      </w:pPr>
      <w:r>
        <w:rPr>
          <w:rFonts w:ascii="Arial" w:cs="Arial" w:eastAsia="Arial" w:hAnsi="Arial"/>
          <w:b w:val="false"/>
          <w:bCs w:val="false"/>
          <w:i w:val="false"/>
          <w:iCs w:val="false"/>
          <w:color w:val="111111"/>
          <w:sz w:val="22"/>
          <w:szCs w:val="22"/>
        </w:rPr>
        <w:t xml:space="preserve">The dashboard is powered by a single Hyper extract with the following core source fields: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A3C2E" w:val="clear"/>
            <w:tcMar>
              <w:top w:type="dxa" w:w="80"/>
              <w:left w:type="dxa" w:w="120"/>
              <w:bottom w:type="dxa" w:w="80"/>
              <w:right w:type="dxa" w:w="120"/>
            </w:tcMar>
          </w:tcPr>
          <w:p>
            <w:r>
              <w:rPr>
                <w:rFonts w:ascii="Arial" w:cs="Arial" w:eastAsia="Arial" w:hAnsi="Arial"/>
                <w:b/>
                <w:bCs/>
                <w:color w:val="FFFFFF"/>
                <w:sz w:val="20"/>
                <w:szCs w:val="20"/>
              </w:rPr>
              <w:t xml:space="preserve">Role in Dashboard</w:t>
            </w:r>
          </w:p>
        </w:tc>
      </w:tr>
      <w:tr>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sz w:val="20"/>
                <w:szCs w:val="20"/>
              </w:rPr>
              <w:t xml:space="preserve">Item</w:t>
            </w:r>
          </w:p>
        </w:tc>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sz w:val="20"/>
                <w:szCs w:val="20"/>
              </w:rPr>
              <w:t xml:space="preserve">Dimension</w:t>
            </w:r>
          </w:p>
        </w:tc>
        <w:tc>
          <w:tcPr>
            <w:tcW w:type="dxa" w:w="49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sz w:val="20"/>
                <w:szCs w:val="20"/>
              </w:rPr>
              <w:t xml:space="preserve">SKU identifier — combined with Warehouse for unique position key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Item 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Dimension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Human-readable product name shown in Top 5 tables</w:t>
            </w:r>
          </w:p>
        </w:tc>
      </w:tr>
      <w:tr>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sz w:val="20"/>
                <w:szCs w:val="20"/>
              </w:rPr>
              <w:t xml:space="preserve">Item Family</w:t>
            </w:r>
          </w:p>
        </w:tc>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sz w:val="20"/>
                <w:szCs w:val="20"/>
              </w:rPr>
              <w:t xml:space="preserve">Dimension</w:t>
            </w:r>
          </w:p>
        </w:tc>
        <w:tc>
          <w:tcPr>
            <w:tcW w:type="dxa" w:w="49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sz w:val="20"/>
                <w:szCs w:val="20"/>
              </w:rPr>
              <w:t xml:space="preserve">Category: Furniture, Office Supplies, or Technology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Warehouse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Dimension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 location — multiple warehouses tracked</w:t>
            </w:r>
          </w:p>
        </w:tc>
      </w:tr>
      <w:tr>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sz w:val="20"/>
                <w:szCs w:val="20"/>
              </w:rPr>
              <w:t xml:space="preserve">Date</w:t>
            </w:r>
          </w:p>
        </w:tc>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sz w:val="20"/>
                <w:szCs w:val="20"/>
              </w:rPr>
              <w:t xml:space="preserve">Date</w:t>
            </w:r>
          </w:p>
        </w:tc>
        <w:tc>
          <w:tcPr>
            <w:tcW w:type="dxa" w:w="49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sz w:val="20"/>
                <w:szCs w:val="20"/>
              </w:rPr>
              <w:t xml:space="preserve">Daily snapshot date; used for trend, eval date, and current stock calculations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Quantity in Stock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Measure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Units held at each item–warehouse–date combination</w:t>
            </w:r>
          </w:p>
        </w:tc>
      </w:tr>
      <w:tr>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sz w:val="20"/>
                <w:szCs w:val="20"/>
              </w:rPr>
              <w:t xml:space="preserve">Daily Change</w:t>
            </w:r>
          </w:p>
        </w:tc>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sz w:val="20"/>
                <w:szCs w:val="20"/>
              </w:rPr>
              <w:t xml:space="preserve">Measure</w:t>
            </w:r>
          </w:p>
        </w:tc>
        <w:tc>
          <w:tcPr>
            <w:tcW w:type="dxa" w:w="49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sz w:val="20"/>
                <w:szCs w:val="20"/>
              </w:rPr>
              <w:t xml:space="preserve">Day-over-day change in quantity; drives Avg Daily Loss and Avg Purchase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Value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Measure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Per-unit dollar value; used for all financial KPIs</w:t>
            </w:r>
          </w:p>
        </w:tc>
      </w:tr>
      <w:tr>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sz w:val="20"/>
                <w:szCs w:val="20"/>
              </w:rPr>
              <w:t xml:space="preserve">Target Stock Min</w:t>
            </w:r>
          </w:p>
        </w:tc>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sz w:val="20"/>
                <w:szCs w:val="20"/>
              </w:rPr>
              <w:t xml:space="preserve">Measure</w:t>
            </w:r>
          </w:p>
        </w:tc>
        <w:tc>
          <w:tcPr>
            <w:tcW w:type="dxa" w:w="49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sz w:val="20"/>
                <w:szCs w:val="20"/>
              </w:rPr>
              <w:t xml:space="preserve">Minimum target stock level — below this triggers Under-Stock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Stock Max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Measure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target level — above this triggers Over-Stock status</w:t>
            </w:r>
          </w:p>
        </w:tc>
      </w:tr>
    </w:tbl>
    <w:p>
      <w:pPr>
        <w:spacing w:before="0" w:after="200"/>
      </w:pPr>
      <w:r>
        <w:t xml:space="preserve"/>
      </w:r>
    </w:p>
    <w:p>
      <w:pPr>
        <w:pBdr>
          <w:top w:val="single" w:color="D4860A" w:sz="4" w:space="4"/>
        </w:pBdr>
        <w:spacing w:before="120" w:after="0"/>
      </w:pPr>
      <w:r>
        <w:rPr>
          <w:rFonts w:ascii="Arial" w:cs="Arial" w:eastAsia="Arial" w:hAnsi="Arial"/>
          <w:i/>
          <w:iCs/>
          <w:color w:val="666666"/>
          <w:sz w:val="18"/>
          <w:szCs w:val="18"/>
        </w:rPr>
        <w:t xml:space="preserve">This executive summary was produced from the Inventory.twbx Tableau workbook. All metrics, calculations, and structural observations are derived directly from the workbook's datasource definitions, calculated fields, worksheet configurations, and dashboard layouts. The data extract covers inventory records through 26 December 2021. For live filtering, parameter adjustment, and real-time data, refer to the published Tableau dashboard.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860A" w:sz="4" w:space="4"/>
      </w:pBdr>
      <w:tabs>
        <w:tab w:val="right" w:pos="9026"/>
      </w:tabs>
      <w:spacing w:before="80"/>
    </w:pPr>
    <w:r>
      <w:rPr>
        <w:rFonts w:ascii="Arial" w:cs="Arial" w:eastAsia="Arial" w:hAnsi="Arial"/>
        <w:color w:val="666666"/>
        <w:sz w:val="16"/>
        <w:szCs w:val="16"/>
      </w:rPr>
      <w:t xml:space="preserve">Confidential  |  Internal Use Only</w:t>
    </w:r>
    <w:r>
      <w:rPr>
        <w:rFonts w:ascii="Arial" w:cs="Arial" w:eastAsia="Arial" w:hAnsi="Arial"/>
        <w:color w:val="666666"/>
        <w:sz w:val="16"/>
        <w:szCs w:val="16"/>
      </w:rPr>
      <w:t xml:space="preserve">	Tableau  |  Inventory Management Dashboard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800"/>
      <w:gridCol w:w="3280"/>
    </w:tblGrid>
    <w:tr>
      <w:tc>
        <w:tcPr>
          <w:tcW w:type="dxa" w:w="6800"/>
          <w:tcBorders>
            <w:top w:val="none" w:color="FFFFFF" w:sz="0"/>
            <w:left w:val="none" w:color="FFFFFF" w:sz="0"/>
            <w:bottom w:val="single" w:color="D4860A" w:sz="4"/>
            <w:right w:val="none" w:color="FFFFFF" w:sz="0"/>
          </w:tcBorders>
          <w:tcMar>
            <w:top w:type="dxa" w:w="0"/>
            <w:left w:type="dxa" w:w="0"/>
            <w:bottom w:type="dxa" w:w="80"/>
            <w:right w:type="dxa" w:w="0"/>
          </w:tcMar>
        </w:tcPr>
        <w:p>
          <w:r>
            <w:rPr>
              <w:rFonts w:ascii="Arial" w:cs="Arial" w:eastAsia="Arial" w:hAnsi="Arial"/>
              <w:b/>
              <w:bCs/>
              <w:color w:val="1A3C2E"/>
              <w:sz w:val="20"/>
              <w:szCs w:val="20"/>
            </w:rPr>
            <w:t xml:space="preserve">INVENTORY MANAGEMENT DASHBOARD</w:t>
          </w:r>
        </w:p>
      </w:tc>
      <w:tc>
        <w:tcPr>
          <w:tcW w:type="dxa" w:w="3280"/>
          <w:tcBorders>
            <w:top w:val="none" w:color="FFFFFF" w:sz="0"/>
            <w:left w:val="none" w:color="FFFFFF" w:sz="0"/>
            <w:bottom w:val="single" w:color="D4860A" w:sz="4"/>
            <w:right w:val="none" w:color="FFFFFF" w:sz="0"/>
          </w:tcBorders>
          <w:tcMar>
            <w:top w:type="dxa" w:w="0"/>
            <w:left w:type="dxa" w:w="0"/>
            <w:bottom w:type="dxa" w:w="80"/>
            <w:right w:type="dxa" w:w="0"/>
          </w:tcMar>
        </w:tcPr>
        <w:p>
          <w:pPr>
            <w:jc w:val="right"/>
          </w:pPr>
          <w:r>
            <w:rPr>
              <w:rFonts w:ascii="Arial" w:cs="Arial" w:eastAsia="Arial" w:hAnsi="Arial"/>
              <w:color w:val="666666"/>
              <w:sz w:val="20"/>
              <w:szCs w:val="20"/>
            </w:rPr>
            <w:t xml:space="preserve">EXECUTIVE SUMMARY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2026-03-10T21:35:03.554Z</dcterms:created>
  <dcterms:modified xsi:type="dcterms:W3CDTF">2026-03-10T21:35:03.555Z</dcterms:modified>
</cp:coreProperties>
</file>

<file path=docProps/custom.xml><?xml version="1.0" encoding="utf-8"?>
<Properties xmlns="http://schemas.openxmlformats.org/officeDocument/2006/custom-properties" xmlns:vt="http://schemas.openxmlformats.org/officeDocument/2006/docPropsVTypes"/>
</file>