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B4E" w:val="clear"/>
            <w:tcMar>
              <w:top w:type="dxa" w:w="400"/>
              <w:left w:type="dxa" w:w="400"/>
              <w:bottom w:type="dxa" w:w="400"/>
              <w:right w:type="dxa" w:w="400"/>
            </w:tcMar>
          </w:tcPr>
          <w:p>
            <w:pPr>
              <w:spacing w:before="0" w:after="80"/>
              <w:jc w:val="center"/>
            </w:pPr>
            <w:r>
              <w:rPr>
                <w:rFonts w:ascii="Arial" w:cs="Arial" w:eastAsia="Arial" w:hAnsi="Arial"/>
                <w:b/>
                <w:bCs/>
                <w:color w:val="FFFFFF"/>
                <w:sz w:val="56"/>
                <w:szCs w:val="56"/>
              </w:rPr>
              <w:t xml:space="preserve">WEALTH &amp; BANKING</w:t>
            </w:r>
          </w:p>
          <w:p>
            <w:pPr>
              <w:spacing w:before="0" w:after="80"/>
              <w:jc w:val="center"/>
            </w:pPr>
            <w:r>
              <w:rPr>
                <w:rFonts w:ascii="Arial" w:cs="Arial" w:eastAsia="Arial" w:hAnsi="Arial"/>
                <w:color w:val="93B8D8"/>
                <w:sz w:val="30"/>
                <w:szCs w:val="30"/>
              </w:rPr>
              <w:t xml:space="preserve">Manager View Dashboard</w:t>
            </w:r>
          </w:p>
          <w:p>
            <w:pPr>
              <w:spacing w:before="0" w:after="0"/>
              <w:jc w:val="center"/>
            </w:pPr>
            <w:r>
              <w:rPr>
                <w:rFonts w:ascii="Arial" w:cs="Arial" w:eastAsia="Arial" w:hAnsi="Arial"/>
                <w:color w:val="B8D4E8"/>
                <w:sz w:val="20"/>
                <w:szCs w:val="20"/>
              </w:rPr>
              <w:t xml:space="preserve">Executive Summary  |  Advisor Performance &amp; Client Onboarding Pipeline</w:t>
            </w:r>
          </w:p>
        </w:tc>
      </w:tr>
    </w:tbl>
    <w:p>
      <w:pPr>
        <w:spacing w:before="0" w:after="200"/>
      </w:pPr>
      <w:r>
        <w:t xml:space="preserve"/>
      </w:r>
    </w:p>
    <w:p>
      <w:pPr>
        <w:pBdr>
          <w:bottom w:val="single" w:color="B8860B" w:sz="6" w:space="4"/>
        </w:pBdr>
        <w:spacing w:before="200" w:after="120"/>
      </w:pPr>
      <w:r>
        <w:rPr>
          <w:rFonts w:ascii="Arial" w:cs="Arial" w:eastAsia="Arial" w:hAnsi="Arial"/>
          <w:b/>
          <w:bCs/>
          <w:color w:val="0D2B4E"/>
          <w:sz w:val="32"/>
          <w:szCs w:val="32"/>
        </w:rPr>
        <w:t xml:space="preserve">Dashboard Overview</w:t>
      </w:r>
    </w:p>
    <w:p>
      <w:pPr>
        <w:spacing w:before="60" w:after="90"/>
      </w:pPr>
      <w:r>
        <w:rPr>
          <w:rFonts w:ascii="Arial" w:cs="Arial" w:eastAsia="Arial" w:hAnsi="Arial"/>
          <w:b w:val="false"/>
          <w:bCs w:val="false"/>
          <w:i w:val="false"/>
          <w:iCs w:val="false"/>
          <w:color w:val="111111"/>
          <w:sz w:val="22"/>
          <w:szCs w:val="22"/>
        </w:rPr>
        <w:t xml:space="preserve">The Wealth &amp; Banking Manager View is a Tableau dashboard designed to give managers a real-time, advisor-level perspective on portfolio performance, client onboarding activity, and pipeline health. The dashboard is built around a single parameterised advisor selector — enabling managers to drill from a team-wide view down to any one of 25 individual advisors — and covers a rolling comparison of current versus prior 8-week performance periods.</w:t>
      </w:r>
    </w:p>
    <w:p>
      <w:pPr>
        <w:spacing w:before="0" w:after="120"/>
      </w:pPr>
      <w:r>
        <w:t xml:space="preserve"/>
      </w:r>
    </w:p>
    <w:p>
      <w:pPr>
        <w:pBdr>
          <w:bottom w:val="single" w:color="B8860B" w:sz="6" w:space="4"/>
        </w:pBdr>
        <w:spacing w:before="200" w:after="120"/>
      </w:pPr>
      <w:r>
        <w:rPr>
          <w:rFonts w:ascii="Arial" w:cs="Arial" w:eastAsia="Arial" w:hAnsi="Arial"/>
          <w:b/>
          <w:bCs/>
          <w:color w:val="0D2B4E"/>
          <w:sz w:val="28"/>
          <w:szCs w:val="28"/>
        </w:rPr>
        <w:t xml:space="preserve">Five Core Performance Pillars</w:t>
      </w:r>
    </w:p>
    <w:p>
      <w:pPr>
        <w:spacing w:before="60" w:after="90"/>
      </w:pPr>
      <w:r>
        <w:rPr>
          <w:rFonts w:ascii="Arial" w:cs="Arial" w:eastAsia="Arial" w:hAnsi="Arial"/>
          <w:b w:val="false"/>
          <w:bCs w:val="false"/>
          <w:i w:val="false"/>
          <w:iCs w:val="false"/>
          <w:color w:val="111111"/>
          <w:sz w:val="22"/>
          <w:szCs w:val="22"/>
        </w:rPr>
        <w:t xml:space="preserve">The dashboard is structured around five KPI pillars, each with its own banner metric, period-over-period variance, trend sparkline, and advisor league table: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GWP / Asset Value</w:t>
            </w:r>
          </w:p>
          <w:p>
            <w:pPr>
              <w:spacing w:before="0" w:after="30"/>
              <w:jc w:val="center"/>
            </w:pPr>
            <w:r>
              <w:rPr>
                <w:rFonts w:ascii="Arial" w:cs="Arial" w:eastAsia="Arial" w:hAnsi="Arial"/>
                <w:b/>
                <w:bCs/>
                <w:color w:val="0D2B4E"/>
                <w:sz w:val="30"/>
                <w:szCs w:val="30"/>
              </w:rPr>
              <w:t xml:space="preserve">Portfolio $</w:t>
            </w:r>
          </w:p>
          <w:p>
            <w:pPr>
              <w:spacing w:before="0" w:after="0"/>
              <w:jc w:val="center"/>
            </w:pPr>
            <w:r>
              <w:rPr>
                <w:rFonts w:ascii="Arial" w:cs="Arial" w:eastAsia="Arial" w:hAnsi="Arial"/>
                <w:color w:val="B8860B"/>
                <w:sz w:val="17"/>
                <w:szCs w:val="17"/>
              </w:rPr>
              <w:t xml:space="preserve">Value var vs. prior period</w:t>
            </w:r>
          </w:p>
        </w:tc>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Number of Policies</w:t>
            </w:r>
          </w:p>
          <w:p>
            <w:pPr>
              <w:spacing w:before="0" w:after="30"/>
              <w:jc w:val="center"/>
            </w:pPr>
            <w:r>
              <w:rPr>
                <w:rFonts w:ascii="Arial" w:cs="Arial" w:eastAsia="Arial" w:hAnsi="Arial"/>
                <w:b/>
                <w:bCs/>
                <w:color w:val="0D2B4E"/>
                <w:sz w:val="30"/>
                <w:szCs w:val="30"/>
              </w:rPr>
              <w:t xml:space="preserve">Asset Count</w:t>
            </w:r>
          </w:p>
          <w:p>
            <w:pPr>
              <w:spacing w:before="0" w:after="0"/>
              <w:jc w:val="center"/>
            </w:pPr>
            <w:r>
              <w:rPr>
                <w:rFonts w:ascii="Arial" w:cs="Arial" w:eastAsia="Arial" w:hAnsi="Arial"/>
                <w:color w:val="B8860B"/>
                <w:sz w:val="17"/>
                <w:szCs w:val="17"/>
              </w:rPr>
              <w:t xml:space="preserve">Current vs. prior period</w:t>
            </w:r>
          </w:p>
        </w:tc>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Number of Clients</w:t>
            </w:r>
          </w:p>
          <w:p>
            <w:pPr>
              <w:spacing w:before="0" w:after="30"/>
              <w:jc w:val="center"/>
            </w:pPr>
            <w:r>
              <w:rPr>
                <w:rFonts w:ascii="Arial" w:cs="Arial" w:eastAsia="Arial" w:hAnsi="Arial"/>
                <w:b/>
                <w:bCs/>
                <w:color w:val="0D2B4E"/>
                <w:sz w:val="30"/>
                <w:szCs w:val="30"/>
              </w:rPr>
              <w:t xml:space="preserve">Client Count</w:t>
            </w:r>
          </w:p>
          <w:p>
            <w:pPr>
              <w:spacing w:before="0" w:after="0"/>
              <w:jc w:val="center"/>
            </w:pPr>
            <w:r>
              <w:rPr>
                <w:rFonts w:ascii="Arial" w:cs="Arial" w:eastAsia="Arial" w:hAnsi="Arial"/>
                <w:color w:val="B8860B"/>
                <w:sz w:val="17"/>
                <w:szCs w:val="17"/>
              </w:rPr>
              <w:t xml:space="preserve">Current vs. prior period</w:t>
            </w:r>
          </w:p>
        </w:tc>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Time in Pipeline</w:t>
            </w:r>
          </w:p>
          <w:p>
            <w:pPr>
              <w:spacing w:before="0" w:after="30"/>
              <w:jc w:val="center"/>
            </w:pPr>
            <w:r>
              <w:rPr>
                <w:rFonts w:ascii="Arial" w:cs="Arial" w:eastAsia="Arial" w:hAnsi="Arial"/>
                <w:b/>
                <w:bCs/>
                <w:color w:val="0D2B4E"/>
                <w:sz w:val="30"/>
                <w:szCs w:val="30"/>
              </w:rPr>
              <w:t xml:space="preserve">Avg Days</w:t>
            </w:r>
          </w:p>
          <w:p>
            <w:pPr>
              <w:spacing w:before="0" w:after="0"/>
              <w:jc w:val="center"/>
            </w:pPr>
            <w:r>
              <w:rPr>
                <w:rFonts w:ascii="Arial" w:cs="Arial" w:eastAsia="Arial" w:hAnsi="Arial"/>
                <w:color w:val="B8860B"/>
                <w:sz w:val="17"/>
                <w:szCs w:val="17"/>
              </w:rPr>
              <w:t xml:space="preserve">Total &amp; avg onboarding days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Avg Time per Stage (NILR)</w:t>
            </w:r>
          </w:p>
          <w:p>
            <w:pPr>
              <w:spacing w:before="0" w:after="30"/>
              <w:jc w:val="center"/>
            </w:pPr>
            <w:r>
              <w:rPr>
                <w:rFonts w:ascii="Arial" w:cs="Arial" w:eastAsia="Arial" w:hAnsi="Arial"/>
                <w:b/>
                <w:bCs/>
                <w:color w:val="0D2B4E"/>
                <w:sz w:val="30"/>
                <w:szCs w:val="30"/>
              </w:rPr>
              <w:t xml:space="preserve">Stage Days</w:t>
            </w:r>
          </w:p>
          <w:p>
            <w:pPr>
              <w:spacing w:before="0" w:after="0"/>
              <w:jc w:val="center"/>
            </w:pPr>
            <w:r>
              <w:rPr>
                <w:rFonts w:ascii="Arial" w:cs="Arial" w:eastAsia="Arial" w:hAnsi="Arial"/>
                <w:color w:val="B8860B"/>
                <w:sz w:val="17"/>
                <w:szCs w:val="17"/>
              </w:rPr>
              <w:t xml:space="preserve">Stage-level duration vs. prior</w:t>
            </w:r>
          </w:p>
        </w:tc>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SLA Outstanding</w:t>
            </w:r>
          </w:p>
          <w:p>
            <w:pPr>
              <w:spacing w:before="0" w:after="30"/>
              <w:jc w:val="center"/>
            </w:pPr>
            <w:r>
              <w:rPr>
                <w:rFonts w:ascii="Arial" w:cs="Arial" w:eastAsia="Arial" w:hAnsi="Arial"/>
                <w:b/>
                <w:bCs/>
                <w:color w:val="0D2B4E"/>
                <w:sz w:val="30"/>
                <w:szCs w:val="30"/>
              </w:rPr>
              <w:t xml:space="preserve">Breaches</w:t>
            </w:r>
          </w:p>
          <w:p>
            <w:pPr>
              <w:spacing w:before="0" w:after="0"/>
              <w:jc w:val="center"/>
            </w:pPr>
            <w:r>
              <w:rPr>
                <w:rFonts w:ascii="Arial" w:cs="Arial" w:eastAsia="Arial" w:hAnsi="Arial"/>
                <w:color w:val="B8860B"/>
                <w:sz w:val="17"/>
                <w:szCs w:val="17"/>
              </w:rPr>
              <w:t xml:space="preserve">Active SLA overruns flagged</w:t>
            </w:r>
          </w:p>
        </w:tc>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Overdue Cases</w:t>
            </w:r>
          </w:p>
          <w:p>
            <w:pPr>
              <w:spacing w:before="0" w:after="30"/>
              <w:jc w:val="center"/>
            </w:pPr>
            <w:r>
              <w:rPr>
                <w:rFonts w:ascii="Arial" w:cs="Arial" w:eastAsia="Arial" w:hAnsi="Arial"/>
                <w:b/>
                <w:bCs/>
                <w:color w:val="0D2B4E"/>
                <w:sz w:val="30"/>
                <w:szCs w:val="30"/>
              </w:rPr>
              <w:t xml:space="preserve">Clients</w:t>
            </w:r>
          </w:p>
          <w:p>
            <w:pPr>
              <w:spacing w:before="0" w:after="0"/>
              <w:jc w:val="center"/>
            </w:pPr>
            <w:r>
              <w:rPr>
                <w:rFonts w:ascii="Arial" w:cs="Arial" w:eastAsia="Arial" w:hAnsi="Arial"/>
                <w:color w:val="B8860B"/>
                <w:sz w:val="17"/>
                <w:szCs w:val="17"/>
              </w:rPr>
              <w:t xml:space="preserve">Cases requiring chase action</w:t>
            </w:r>
          </w:p>
        </w:tc>
        <w:tc>
          <w:tcPr>
            <w:tcW w:type="dxa" w:w="2340"/>
            <w:tcBorders>
              <w:top w:val="single" w:color="B8860B" w:sz="3"/>
              <w:left w:val="single" w:color="CCCCCC" w:sz="1"/>
              <w:bottom w:val="single" w:color="CCCCCC" w:sz="1"/>
              <w:right w:val="single" w:color="CCCCCC" w:sz="1"/>
            </w:tcBorders>
            <w:shd w:fill="EBF4FF" w:val="clear"/>
            <w:tcMar>
              <w:top w:type="dxa" w:w="120"/>
              <w:left w:type="dxa" w:w="140"/>
              <w:bottom w:type="dxa" w:w="120"/>
              <w:right w:type="dxa" w:w="140"/>
            </w:tcMar>
          </w:tcPr>
          <w:p>
            <w:pPr>
              <w:spacing w:before="0" w:after="30"/>
              <w:jc w:val="center"/>
            </w:pPr>
            <w:r>
              <w:rPr>
                <w:rFonts w:ascii="Arial" w:cs="Arial" w:eastAsia="Arial" w:hAnsi="Arial"/>
                <w:color w:val="666666"/>
                <w:sz w:val="17"/>
                <w:szCs w:val="17"/>
              </w:rPr>
              <w:t xml:space="preserve">Top 10 Clients</w:t>
            </w:r>
          </w:p>
          <w:p>
            <w:pPr>
              <w:spacing w:before="0" w:after="30"/>
              <w:jc w:val="center"/>
            </w:pPr>
            <w:r>
              <w:rPr>
                <w:rFonts w:ascii="Arial" w:cs="Arial" w:eastAsia="Arial" w:hAnsi="Arial"/>
                <w:b/>
                <w:bCs/>
                <w:color w:val="0D2B4E"/>
                <w:sz w:val="30"/>
                <w:szCs w:val="30"/>
              </w:rPr>
              <w:t xml:space="preserve">By Value</w:t>
            </w:r>
          </w:p>
          <w:p>
            <w:pPr>
              <w:spacing w:before="0" w:after="0"/>
              <w:jc w:val="center"/>
            </w:pPr>
            <w:r>
              <w:rPr>
                <w:rFonts w:ascii="Arial" w:cs="Arial" w:eastAsia="Arial" w:hAnsi="Arial"/>
                <w:color w:val="B8860B"/>
                <w:sz w:val="17"/>
                <w:szCs w:val="17"/>
              </w:rPr>
              <w:t xml:space="preserve">Ranked by asset value</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1. GWP — Gross Written Premium / Asset Value</w:t>
            </w:r>
          </w:p>
          <w:p>
            <w:pPr>
              <w:spacing w:before="0" w:after="0"/>
            </w:pPr>
            <w:r>
              <w:rPr>
                <w:rFonts w:ascii="Arial" w:cs="Arial" w:eastAsia="Arial" w:hAnsi="Arial"/>
                <w:color w:val="93B8D8"/>
                <w:sz w:val="18"/>
                <w:szCs w:val="18"/>
              </w:rPr>
              <w:t xml:space="preserve">Portfolio value tracking with period-over-period variance and advisor ranking</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The GWP section is the primary revenue indicator on the dashboard. It surfaces total asset value under management for the selected advisor or team, compares the current 8-week period against the prior 8-week period, and ranks advisors by value contribution.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20"/>
            </w:tcMar>
          </w:tcPr>
          <w:p>
            <w:pPr>
              <w:spacing w:before="0" w:after="80"/>
            </w:pPr>
            <w:r>
              <w:rPr>
                <w:rFonts w:ascii="Arial" w:cs="Arial" w:eastAsia="Arial" w:hAnsi="Arial"/>
                <w:b/>
                <w:bCs/>
                <w:color w:val="0D2B4E"/>
                <w:sz w:val="22"/>
                <w:szCs w:val="22"/>
              </w:rPr>
              <w:t xml:space="preserve">Metrics Tracked</w:t>
            </w:r>
          </w:p>
          <w:p>
            <w:pPr>
              <w:pStyle w:val="ListParagraph"/>
              <w:numPr>
                <w:ilvl w:val="0"/>
                <w:numId w:val="2"/>
              </w:numPr>
              <w:spacing w:before="50" w:after="50"/>
            </w:pPr>
            <w:r>
              <w:rPr>
                <w:rFonts w:ascii="Arial" w:cs="Arial" w:eastAsia="Arial" w:hAnsi="Arial"/>
                <w:sz w:val="22"/>
                <w:szCs w:val="22"/>
              </w:rPr>
              <w:t xml:space="preserve">Banner: Total asset value — current period</w:t>
            </w:r>
          </w:p>
          <w:p>
            <w:pPr>
              <w:pStyle w:val="ListParagraph"/>
              <w:numPr>
                <w:ilvl w:val="0"/>
                <w:numId w:val="2"/>
              </w:numPr>
              <w:spacing w:before="50" w:after="50"/>
            </w:pPr>
            <w:r>
              <w:rPr>
                <w:rFonts w:ascii="Arial" w:cs="Arial" w:eastAsia="Arial" w:hAnsi="Arial"/>
                <w:sz w:val="22"/>
                <w:szCs w:val="22"/>
              </w:rPr>
              <w:t xml:space="preserve">Variance: Current period vs. prior period (£/$ delta)</w:t>
            </w:r>
          </w:p>
          <w:p>
            <w:pPr>
              <w:pStyle w:val="ListParagraph"/>
              <w:numPr>
                <w:ilvl w:val="0"/>
                <w:numId w:val="2"/>
              </w:numPr>
              <w:spacing w:before="50" w:after="50"/>
            </w:pPr>
            <w:r>
              <w:rPr>
                <w:rFonts w:ascii="Arial" w:cs="Arial" w:eastAsia="Arial" w:hAnsi="Arial"/>
                <w:sz w:val="22"/>
                <w:szCs w:val="22"/>
              </w:rPr>
              <w:t xml:space="preserve">Area sparkline: Value trend across current and last periods</w:t>
            </w:r>
          </w:p>
          <w:p>
            <w:pPr>
              <w:pStyle w:val="ListParagraph"/>
              <w:numPr>
                <w:ilvl w:val="0"/>
                <w:numId w:val="2"/>
              </w:numPr>
              <w:spacing w:before="50" w:after="50"/>
            </w:pPr>
            <w:r>
              <w:rPr>
                <w:rFonts w:ascii="Arial" w:cs="Arial" w:eastAsia="Arial" w:hAnsi="Arial"/>
                <w:sz w:val="22"/>
                <w:szCs w:val="22"/>
              </w:rPr>
              <w:t xml:space="preserve">Rank table: Advisors ranked by asset value (top 5 highlighted)</w:t>
            </w:r>
          </w:p>
          <w:p>
            <w:pPr>
              <w:pStyle w:val="ListParagraph"/>
              <w:numPr>
                <w:ilvl w:val="0"/>
                <w:numId w:val="2"/>
              </w:numPr>
              <w:spacing w:before="50" w:after="50"/>
            </w:pPr>
            <w:r>
              <w:rPr>
                <w:rFonts w:ascii="Arial" w:cs="Arial" w:eastAsia="Arial" w:hAnsi="Arial"/>
                <w:sz w:val="22"/>
                <w:szCs w:val="22"/>
              </w:rPr>
              <w:t xml:space="preserve">High-value individual threshold: $1,000,000</w:t>
            </w:r>
          </w:p>
        </w:tc>
        <w:tc>
          <w:tcPr>
            <w:tcW w:type="dxa" w:w="4780"/>
            <w:tcBorders>
              <w:top w:val="none" w:color="FFFFFF" w:sz="0"/>
              <w:left w:val="none" w:color="FFFFFF" w:sz="0"/>
              <w:bottom w:val="none" w:color="FFFFFF" w:sz="0"/>
              <w:right w:val="none" w:color="FFFFFF" w:sz="0"/>
            </w:tcBorders>
            <w:tcMar>
              <w:top w:type="dxa" w:w="0"/>
              <w:left w:type="dxa" w:w="220"/>
              <w:bottom w:type="dxa" w:w="0"/>
              <w:right w:type="dxa" w:w="0"/>
            </w:tcMar>
          </w:tcPr>
          <w:p>
            <w:pPr>
              <w:spacing w:before="0" w:after="80"/>
            </w:pPr>
            <w:r>
              <w:rPr>
                <w:rFonts w:ascii="Arial" w:cs="Arial" w:eastAsia="Arial" w:hAnsi="Arial"/>
                <w:b/>
                <w:bCs/>
                <w:color w:val="0D2B4E"/>
                <w:sz w:val="22"/>
                <w:szCs w:val="22"/>
              </w:rPr>
              <w:t xml:space="preserve">Analytical Purpose</w:t>
            </w:r>
          </w:p>
          <w:p>
            <w:pPr>
              <w:pStyle w:val="ListParagraph"/>
              <w:numPr>
                <w:ilvl w:val="0"/>
                <w:numId w:val="2"/>
              </w:numPr>
              <w:spacing w:before="50" w:after="50"/>
            </w:pPr>
            <w:r>
              <w:rPr>
                <w:rFonts w:ascii="Arial" w:cs="Arial" w:eastAsia="Arial" w:hAnsi="Arial"/>
                <w:sz w:val="22"/>
                <w:szCs w:val="22"/>
              </w:rPr>
              <w:t xml:space="preserve">Identifies which advisors are growing vs. contracting portfolios</w:t>
            </w:r>
          </w:p>
          <w:p>
            <w:pPr>
              <w:pStyle w:val="ListParagraph"/>
              <w:numPr>
                <w:ilvl w:val="0"/>
                <w:numId w:val="2"/>
              </w:numPr>
              <w:spacing w:before="50" w:after="50"/>
            </w:pPr>
            <w:r>
              <w:rPr>
                <w:rFonts w:ascii="Arial" w:cs="Arial" w:eastAsia="Arial" w:hAnsi="Arial"/>
                <w:sz w:val="22"/>
                <w:szCs w:val="22"/>
              </w:rPr>
              <w:t xml:space="preserve">Period variance immediately surfaces advisors with value deterioration</w:t>
            </w:r>
          </w:p>
          <w:p>
            <w:pPr>
              <w:pStyle w:val="ListParagraph"/>
              <w:numPr>
                <w:ilvl w:val="0"/>
                <w:numId w:val="2"/>
              </w:numPr>
              <w:spacing w:before="50" w:after="50"/>
            </w:pPr>
            <w:r>
              <w:rPr>
                <w:rFonts w:ascii="Arial" w:cs="Arial" w:eastAsia="Arial" w:hAnsi="Arial"/>
                <w:sz w:val="22"/>
                <w:szCs w:val="22"/>
              </w:rPr>
              <w:t xml:space="preserve">Rank view enables peer benchmarking across the full advisor team</w:t>
            </w:r>
          </w:p>
          <w:p>
            <w:pPr>
              <w:pStyle w:val="ListParagraph"/>
              <w:numPr>
                <w:ilvl w:val="0"/>
                <w:numId w:val="2"/>
              </w:numPr>
              <w:spacing w:before="50" w:after="50"/>
            </w:pPr>
            <w:r>
              <w:rPr>
                <w:rFonts w:ascii="Arial" w:cs="Arial" w:eastAsia="Arial" w:hAnsi="Arial"/>
                <w:sz w:val="22"/>
                <w:szCs w:val="22"/>
              </w:rPr>
              <w:t xml:space="preserve">Asset value filter narrows the rank to the selected advisor's context</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2. Policies — Number of Assets / Policies</w:t>
            </w:r>
          </w:p>
          <w:p>
            <w:pPr>
              <w:spacing w:before="0" w:after="0"/>
            </w:pPr>
            <w:r>
              <w:rPr>
                <w:rFonts w:ascii="Arial" w:cs="Arial" w:eastAsia="Arial" w:hAnsi="Arial"/>
                <w:color w:val="93B8D8"/>
                <w:sz w:val="18"/>
                <w:szCs w:val="18"/>
              </w:rPr>
              <w:t xml:space="preserve">Volume of assets under management with advisor benchmarking</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The Policy pillar tracks the count of distinct assets (policies) held across the advisor's book of business. It provides volume context alongside the GWP value metrics, helping managers distinguish between high-volume/lower-value advisors and low-volume/high-value specialists.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20"/>
            </w:tcMar>
          </w:tcPr>
          <w:p>
            <w:pPr>
              <w:spacing w:before="0" w:after="80"/>
            </w:pPr>
            <w:r>
              <w:rPr>
                <w:rFonts w:ascii="Arial" w:cs="Arial" w:eastAsia="Arial" w:hAnsi="Arial"/>
                <w:b/>
                <w:bCs/>
                <w:color w:val="0D2B4E"/>
                <w:sz w:val="22"/>
                <w:szCs w:val="22"/>
              </w:rPr>
              <w:t xml:space="preserve">Metrics Tracked</w:t>
            </w:r>
          </w:p>
          <w:p>
            <w:pPr>
              <w:pStyle w:val="ListParagraph"/>
              <w:numPr>
                <w:ilvl w:val="0"/>
                <w:numId w:val="2"/>
              </w:numPr>
              <w:spacing w:before="50" w:after="50"/>
            </w:pPr>
            <w:r>
              <w:rPr>
                <w:rFonts w:ascii="Arial" w:cs="Arial" w:eastAsia="Arial" w:hAnsi="Arial"/>
                <w:sz w:val="22"/>
                <w:szCs w:val="22"/>
              </w:rPr>
              <w:t xml:space="preserve">Banner: Total assets — current period</w:t>
            </w:r>
          </w:p>
          <w:p>
            <w:pPr>
              <w:pStyle w:val="ListParagraph"/>
              <w:numPr>
                <w:ilvl w:val="0"/>
                <w:numId w:val="2"/>
              </w:numPr>
              <w:spacing w:before="50" w:after="50"/>
            </w:pPr>
            <w:r>
              <w:rPr>
                <w:rFonts w:ascii="Arial" w:cs="Arial" w:eastAsia="Arial" w:hAnsi="Arial"/>
                <w:sz w:val="22"/>
                <w:szCs w:val="22"/>
              </w:rPr>
              <w:t xml:space="preserve">Prior period count for comparison</w:t>
            </w:r>
          </w:p>
          <w:p>
            <w:pPr>
              <w:pStyle w:val="ListParagraph"/>
              <w:numPr>
                <w:ilvl w:val="0"/>
                <w:numId w:val="2"/>
              </w:numPr>
              <w:spacing w:before="50" w:after="50"/>
            </w:pPr>
            <w:r>
              <w:rPr>
                <w:rFonts w:ascii="Arial" w:cs="Arial" w:eastAsia="Arial" w:hAnsi="Arial"/>
                <w:sz w:val="22"/>
                <w:szCs w:val="22"/>
              </w:rPr>
              <w:t xml:space="preserve">Variance: current minus prior period assets</w:t>
            </w:r>
          </w:p>
          <w:p>
            <w:pPr>
              <w:pStyle w:val="ListParagraph"/>
              <w:numPr>
                <w:ilvl w:val="0"/>
                <w:numId w:val="2"/>
              </w:numPr>
              <w:spacing w:before="50" w:after="50"/>
            </w:pPr>
            <w:r>
              <w:rPr>
                <w:rFonts w:ascii="Arial" w:cs="Arial" w:eastAsia="Arial" w:hAnsi="Arial"/>
                <w:sz w:val="22"/>
                <w:szCs w:val="22"/>
              </w:rPr>
              <w:t xml:space="preserve">Area chart: Asset volume trend over time</w:t>
            </w:r>
          </w:p>
          <w:p>
            <w:pPr>
              <w:pStyle w:val="ListParagraph"/>
              <w:numPr>
                <w:ilvl w:val="0"/>
                <w:numId w:val="2"/>
              </w:numPr>
              <w:spacing w:before="50" w:after="50"/>
            </w:pPr>
            <w:r>
              <w:rPr>
                <w:rFonts w:ascii="Arial" w:cs="Arial" w:eastAsia="Arial" w:hAnsi="Arial"/>
                <w:sz w:val="22"/>
                <w:szCs w:val="22"/>
              </w:rPr>
              <w:t xml:space="preserve">Rank table: Advisors ranked by asset count</w:t>
            </w:r>
          </w:p>
          <w:p>
            <w:pPr>
              <w:pStyle w:val="ListParagraph"/>
              <w:numPr>
                <w:ilvl w:val="0"/>
                <w:numId w:val="2"/>
              </w:numPr>
              <w:spacing w:before="50" w:after="50"/>
            </w:pPr>
            <w:r>
              <w:rPr>
                <w:rFonts w:ascii="Arial" w:cs="Arial" w:eastAsia="Arial" w:hAnsi="Arial"/>
                <w:sz w:val="22"/>
                <w:szCs w:val="22"/>
              </w:rPr>
              <w:t xml:space="preserve">Total advisor count displayed for team-wide context</w:t>
            </w:r>
          </w:p>
        </w:tc>
        <w:tc>
          <w:tcPr>
            <w:tcW w:type="dxa" w:w="4780"/>
            <w:tcBorders>
              <w:top w:val="none" w:color="FFFFFF" w:sz="0"/>
              <w:left w:val="none" w:color="FFFFFF" w:sz="0"/>
              <w:bottom w:val="none" w:color="FFFFFF" w:sz="0"/>
              <w:right w:val="none" w:color="FFFFFF" w:sz="0"/>
            </w:tcBorders>
            <w:tcMar>
              <w:top w:type="dxa" w:w="0"/>
              <w:left w:type="dxa" w:w="220"/>
              <w:bottom w:type="dxa" w:w="0"/>
              <w:right w:type="dxa" w:w="0"/>
            </w:tcMar>
          </w:tcPr>
          <w:p>
            <w:pPr>
              <w:spacing w:before="0" w:after="80"/>
            </w:pPr>
            <w:r>
              <w:rPr>
                <w:rFonts w:ascii="Arial" w:cs="Arial" w:eastAsia="Arial" w:hAnsi="Arial"/>
                <w:b/>
                <w:bCs/>
                <w:color w:val="0D2B4E"/>
                <w:sz w:val="22"/>
                <w:szCs w:val="22"/>
              </w:rPr>
              <w:t xml:space="preserve">Analytical Purpose</w:t>
            </w:r>
          </w:p>
          <w:p>
            <w:pPr>
              <w:pStyle w:val="ListParagraph"/>
              <w:numPr>
                <w:ilvl w:val="0"/>
                <w:numId w:val="2"/>
              </w:numPr>
              <w:spacing w:before="50" w:after="50"/>
            </w:pPr>
            <w:r>
              <w:rPr>
                <w:rFonts w:ascii="Arial" w:cs="Arial" w:eastAsia="Arial" w:hAnsi="Arial"/>
                <w:sz w:val="22"/>
                <w:szCs w:val="22"/>
              </w:rPr>
              <w:t xml:space="preserve">Volume trends flag advisors who are losing or gaining policies</w:t>
            </w:r>
          </w:p>
          <w:p>
            <w:pPr>
              <w:pStyle w:val="ListParagraph"/>
              <w:numPr>
                <w:ilvl w:val="0"/>
                <w:numId w:val="2"/>
              </w:numPr>
              <w:spacing w:before="50" w:after="50"/>
            </w:pPr>
            <w:r>
              <w:rPr>
                <w:rFonts w:ascii="Arial" w:cs="Arial" w:eastAsia="Arial" w:hAnsi="Arial"/>
                <w:sz w:val="22"/>
                <w:szCs w:val="22"/>
              </w:rPr>
              <w:t xml:space="preserve">Combined with GWP, average asset value per policy can be inferred</w:t>
            </w:r>
          </w:p>
          <w:p>
            <w:pPr>
              <w:pStyle w:val="ListParagraph"/>
              <w:numPr>
                <w:ilvl w:val="0"/>
                <w:numId w:val="2"/>
              </w:numPr>
              <w:spacing w:before="50" w:after="50"/>
            </w:pPr>
            <w:r>
              <w:rPr>
                <w:rFonts w:ascii="Arial" w:cs="Arial" w:eastAsia="Arial" w:hAnsi="Arial"/>
                <w:sz w:val="22"/>
                <w:szCs w:val="22"/>
              </w:rPr>
              <w:t xml:space="preserve">Rank table supports capacity planning decisions across the team</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3. Clients — Number of Active Clients</w:t>
            </w:r>
          </w:p>
          <w:p>
            <w:pPr>
              <w:spacing w:before="0" w:after="0"/>
            </w:pPr>
            <w:r>
              <w:rPr>
                <w:rFonts w:ascii="Arial" w:cs="Arial" w:eastAsia="Arial" w:hAnsi="Arial"/>
                <w:color w:val="93B8D8"/>
                <w:sz w:val="18"/>
                <w:szCs w:val="18"/>
              </w:rPr>
              <w:t xml:space="preserve">Client base size, growth trends, and advisor-level comparison</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The Clients section measures the breadth of each advisor's client relationships, tracking distinct client counts across the current and prior periods. This pillar is key for understanding whether advisors are deepening existing relationships (GWP growth with flat clients) or expanding their base.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20"/>
            </w:tcMar>
          </w:tcPr>
          <w:p>
            <w:pPr>
              <w:spacing w:before="0" w:after="80"/>
            </w:pPr>
            <w:r>
              <w:rPr>
                <w:rFonts w:ascii="Arial" w:cs="Arial" w:eastAsia="Arial" w:hAnsi="Arial"/>
                <w:b/>
                <w:bCs/>
                <w:color w:val="0D2B4E"/>
                <w:sz w:val="22"/>
                <w:szCs w:val="22"/>
              </w:rPr>
              <w:t xml:space="preserve">Metrics Tracked</w:t>
            </w:r>
          </w:p>
          <w:p>
            <w:pPr>
              <w:pStyle w:val="ListParagraph"/>
              <w:numPr>
                <w:ilvl w:val="0"/>
                <w:numId w:val="2"/>
              </w:numPr>
              <w:spacing w:before="50" w:after="50"/>
            </w:pPr>
            <w:r>
              <w:rPr>
                <w:rFonts w:ascii="Arial" w:cs="Arial" w:eastAsia="Arial" w:hAnsi="Arial"/>
                <w:sz w:val="22"/>
                <w:szCs w:val="22"/>
              </w:rPr>
              <w:t xml:space="preserve">Banner: Distinct client count — current period</w:t>
            </w:r>
          </w:p>
          <w:p>
            <w:pPr>
              <w:pStyle w:val="ListParagraph"/>
              <w:numPr>
                <w:ilvl w:val="0"/>
                <w:numId w:val="2"/>
              </w:numPr>
              <w:spacing w:before="50" w:after="50"/>
            </w:pPr>
            <w:r>
              <w:rPr>
                <w:rFonts w:ascii="Arial" w:cs="Arial" w:eastAsia="Arial" w:hAnsi="Arial"/>
                <w:sz w:val="22"/>
                <w:szCs w:val="22"/>
              </w:rPr>
              <w:t xml:space="preserve">Prior period client count</w:t>
            </w:r>
          </w:p>
          <w:p>
            <w:pPr>
              <w:pStyle w:val="ListParagraph"/>
              <w:numPr>
                <w:ilvl w:val="0"/>
                <w:numId w:val="2"/>
              </w:numPr>
              <w:spacing w:before="50" w:after="50"/>
            </w:pPr>
            <w:r>
              <w:rPr>
                <w:rFonts w:ascii="Arial" w:cs="Arial" w:eastAsia="Arial" w:hAnsi="Arial"/>
                <w:sz w:val="22"/>
                <w:szCs w:val="22"/>
              </w:rPr>
              <w:t xml:space="preserve">Variance: Client count change period-over-period</w:t>
            </w:r>
          </w:p>
          <w:p>
            <w:pPr>
              <w:pStyle w:val="ListParagraph"/>
              <w:numPr>
                <w:ilvl w:val="0"/>
                <w:numId w:val="2"/>
              </w:numPr>
              <w:spacing w:before="50" w:after="50"/>
            </w:pPr>
            <w:r>
              <w:rPr>
                <w:rFonts w:ascii="Arial" w:cs="Arial" w:eastAsia="Arial" w:hAnsi="Arial"/>
                <w:sz w:val="22"/>
                <w:szCs w:val="22"/>
              </w:rPr>
              <w:t xml:space="preserve">Area trend chart: Client volume across periods</w:t>
            </w:r>
          </w:p>
          <w:p>
            <w:pPr>
              <w:pStyle w:val="ListParagraph"/>
              <w:numPr>
                <w:ilvl w:val="0"/>
                <w:numId w:val="2"/>
              </w:numPr>
              <w:spacing w:before="50" w:after="50"/>
            </w:pPr>
            <w:r>
              <w:rPr>
                <w:rFonts w:ascii="Arial" w:cs="Arial" w:eastAsia="Arial" w:hAnsi="Arial"/>
                <w:sz w:val="22"/>
                <w:szCs w:val="22"/>
              </w:rPr>
              <w:t xml:space="preserve">Rank table: Advisors ranked by client count</w:t>
            </w:r>
          </w:p>
        </w:tc>
        <w:tc>
          <w:tcPr>
            <w:tcW w:type="dxa" w:w="4780"/>
            <w:tcBorders>
              <w:top w:val="none" w:color="FFFFFF" w:sz="0"/>
              <w:left w:val="none" w:color="FFFFFF" w:sz="0"/>
              <w:bottom w:val="none" w:color="FFFFFF" w:sz="0"/>
              <w:right w:val="none" w:color="FFFFFF" w:sz="0"/>
            </w:tcBorders>
            <w:tcMar>
              <w:top w:type="dxa" w:w="0"/>
              <w:left w:type="dxa" w:w="220"/>
              <w:bottom w:type="dxa" w:w="0"/>
              <w:right w:type="dxa" w:w="0"/>
            </w:tcMar>
          </w:tcPr>
          <w:p>
            <w:pPr>
              <w:spacing w:before="0" w:after="80"/>
            </w:pPr>
            <w:r>
              <w:rPr>
                <w:rFonts w:ascii="Arial" w:cs="Arial" w:eastAsia="Arial" w:hAnsi="Arial"/>
                <w:b/>
                <w:bCs/>
                <w:color w:val="0D2B4E"/>
                <w:sz w:val="22"/>
                <w:szCs w:val="22"/>
              </w:rPr>
              <w:t xml:space="preserve">Analytical Purpose</w:t>
            </w:r>
          </w:p>
          <w:p>
            <w:pPr>
              <w:pStyle w:val="ListParagraph"/>
              <w:numPr>
                <w:ilvl w:val="0"/>
                <w:numId w:val="2"/>
              </w:numPr>
              <w:spacing w:before="50" w:after="50"/>
            </w:pPr>
            <w:r>
              <w:rPr>
                <w:rFonts w:ascii="Arial" w:cs="Arial" w:eastAsia="Arial" w:hAnsi="Arial"/>
                <w:sz w:val="22"/>
                <w:szCs w:val="22"/>
              </w:rPr>
              <w:t xml:space="preserve">Declining client counts signal attrition risk requiring follow-up</w:t>
            </w:r>
          </w:p>
          <w:p>
            <w:pPr>
              <w:pStyle w:val="ListParagraph"/>
              <w:numPr>
                <w:ilvl w:val="0"/>
                <w:numId w:val="2"/>
              </w:numPr>
              <w:spacing w:before="50" w:after="50"/>
            </w:pPr>
            <w:r>
              <w:rPr>
                <w:rFonts w:ascii="Arial" w:cs="Arial" w:eastAsia="Arial" w:hAnsi="Arial"/>
                <w:sz w:val="22"/>
                <w:szCs w:val="22"/>
              </w:rPr>
              <w:t xml:space="preserve">Growing client count with flat GWP may indicate lower-value acquisitions</w:t>
            </w:r>
          </w:p>
          <w:p>
            <w:pPr>
              <w:pStyle w:val="ListParagraph"/>
              <w:numPr>
                <w:ilvl w:val="0"/>
                <w:numId w:val="2"/>
              </w:numPr>
              <w:spacing w:before="50" w:after="50"/>
            </w:pPr>
            <w:r>
              <w:rPr>
                <w:rFonts w:ascii="Arial" w:cs="Arial" w:eastAsia="Arial" w:hAnsi="Arial"/>
                <w:sz w:val="22"/>
                <w:szCs w:val="22"/>
              </w:rPr>
              <w:t xml:space="preserve">Rank view identifies advisors with the broadest and narrowest client bases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4. Time in Pipeline — Onboarding Duration</w:t>
            </w:r>
          </w:p>
          <w:p>
            <w:pPr>
              <w:spacing w:before="0" w:after="0"/>
            </w:pPr>
            <w:r>
              <w:rPr>
                <w:rFonts w:ascii="Arial" w:cs="Arial" w:eastAsia="Arial" w:hAnsi="Arial"/>
                <w:color w:val="93B8D8"/>
                <w:sz w:val="18"/>
                <w:szCs w:val="18"/>
              </w:rPr>
              <w:t xml:space="preserve">End-to-end and stage-level client onboarding efficiency</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Time in Pipeline is one of the most operationally critical pillars, tracking how long clients spend in the onboarding process from inception to Stage 6 (Onboarded). The dashboard tracks both total pipeline duration and average days per stage, providing granular insight into where bottlenecks occur.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20"/>
            </w:tcMar>
          </w:tcPr>
          <w:p>
            <w:pPr>
              <w:spacing w:before="0" w:after="80"/>
            </w:pPr>
            <w:r>
              <w:rPr>
                <w:rFonts w:ascii="Arial" w:cs="Arial" w:eastAsia="Arial" w:hAnsi="Arial"/>
                <w:b/>
                <w:bCs/>
                <w:color w:val="0D2B4E"/>
                <w:sz w:val="22"/>
                <w:szCs w:val="22"/>
              </w:rPr>
              <w:t xml:space="preserve">Metrics Tracked</w:t>
            </w:r>
          </w:p>
          <w:p>
            <w:pPr>
              <w:pStyle w:val="ListParagraph"/>
              <w:numPr>
                <w:ilvl w:val="0"/>
                <w:numId w:val="2"/>
              </w:numPr>
              <w:spacing w:before="50" w:after="50"/>
            </w:pPr>
            <w:r>
              <w:rPr>
                <w:rFonts w:ascii="Arial" w:cs="Arial" w:eastAsia="Arial" w:hAnsi="Arial"/>
                <w:sz w:val="22"/>
                <w:szCs w:val="22"/>
              </w:rPr>
              <w:t xml:space="preserve">Banner: Total days across pipeline (excl. Stage 6)</w:t>
            </w:r>
          </w:p>
          <w:p>
            <w:pPr>
              <w:pStyle w:val="ListParagraph"/>
              <w:numPr>
                <w:ilvl w:val="0"/>
                <w:numId w:val="2"/>
              </w:numPr>
              <w:spacing w:before="50" w:after="50"/>
            </w:pPr>
            <w:r>
              <w:rPr>
                <w:rFonts w:ascii="Arial" w:cs="Arial" w:eastAsia="Arial" w:hAnsi="Arial"/>
                <w:sz w:val="22"/>
                <w:szCs w:val="22"/>
              </w:rPr>
              <w:t xml:space="preserve">Variance: Total days — current vs. prior period</w:t>
            </w:r>
          </w:p>
          <w:p>
            <w:pPr>
              <w:pStyle w:val="ListParagraph"/>
              <w:numPr>
                <w:ilvl w:val="0"/>
                <w:numId w:val="2"/>
              </w:numPr>
              <w:spacing w:before="50" w:after="50"/>
            </w:pPr>
            <w:r>
              <w:rPr>
                <w:rFonts w:ascii="Arial" w:cs="Arial" w:eastAsia="Arial" w:hAnsi="Arial"/>
                <w:sz w:val="22"/>
                <w:szCs w:val="22"/>
              </w:rPr>
              <w:t xml:space="preserve">Average days in pipeline per advisor</w:t>
            </w:r>
          </w:p>
          <w:p>
            <w:pPr>
              <w:pStyle w:val="ListParagraph"/>
              <w:numPr>
                <w:ilvl w:val="0"/>
                <w:numId w:val="2"/>
              </w:numPr>
              <w:spacing w:before="50" w:after="50"/>
            </w:pPr>
            <w:r>
              <w:rPr>
                <w:rFonts w:ascii="Arial" w:cs="Arial" w:eastAsia="Arial" w:hAnsi="Arial"/>
                <w:sz w:val="22"/>
                <w:szCs w:val="22"/>
              </w:rPr>
              <w:t xml:space="preserve">Days in pipeline ranked view — advisors sorted ascending (faster is better)</w:t>
            </w:r>
          </w:p>
          <w:p>
            <w:pPr>
              <w:pStyle w:val="ListParagraph"/>
              <w:numPr>
                <w:ilvl w:val="0"/>
                <w:numId w:val="2"/>
              </w:numPr>
              <w:spacing w:before="50" w:after="50"/>
            </w:pPr>
            <w:r>
              <w:rPr>
                <w:rFonts w:ascii="Arial" w:cs="Arial" w:eastAsia="Arial" w:hAnsi="Arial"/>
                <w:sz w:val="22"/>
                <w:szCs w:val="22"/>
              </w:rPr>
              <w:t xml:space="preserve">Stage start date and inception date tracked per asset</w:t>
            </w:r>
          </w:p>
          <w:p>
            <w:pPr>
              <w:pStyle w:val="ListParagraph"/>
              <w:numPr>
                <w:ilvl w:val="0"/>
                <w:numId w:val="2"/>
              </w:numPr>
              <w:spacing w:before="50" w:after="50"/>
            </w:pPr>
            <w:r>
              <w:rPr>
                <w:rFonts w:ascii="Arial" w:cs="Arial" w:eastAsia="Arial" w:hAnsi="Arial"/>
                <w:sz w:val="22"/>
                <w:szCs w:val="22"/>
              </w:rPr>
              <w:t xml:space="preserve">Current stage per asset surfaced for case-level visibility</w:t>
            </w:r>
          </w:p>
        </w:tc>
        <w:tc>
          <w:tcPr>
            <w:tcW w:type="dxa" w:w="4780"/>
            <w:tcBorders>
              <w:top w:val="none" w:color="FFFFFF" w:sz="0"/>
              <w:left w:val="none" w:color="FFFFFF" w:sz="0"/>
              <w:bottom w:val="none" w:color="FFFFFF" w:sz="0"/>
              <w:right w:val="none" w:color="FFFFFF" w:sz="0"/>
            </w:tcBorders>
            <w:tcMar>
              <w:top w:type="dxa" w:w="0"/>
              <w:left w:type="dxa" w:w="220"/>
              <w:bottom w:type="dxa" w:w="0"/>
              <w:right w:type="dxa" w:w="0"/>
            </w:tcMar>
          </w:tcPr>
          <w:p>
            <w:pPr>
              <w:spacing w:before="0" w:after="80"/>
            </w:pPr>
            <w:r>
              <w:rPr>
                <w:rFonts w:ascii="Arial" w:cs="Arial" w:eastAsia="Arial" w:hAnsi="Arial"/>
                <w:b/>
                <w:bCs/>
                <w:color w:val="0D2B4E"/>
                <w:sz w:val="22"/>
                <w:szCs w:val="22"/>
              </w:rPr>
              <w:t xml:space="preserve">Analytical Purpose</w:t>
            </w:r>
          </w:p>
          <w:p>
            <w:pPr>
              <w:pStyle w:val="ListParagraph"/>
              <w:numPr>
                <w:ilvl w:val="0"/>
                <w:numId w:val="2"/>
              </w:numPr>
              <w:spacing w:before="50" w:after="50"/>
            </w:pPr>
            <w:r>
              <w:rPr>
                <w:rFonts w:ascii="Arial" w:cs="Arial" w:eastAsia="Arial" w:hAnsi="Arial"/>
                <w:sz w:val="22"/>
                <w:szCs w:val="22"/>
              </w:rPr>
              <w:t xml:space="preserve">Ascending rank (fastest first) makes pipeline efficiency easy to compare</w:t>
            </w:r>
          </w:p>
          <w:p>
            <w:pPr>
              <w:pStyle w:val="ListParagraph"/>
              <w:numPr>
                <w:ilvl w:val="0"/>
                <w:numId w:val="2"/>
              </w:numPr>
              <w:spacing w:before="50" w:after="50"/>
            </w:pPr>
            <w:r>
              <w:rPr>
                <w:rFonts w:ascii="Arial" w:cs="Arial" w:eastAsia="Arial" w:hAnsi="Arial"/>
                <w:sz w:val="22"/>
                <w:szCs w:val="22"/>
              </w:rPr>
              <w:t xml:space="preserve">Variance flags advisors where onboarding is slowing vs. prior period</w:t>
            </w:r>
          </w:p>
          <w:p>
            <w:pPr>
              <w:pStyle w:val="ListParagraph"/>
              <w:numPr>
                <w:ilvl w:val="0"/>
                <w:numId w:val="2"/>
              </w:numPr>
              <w:spacing w:before="50" w:after="50"/>
            </w:pPr>
            <w:r>
              <w:rPr>
                <w:rFonts w:ascii="Arial" w:cs="Arial" w:eastAsia="Arial" w:hAnsi="Arial"/>
                <w:sz w:val="22"/>
                <w:szCs w:val="22"/>
              </w:rPr>
              <w:t xml:space="preserve">Stage-level breakdown (NILR) pinpoints exactly which stage is causing delays</w:t>
            </w:r>
          </w:p>
          <w:p>
            <w:pPr>
              <w:pStyle w:val="ListParagraph"/>
              <w:numPr>
                <w:ilvl w:val="0"/>
                <w:numId w:val="2"/>
              </w:numPr>
              <w:spacing w:before="50" w:after="50"/>
            </w:pPr>
            <w:r>
              <w:rPr>
                <w:rFonts w:ascii="Arial" w:cs="Arial" w:eastAsia="Arial" w:hAnsi="Arial"/>
                <w:sz w:val="22"/>
                <w:szCs w:val="22"/>
              </w:rPr>
              <w:t xml:space="preserve">Supports SLA monitoring and advisor coaching conversations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5. NILR — Average Time per Pipeline Stage</w:t>
            </w:r>
          </w:p>
          <w:p>
            <w:pPr>
              <w:spacing w:before="0" w:after="0"/>
            </w:pPr>
            <w:r>
              <w:rPr>
                <w:rFonts w:ascii="Arial" w:cs="Arial" w:eastAsia="Arial" w:hAnsi="Arial"/>
                <w:color w:val="93B8D8"/>
                <w:sz w:val="18"/>
                <w:szCs w:val="18"/>
              </w:rPr>
              <w:t xml:space="preserve">Stage-by-stage duration analysis for onboarding bottleneck detection</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The NILR section (Average Length of Stage) breaks the pipeline down into individual stages and tracks how long, on average, clients spend at each one. A colour indicator flags stages where current performance is lagging the prior period benchmark, enabling targeted intervention before cases breach SLA.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20"/>
            </w:tcMar>
          </w:tcPr>
          <w:p>
            <w:pPr>
              <w:spacing w:before="0" w:after="80"/>
            </w:pPr>
            <w:r>
              <w:rPr>
                <w:rFonts w:ascii="Arial" w:cs="Arial" w:eastAsia="Arial" w:hAnsi="Arial"/>
                <w:b/>
                <w:bCs/>
                <w:color w:val="0D2B4E"/>
                <w:sz w:val="22"/>
                <w:szCs w:val="22"/>
              </w:rPr>
              <w:t xml:space="preserve">Metrics Tracked</w:t>
            </w:r>
          </w:p>
          <w:p>
            <w:pPr>
              <w:pStyle w:val="ListParagraph"/>
              <w:numPr>
                <w:ilvl w:val="0"/>
                <w:numId w:val="2"/>
              </w:numPr>
              <w:spacing w:before="50" w:after="50"/>
            </w:pPr>
            <w:r>
              <w:rPr>
                <w:rFonts w:ascii="Arial" w:cs="Arial" w:eastAsia="Arial" w:hAnsi="Arial"/>
                <w:sz w:val="22"/>
                <w:szCs w:val="22"/>
              </w:rPr>
              <w:t xml:space="preserve">Banner: Average stage duration — selected advisor / all advisors</w:t>
            </w:r>
          </w:p>
          <w:p>
            <w:pPr>
              <w:pStyle w:val="ListParagraph"/>
              <w:numPr>
                <w:ilvl w:val="0"/>
                <w:numId w:val="2"/>
              </w:numPr>
              <w:spacing w:before="50" w:after="50"/>
            </w:pPr>
            <w:r>
              <w:rPr>
                <w:rFonts w:ascii="Arial" w:cs="Arial" w:eastAsia="Arial" w:hAnsi="Arial"/>
                <w:sz w:val="22"/>
                <w:szCs w:val="22"/>
              </w:rPr>
              <w:t xml:space="preserve">Stage variance: Avg days this period vs. prior period per stage</w:t>
            </w:r>
          </w:p>
          <w:p>
            <w:pPr>
              <w:pStyle w:val="ListParagraph"/>
              <w:numPr>
                <w:ilvl w:val="0"/>
                <w:numId w:val="2"/>
              </w:numPr>
              <w:spacing w:before="50" w:after="50"/>
            </w:pPr>
            <w:r>
              <w:rPr>
                <w:rFonts w:ascii="Arial" w:cs="Arial" w:eastAsia="Arial" w:hAnsi="Arial"/>
                <w:sz w:val="22"/>
                <w:szCs w:val="22"/>
              </w:rPr>
              <w:t xml:space="preserve">Area sparkline: Stage duration trend across periods</w:t>
            </w:r>
          </w:p>
          <w:p>
            <w:pPr>
              <w:pStyle w:val="ListParagraph"/>
              <w:numPr>
                <w:ilvl w:val="0"/>
                <w:numId w:val="2"/>
              </w:numPr>
              <w:spacing w:before="50" w:after="50"/>
            </w:pPr>
            <w:r>
              <w:rPr>
                <w:rFonts w:ascii="Arial" w:cs="Arial" w:eastAsia="Arial" w:hAnsi="Arial"/>
                <w:sz w:val="22"/>
                <w:szCs w:val="22"/>
              </w:rPr>
              <w:t xml:space="preserve">Stage bar chart: Average stage time with benchmark comparison line</w:t>
            </w:r>
          </w:p>
          <w:p>
            <w:pPr>
              <w:pStyle w:val="ListParagraph"/>
              <w:numPr>
                <w:ilvl w:val="0"/>
                <w:numId w:val="2"/>
              </w:numPr>
              <w:spacing w:before="50" w:after="50"/>
            </w:pPr>
            <w:r>
              <w:rPr>
                <w:rFonts w:ascii="Arial" w:cs="Arial" w:eastAsia="Arial" w:hAnsi="Arial"/>
                <w:sz w:val="22"/>
                <w:szCs w:val="22"/>
              </w:rPr>
              <w:t xml:space="preserve">Rank table: Advisors ranked by average time in stage</w:t>
            </w:r>
          </w:p>
          <w:p>
            <w:pPr>
              <w:pStyle w:val="ListParagraph"/>
              <w:numPr>
                <w:ilvl w:val="0"/>
                <w:numId w:val="2"/>
              </w:numPr>
              <w:spacing w:before="50" w:after="50"/>
            </w:pPr>
            <w:r>
              <w:rPr>
                <w:rFonts w:ascii="Arial" w:cs="Arial" w:eastAsia="Arial" w:hAnsi="Arial"/>
                <w:sz w:val="22"/>
                <w:szCs w:val="22"/>
              </w:rPr>
              <w:t xml:space="preserve">Stage colour coding: Red when current exceeds prior (negative trend)</w:t>
            </w:r>
          </w:p>
        </w:tc>
        <w:tc>
          <w:tcPr>
            <w:tcW w:type="dxa" w:w="4780"/>
            <w:tcBorders>
              <w:top w:val="none" w:color="FFFFFF" w:sz="0"/>
              <w:left w:val="none" w:color="FFFFFF" w:sz="0"/>
              <w:bottom w:val="none" w:color="FFFFFF" w:sz="0"/>
              <w:right w:val="none" w:color="FFFFFF" w:sz="0"/>
            </w:tcBorders>
            <w:tcMar>
              <w:top w:type="dxa" w:w="0"/>
              <w:left w:type="dxa" w:w="220"/>
              <w:bottom w:type="dxa" w:w="0"/>
              <w:right w:type="dxa" w:w="0"/>
            </w:tcMar>
          </w:tcPr>
          <w:p>
            <w:pPr>
              <w:spacing w:before="0" w:after="80"/>
            </w:pPr>
            <w:r>
              <w:rPr>
                <w:rFonts w:ascii="Arial" w:cs="Arial" w:eastAsia="Arial" w:hAnsi="Arial"/>
                <w:b/>
                <w:bCs/>
                <w:color w:val="0D2B4E"/>
                <w:sz w:val="22"/>
                <w:szCs w:val="22"/>
              </w:rPr>
              <w:t xml:space="preserve">Analytical Purpose</w:t>
            </w:r>
          </w:p>
          <w:p>
            <w:pPr>
              <w:pStyle w:val="ListParagraph"/>
              <w:numPr>
                <w:ilvl w:val="0"/>
                <w:numId w:val="2"/>
              </w:numPr>
              <w:spacing w:before="50" w:after="50"/>
            </w:pPr>
            <w:r>
              <w:rPr>
                <w:rFonts w:ascii="Arial" w:cs="Arial" w:eastAsia="Arial" w:hAnsi="Arial"/>
                <w:sz w:val="22"/>
                <w:szCs w:val="22"/>
              </w:rPr>
              <w:t xml:space="preserve">Pinpoints the exact stage causing end-to-end pipeline delays</w:t>
            </w:r>
          </w:p>
          <w:p>
            <w:pPr>
              <w:pStyle w:val="ListParagraph"/>
              <w:numPr>
                <w:ilvl w:val="0"/>
                <w:numId w:val="2"/>
              </w:numPr>
              <w:spacing w:before="50" w:after="50"/>
            </w:pPr>
            <w:r>
              <w:rPr>
                <w:rFonts w:ascii="Arial" w:cs="Arial" w:eastAsia="Arial" w:hAnsi="Arial"/>
                <w:sz w:val="22"/>
                <w:szCs w:val="22"/>
              </w:rPr>
              <w:t xml:space="preserve">Peer benchmarking reveals whether a stage delay is advisor-specific or systemic</w:t>
            </w:r>
          </w:p>
          <w:p>
            <w:pPr>
              <w:pStyle w:val="ListParagraph"/>
              <w:numPr>
                <w:ilvl w:val="0"/>
                <w:numId w:val="2"/>
              </w:numPr>
              <w:spacing w:before="50" w:after="50"/>
            </w:pPr>
            <w:r>
              <w:rPr>
                <w:rFonts w:ascii="Arial" w:cs="Arial" w:eastAsia="Arial" w:hAnsi="Arial"/>
                <w:sz w:val="22"/>
                <w:szCs w:val="22"/>
              </w:rPr>
              <w:t xml:space="preserve">Stage colour coding enables rapid identification of deteriorating performance</w:t>
            </w:r>
          </w:p>
          <w:p>
            <w:pPr>
              <w:pStyle w:val="ListParagraph"/>
              <w:numPr>
                <w:ilvl w:val="0"/>
                <w:numId w:val="2"/>
              </w:numPr>
              <w:spacing w:before="50" w:after="50"/>
            </w:pPr>
            <w:r>
              <w:rPr>
                <w:rFonts w:ascii="Arial" w:cs="Arial" w:eastAsia="Arial" w:hAnsi="Arial"/>
                <w:sz w:val="22"/>
                <w:szCs w:val="22"/>
              </w:rPr>
              <w:t xml:space="preserve">LOD calculations ensure stage averages are accurate across filtering levels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280"/>
              <w:bottom w:type="dxa" w:w="160"/>
              <w:right w:type="dxa" w:w="280"/>
            </w:tcMar>
          </w:tcPr>
          <w:p>
            <w:pPr>
              <w:spacing w:before="0" w:after="40"/>
            </w:pPr>
            <w:r>
              <w:rPr>
                <w:rFonts w:ascii="Arial" w:cs="Arial" w:eastAsia="Arial" w:hAnsi="Arial"/>
                <w:b/>
                <w:bCs/>
                <w:color w:val="FFFFFF"/>
                <w:sz w:val="26"/>
                <w:szCs w:val="26"/>
              </w:rPr>
              <w:t xml:space="preserve">6. Operational Panels — SLA, Overdue &amp; Top 10</w:t>
            </w:r>
          </w:p>
          <w:p>
            <w:pPr>
              <w:spacing w:before="0" w:after="0"/>
            </w:pPr>
            <w:r>
              <w:rPr>
                <w:rFonts w:ascii="Arial" w:cs="Arial" w:eastAsia="Arial" w:hAnsi="Arial"/>
                <w:color w:val="93B8D8"/>
                <w:sz w:val="18"/>
                <w:szCs w:val="18"/>
              </w:rPr>
              <w:t xml:space="preserve">Case-level compliance monitoring and high-value client tracking</w:t>
            </w:r>
          </w:p>
        </w:tc>
      </w:tr>
    </w:tbl>
    <w:p>
      <w:pPr>
        <w:spacing w:before="0" w:after="120"/>
      </w:pPr>
      <w:r>
        <w:t xml:space="preserve"/>
      </w:r>
    </w:p>
    <w:p>
      <w:pPr>
        <w:spacing w:before="60" w:after="90"/>
      </w:pPr>
      <w:r>
        <w:rPr>
          <w:rFonts w:ascii="Arial" w:cs="Arial" w:eastAsia="Arial" w:hAnsi="Arial"/>
          <w:b w:val="false"/>
          <w:bCs w:val="false"/>
          <w:i w:val="false"/>
          <w:iCs w:val="false"/>
          <w:color w:val="111111"/>
          <w:sz w:val="22"/>
          <w:szCs w:val="22"/>
        </w:rPr>
        <w:t xml:space="preserve">Three additional panels on the dashboard provide operational and compliance context that complements the KPI pillars: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6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4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Operational Use</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SLA Outstanding</w:t>
            </w:r>
          </w:p>
        </w:tc>
        <w:tc>
          <w:tcPr>
            <w:tcW w:type="dxa" w:w="3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Clients whose assets have been in the pipeline past the SLA threshold (flags assets containing '8' in ID, active stage not yet Stage 6)</w:t>
            </w:r>
          </w:p>
        </w:tc>
        <w:tc>
          <w:tcPr>
            <w:tcW w:type="dxa" w:w="34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Immediate escalation list — cases requiring action before formal breach</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Overdue (Chase Flag)</w:t>
            </w:r>
          </w:p>
        </w:tc>
        <w:tc>
          <w:tcPr>
            <w:tcW w:type="dxa" w:w="3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Cases flagged for chase where the client has been in a stage for more than 10 days — displayed with current stage and asset ID</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Daily chase list for advisors and managers; drives proactive client contact</w:t>
            </w:r>
          </w:p>
        </w:tc>
      </w:tr>
      <w:tr>
        <w:tc>
          <w:tcPr>
            <w:tcW w:type="dxa" w:w="22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Top 10 Clients</w:t>
            </w:r>
          </w:p>
        </w:tc>
        <w:tc>
          <w:tcPr>
            <w:tcW w:type="dxa" w:w="36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Top 10 clients by total asset value for the selected advisor, with rank, current pipeline stage, and asset value line for visual context</w:t>
            </w:r>
          </w:p>
        </w:tc>
        <w:tc>
          <w:tcPr>
            <w:tcW w:type="dxa" w:w="34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sz w:val="20"/>
                <w:szCs w:val="20"/>
              </w:rPr>
              <w:t xml:space="preserve">Focus resource and attention on highest-value relationships; track their onboarding progress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Underwriters</w:t>
            </w:r>
          </w:p>
        </w:tc>
        <w:tc>
          <w:tcPr>
            <w:tcW w:type="dxa" w:w="3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Underwriter-level breakdown supporting the advisor view — enables cross-referencing of onboarding load across underwriting capacity</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Useful for capacity planning and identifying underwriters with disproportionate case loads</w:t>
            </w:r>
          </w:p>
        </w:tc>
      </w:tr>
    </w:tbl>
    <w:p>
      <w:pPr>
        <w:spacing w:before="0" w:after="200"/>
      </w:pPr>
      <w:r>
        <w:t xml:space="preserve"/>
      </w:r>
    </w:p>
    <w:p>
      <w:pPr>
        <w:pBdr>
          <w:bottom w:val="single" w:color="B8860B" w:sz="6" w:space="4"/>
        </w:pBdr>
        <w:spacing w:before="200" w:after="120"/>
      </w:pPr>
      <w:r>
        <w:rPr>
          <w:rFonts w:ascii="Arial" w:cs="Arial" w:eastAsia="Arial" w:hAnsi="Arial"/>
          <w:b/>
          <w:bCs/>
          <w:color w:val="0D2B4E"/>
          <w:sz w:val="28"/>
          <w:szCs w:val="28"/>
        </w:rPr>
        <w:t xml:space="preserve">Dashboard Interactivity &amp;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220"/>
            </w:tcMar>
          </w:tcPr>
          <w:p>
            <w:pPr>
              <w:spacing w:before="0" w:after="80"/>
            </w:pPr>
            <w:r>
              <w:rPr>
                <w:rFonts w:ascii="Arial" w:cs="Arial" w:eastAsia="Arial" w:hAnsi="Arial"/>
                <w:b/>
                <w:bCs/>
                <w:color w:val="0D2B4E"/>
                <w:sz w:val="22"/>
                <w:szCs w:val="22"/>
              </w:rPr>
              <w:t xml:space="preserve">Parameter Controls</w:t>
            </w:r>
          </w:p>
          <w:p>
            <w:pPr>
              <w:pStyle w:val="ListParagraph"/>
              <w:numPr>
                <w:ilvl w:val="0"/>
                <w:numId w:val="2"/>
              </w:numPr>
              <w:spacing w:before="50" w:after="50"/>
            </w:pPr>
            <w:r>
              <w:rPr>
                <w:rFonts w:ascii="Arial" w:cs="Arial" w:eastAsia="Arial" w:hAnsi="Arial"/>
                <w:sz w:val="22"/>
                <w:szCs w:val="22"/>
              </w:rPr>
              <w:t xml:space="preserve">Advisor Name Parameter — select 'All' for team view or drill to 1 of 25 named advisors</w:t>
            </w:r>
          </w:p>
          <w:p>
            <w:pPr>
              <w:pStyle w:val="ListParagraph"/>
              <w:numPr>
                <w:ilvl w:val="0"/>
                <w:numId w:val="2"/>
              </w:numPr>
              <w:spacing w:before="50" w:after="50"/>
            </w:pPr>
            <w:r>
              <w:rPr>
                <w:rFonts w:ascii="Arial" w:cs="Arial" w:eastAsia="Arial" w:hAnsi="Arial"/>
                <w:sz w:val="22"/>
                <w:szCs w:val="22"/>
              </w:rPr>
              <w:t xml:space="preserve">Client Name Parameter — filter to a specific client for individual case tracking</w:t>
            </w:r>
          </w:p>
          <w:p>
            <w:pPr>
              <w:pStyle w:val="ListParagraph"/>
              <w:numPr>
                <w:ilvl w:val="0"/>
                <w:numId w:val="2"/>
              </w:numPr>
              <w:spacing w:before="50" w:after="50"/>
            </w:pPr>
            <w:r>
              <w:rPr>
                <w:rFonts w:ascii="Arial" w:cs="Arial" w:eastAsia="Arial" w:hAnsi="Arial"/>
                <w:sz w:val="22"/>
                <w:szCs w:val="22"/>
              </w:rPr>
              <w:t xml:space="preserve">When 'All' is selected, rank tables display the full team sorted by each KPI</w:t>
            </w:r>
          </w:p>
          <w:p>
            <w:pPr>
              <w:pStyle w:val="ListParagraph"/>
              <w:numPr>
                <w:ilvl w:val="0"/>
                <w:numId w:val="2"/>
              </w:numPr>
              <w:spacing w:before="50" w:after="50"/>
            </w:pPr>
            <w:r>
              <w:rPr>
                <w:rFonts w:ascii="Arial" w:cs="Arial" w:eastAsia="Arial" w:hAnsi="Arial"/>
                <w:sz w:val="22"/>
                <w:szCs w:val="22"/>
              </w:rPr>
              <w:t xml:space="preserve">When an advisor is selected, all panels filter to that advisor's book of business</w:t>
            </w:r>
          </w:p>
        </w:tc>
        <w:tc>
          <w:tcPr>
            <w:tcW w:type="dxa" w:w="4780"/>
            <w:tcBorders>
              <w:top w:val="none" w:color="FFFFFF" w:sz="0"/>
              <w:left w:val="none" w:color="FFFFFF" w:sz="0"/>
              <w:bottom w:val="none" w:color="FFFFFF" w:sz="0"/>
              <w:right w:val="none" w:color="FFFFFF" w:sz="0"/>
            </w:tcBorders>
            <w:tcMar>
              <w:top w:type="dxa" w:w="0"/>
              <w:left w:type="dxa" w:w="220"/>
              <w:bottom w:type="dxa" w:w="0"/>
              <w:right w:type="dxa" w:w="0"/>
            </w:tcMar>
          </w:tcPr>
          <w:p>
            <w:pPr>
              <w:spacing w:before="0" w:after="80"/>
            </w:pPr>
            <w:r>
              <w:rPr>
                <w:rFonts w:ascii="Arial" w:cs="Arial" w:eastAsia="Arial" w:hAnsi="Arial"/>
                <w:b/>
                <w:bCs/>
                <w:color w:val="0D2B4E"/>
                <w:sz w:val="22"/>
                <w:szCs w:val="22"/>
              </w:rPr>
              <w:t xml:space="preserve">Time Period Logic</w:t>
            </w:r>
          </w:p>
          <w:p>
            <w:pPr>
              <w:pStyle w:val="ListParagraph"/>
              <w:numPr>
                <w:ilvl w:val="0"/>
                <w:numId w:val="2"/>
              </w:numPr>
              <w:spacing w:before="50" w:after="50"/>
            </w:pPr>
            <w:r>
              <w:rPr>
                <w:rFonts w:ascii="Arial" w:cs="Arial" w:eastAsia="Arial" w:hAnsi="Arial"/>
                <w:sz w:val="22"/>
                <w:szCs w:val="22"/>
              </w:rPr>
              <w:t xml:space="preserve">Current period: rolling 8 weeks from today</w:t>
            </w:r>
          </w:p>
          <w:p>
            <w:pPr>
              <w:pStyle w:val="ListParagraph"/>
              <w:numPr>
                <w:ilvl w:val="0"/>
                <w:numId w:val="2"/>
              </w:numPr>
              <w:spacing w:before="50" w:after="50"/>
            </w:pPr>
            <w:r>
              <w:rPr>
                <w:rFonts w:ascii="Arial" w:cs="Arial" w:eastAsia="Arial" w:hAnsi="Arial"/>
                <w:sz w:val="22"/>
                <w:szCs w:val="22"/>
              </w:rPr>
              <w:t xml:space="preserve">Prior period: the 8 weeks immediately preceding the current window</w:t>
            </w:r>
          </w:p>
          <w:p>
            <w:pPr>
              <w:pStyle w:val="ListParagraph"/>
              <w:numPr>
                <w:ilvl w:val="0"/>
                <w:numId w:val="2"/>
              </w:numPr>
              <w:spacing w:before="50" w:after="50"/>
            </w:pPr>
            <w:r>
              <w:rPr>
                <w:rFonts w:ascii="Arial" w:cs="Arial" w:eastAsia="Arial" w:hAnsi="Arial"/>
                <w:sz w:val="22"/>
                <w:szCs w:val="22"/>
              </w:rPr>
              <w:t xml:space="preserve">Stage start period: 3-month rolling window for stage-level analysis</w:t>
            </w:r>
          </w:p>
          <w:p>
            <w:pPr>
              <w:pStyle w:val="ListParagraph"/>
              <w:numPr>
                <w:ilvl w:val="0"/>
                <w:numId w:val="2"/>
              </w:numPr>
              <w:spacing w:before="50" w:after="50"/>
            </w:pPr>
            <w:r>
              <w:rPr>
                <w:rFonts w:ascii="Arial" w:cs="Arial" w:eastAsia="Arial" w:hAnsi="Arial"/>
                <w:sz w:val="22"/>
                <w:szCs w:val="22"/>
              </w:rPr>
              <w:t xml:space="preserve">Inception date calculated dynamically via DATEADD from today — no static date filter required</w:t>
            </w:r>
          </w:p>
        </w:tc>
      </w:tr>
    </w:tbl>
    <w:p>
      <w:pPr>
        <w:spacing w:before="0" w:after="200"/>
      </w:pPr>
      <w:r>
        <w:t xml:space="preserve"/>
      </w:r>
    </w:p>
    <w:p>
      <w:pPr>
        <w:pBdr>
          <w:bottom w:val="single" w:color="B8860B" w:sz="6" w:space="4"/>
        </w:pBdr>
        <w:spacing w:before="200" w:after="120"/>
      </w:pPr>
      <w:r>
        <w:rPr>
          <w:rFonts w:ascii="Arial" w:cs="Arial" w:eastAsia="Arial" w:hAnsi="Arial"/>
          <w:b/>
          <w:bCs/>
          <w:color w:val="0D2B4E"/>
          <w:sz w:val="32"/>
          <w:szCs w:val="32"/>
        </w:rPr>
        <w:t xml:space="preserve">Strategic Observations for Management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sz w:val="22"/>
                <w:szCs w:val="22"/>
              </w:rPr>
              <w:t xml:space="preserve">The combination of GWP variance and client count variance is the most important diagnostic pair on the dashboard. An advisor showing declining GWP but stable client count signals average asset value per client is falling — a potential warning for portfolio mix shift or under-servicing of high-value clients.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sz w:val="22"/>
                <w:szCs w:val="22"/>
              </w:rPr>
              <w:t xml:space="preserve">Time in Pipeline is a direct cost and revenue timing indicator. Every additional day a client spends in onboarding delays revenue recognition and creates churn risk. Advisors consistently above the team average in pipeline days should be prioritised for process coaching and case management support.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sz w:val="22"/>
                <w:szCs w:val="22"/>
              </w:rPr>
              <w:t xml:space="preserve">The NILR stage breakdown is the most actionable operational view on the dashboard. When the same stage shows elevated duration across multiple advisors, this signals a systemic process or system issue rather than an individual performance problem — and escalation to operations is warranted.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sz w:val="22"/>
                <w:szCs w:val="22"/>
              </w:rPr>
              <w:t xml:space="preserve">The SLA Outstanding and Overdue panels should be reviewed daily. Cases flagged here are at immediate risk of compliance breach and client dissatisfaction. The chase flag (cases in stage &gt;10 days) provides an early-warning buffer before formal SLA breach is recorded.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840"/>
            <w:tcBorders>
              <w:top w:val="none" w:color="FFFFFF" w:sz="0"/>
              <w:left w:val="none" w:color="FFFFFF" w:sz="0"/>
              <w:bottom w:val="single" w:color="CCCCCC" w:sz="1"/>
              <w:right w:val="none" w:color="FFFFFF" w:sz="0"/>
            </w:tcBorders>
            <w:tcMar>
              <w:top w:type="dxa" w:w="80"/>
              <w:left w:type="dxa" w:w="160"/>
              <w:bottom w:type="dxa" w:w="80"/>
              <w:right w:type="dxa" w:w="0"/>
            </w:tcMar>
          </w:tcPr>
          <w:p>
            <w:pPr>
              <w:spacing w:before="0" w:after="0"/>
            </w:pPr>
            <w:r>
              <w:rPr>
                <w:rFonts w:ascii="Arial" w:cs="Arial" w:eastAsia="Arial" w:hAnsi="Arial"/>
                <w:sz w:val="22"/>
                <w:szCs w:val="22"/>
              </w:rPr>
              <w:t xml:space="preserve">The Top 10 Clients panel creates accountability for high-value relationships. Managers should confirm that the highest-value clients in the pipeline are receiving proactive advisor contact, and that their current pipeline stage is progressing without delay — particularly for clients approaching the high-value individual threshold of $1,000,000.</w:t>
            </w:r>
          </w:p>
        </w:tc>
      </w:tr>
    </w:tbl>
    <w:p>
      <w:pPr>
        <w:spacing w:before="0" w:after="200"/>
      </w:pPr>
      <w:r>
        <w:t xml:space="preserve"/>
      </w:r>
    </w:p>
    <w:p>
      <w:pPr>
        <w:pBdr>
          <w:bottom w:val="single" w:color="B8860B" w:sz="6" w:space="4"/>
        </w:pBdr>
        <w:spacing w:before="200" w:after="120"/>
      </w:pPr>
      <w:r>
        <w:rPr>
          <w:rFonts w:ascii="Arial" w:cs="Arial" w:eastAsia="Arial" w:hAnsi="Arial"/>
          <w:b/>
          <w:bCs/>
          <w:color w:val="0D2B4E"/>
          <w:sz w:val="28"/>
          <w:szCs w:val="28"/>
        </w:rPr>
        <w:t xml:space="preserve">Team Composition</w:t>
      </w:r>
    </w:p>
    <w:p>
      <w:pPr>
        <w:spacing w:before="60" w:after="90"/>
      </w:pPr>
      <w:r>
        <w:rPr>
          <w:rFonts w:ascii="Arial" w:cs="Arial" w:eastAsia="Arial" w:hAnsi="Arial"/>
          <w:b w:val="false"/>
          <w:bCs w:val="false"/>
          <w:i w:val="false"/>
          <w:iCs w:val="false"/>
          <w:color w:val="111111"/>
          <w:sz w:val="22"/>
          <w:szCs w:val="22"/>
        </w:rPr>
        <w:t xml:space="preserve">The dashboard covers a team of 25 advisors. The parameter selector allows managers to toggle between full-team aggregate views and individual advisor deep-dives without any additional filtering. Advisors covered include: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Advisors (A–F)</w:t>
            </w:r>
          </w:p>
        </w:tc>
        <w:tc>
          <w:tcPr>
            <w:tcW w:type="dxa" w:w="312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Advisors (G–N)</w:t>
            </w:r>
          </w:p>
        </w:tc>
        <w:tc>
          <w:tcPr>
            <w:tcW w:type="dxa" w:w="312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Advisors (P–W)</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Alonzo Chessel
Arlinda Goeff
Bernelle Weatherhead
Carrissa Battle
Cornie Pfeffer
Cristin Nunan</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Glenden Carmichael
Hartwell Humes
Herrick Savil
Hettie Bello
Huntley Elderkin
Hymie Really
Jada Dudman
Kristyn Raylton
Lorelei Jacquemot
Mag Phelps
Nancy Bowgen
Natalie Epdell</w:t>
            </w:r>
          </w:p>
        </w:tc>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Paxton Doubrava
Pebrook Smallpeace
Reed Claibourn
Reube Bysaker
Tiebout Andreini
Valerye Becom
Woodrow Warr</w:t>
            </w:r>
          </w:p>
        </w:tc>
      </w:tr>
    </w:tbl>
    <w:p>
      <w:pPr>
        <w:spacing w:before="0" w:after="200"/>
      </w:pPr>
      <w:r>
        <w:t xml:space="preserve"/>
      </w:r>
    </w:p>
    <w:p>
      <w:pPr>
        <w:pBdr>
          <w:top w:val="single" w:color="B8860B" w:sz="4" w:space="4"/>
        </w:pBdr>
        <w:spacing w:before="120" w:after="0"/>
      </w:pPr>
      <w:r>
        <w:rPr>
          <w:rFonts w:ascii="Arial" w:cs="Arial" w:eastAsia="Arial" w:hAnsi="Arial"/>
          <w:i/>
          <w:iCs/>
          <w:color w:val="666666"/>
          <w:sz w:val="18"/>
          <w:szCs w:val="18"/>
        </w:rPr>
        <w:t xml:space="preserve">This executive summary was produced from the 'Demo Wealth and Banking — Manager View' Tableau workbook (.twbx). All metrics, calculations, and structural observations are derived directly from the workbook's datasource, worksheet, and dashboard configuration. For live filtering, advisor drilldown, and real-time data, refer to the published Tableau dashboard.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026"/>
      </w:tabs>
      <w:spacing w:before="80"/>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Tableau  |  Demo Wealth and Banking — Manager 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B8860B" w:sz="4"/>
            <w:right w:val="none" w:color="FFFFFF" w:sz="0"/>
          </w:tcBorders>
          <w:tcMar>
            <w:top w:type="dxa" w:w="0"/>
            <w:left w:type="dxa" w:w="0"/>
            <w:bottom w:type="dxa" w:w="80"/>
            <w:right w:type="dxa" w:w="0"/>
          </w:tcMar>
        </w:tcPr>
        <w:p>
          <w:r>
            <w:rPr>
              <w:rFonts w:ascii="Arial" w:cs="Arial" w:eastAsia="Arial" w:hAnsi="Arial"/>
              <w:b/>
              <w:bCs/>
              <w:color w:val="0D2B4E"/>
              <w:sz w:val="20"/>
              <w:szCs w:val="20"/>
            </w:rPr>
            <w:t xml:space="preserve">WEALTH &amp; BANKING  |  MANAGER VIEW</w:t>
          </w:r>
        </w:p>
      </w:tc>
      <w:tc>
        <w:tcPr>
          <w:tcW w:type="dxa" w:w="2880"/>
          <w:tcBorders>
            <w:top w:val="none" w:color="FFFFFF" w:sz="0"/>
            <w:left w:val="none" w:color="FFFFFF" w:sz="0"/>
            <w:bottom w:val="single" w:color="B8860B" w:sz="4"/>
            <w:right w:val="none" w:color="FFFFFF" w:sz="0"/>
          </w:tcBorders>
          <w:tcMar>
            <w:top w:type="dxa" w:w="0"/>
            <w:left w:type="dxa" w:w="0"/>
            <w:bottom w:type="dxa" w:w="80"/>
            <w:right w:type="dxa" w:w="0"/>
          </w:tcMar>
        </w:tcPr>
        <w:p>
          <w:pPr>
            <w:jc w:val="right"/>
          </w:pPr>
          <w:r>
            <w:rPr>
              <w:rFonts w:ascii="Arial" w:cs="Arial" w:eastAsia="Arial" w:hAnsi="Arial"/>
              <w:color w:val="666666"/>
              <w:sz w:val="20"/>
              <w:szCs w:val="20"/>
            </w:rPr>
            <w:t xml:space="preserve">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2026-03-10T21:28:53.343Z</dcterms:created>
  <dcterms:modified xsi:type="dcterms:W3CDTF">2026-03-10T21:28:53.344Z</dcterms:modified>
</cp:coreProperties>
</file>

<file path=docProps/custom.xml><?xml version="1.0" encoding="utf-8"?>
<Properties xmlns="http://schemas.openxmlformats.org/officeDocument/2006/custom-properties" xmlns:vt="http://schemas.openxmlformats.org/officeDocument/2006/docPropsVTypes"/>
</file>