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360"/>
              <w:left w:type="dxa" w:w="360"/>
              <w:bottom w:type="dxa" w:w="360"/>
              <w:right w:type="dxa" w:w="360"/>
            </w:tcMar>
          </w:tcPr>
          <w:p>
            <w:pPr>
              <w:spacing w:before="0" w:after="80"/>
              <w:jc w:val="center"/>
            </w:pPr>
            <w:r>
              <w:rPr>
                <w:rFonts w:ascii="Arial" w:cs="Arial" w:eastAsia="Arial" w:hAnsi="Arial"/>
                <w:b/>
                <w:bCs/>
                <w:color w:val="FFFFFF"/>
                <w:sz w:val="52"/>
                <w:szCs w:val="52"/>
              </w:rPr>
              <w:t xml:space="preserve">EMPLOYEE HIRING AND HISTORY</w:t>
            </w:r>
          </w:p>
          <w:p>
            <w:pPr>
              <w:spacing w:before="0" w:after="80"/>
              <w:jc w:val="center"/>
            </w:pPr>
            <w:r>
              <w:rPr>
                <w:rFonts w:ascii="Arial" w:cs="Arial" w:eastAsia="Arial" w:hAnsi="Arial"/>
                <w:color w:val="BDD7EE"/>
                <w:sz w:val="30"/>
                <w:szCs w:val="30"/>
              </w:rPr>
              <w:t xml:space="preserve">Executive Summary</w:t>
            </w:r>
          </w:p>
          <w:p>
            <w:pPr>
              <w:spacing w:before="0" w:after="0"/>
              <w:jc w:val="center"/>
            </w:pPr>
            <w:r>
              <w:rPr>
                <w:rFonts w:ascii="Arial" w:cs="Arial" w:eastAsia="Arial" w:hAnsi="Arial"/>
                <w:color w:val="9DC3E6"/>
                <w:sz w:val="20"/>
                <w:szCs w:val="20"/>
              </w:rPr>
              <w:t xml:space="preserve">Sales &amp; Marketing Division  |  Power BI Dashboard Analysis</w:t>
            </w:r>
          </w:p>
        </w:tc>
      </w:tr>
    </w:tbl>
    <w:p>
      <w:pPr>
        <w:spacing w:before="0" w:after="200"/>
      </w:pPr>
      <w:r>
        <w:t xml:space="preserve"/>
      </w:r>
    </w:p>
    <w:p>
      <w:pPr>
        <w:pBdr>
          <w:bottom w:val="single" w:color="2E75B6" w:sz="6" w:space="4"/>
        </w:pBdr>
        <w:spacing w:before="400" w:after="120"/>
      </w:pPr>
      <w:r>
        <w:rPr>
          <w:rFonts w:ascii="Arial" w:cs="Arial" w:eastAsia="Arial" w:hAnsi="Arial"/>
          <w:b/>
          <w:bCs/>
          <w:color w:val="1E3A5F"/>
          <w:sz w:val="36"/>
          <w:szCs w:val="36"/>
        </w:rPr>
        <w:t xml:space="preserve">Dashboard Overview</w:t>
      </w:r>
    </w:p>
    <w:p>
      <w:pPr>
        <w:spacing w:before="80" w:after="100"/>
      </w:pPr>
      <w:r>
        <w:rPr>
          <w:rFonts w:ascii="Arial" w:cs="Arial" w:eastAsia="Arial" w:hAnsi="Arial"/>
          <w:b w:val="false"/>
          <w:bCs w:val="false"/>
          <w:i w:val="false"/>
          <w:iCs w:val="false"/>
          <w:color w:val="000000"/>
          <w:sz w:val="22"/>
          <w:szCs w:val="22"/>
        </w:rPr>
        <w:t xml:space="preserve">This report summarizes the Employee Hiring and History Power BI dashboard, which tracks workforce dynamics across three core areas: new hire activity, active headcount and separations, and quality-of-hire indicators. The dashboard focuses on the Sales &amp; Marketing division and provides year-over-year (YoY) comparisons, trend analysis by month, and demographic breakdowns by region, ethnicity, gender, and age group.</w:t>
      </w:r>
    </w:p>
    <w:p>
      <w:pPr>
        <w:spacing w:before="0" w:after="120"/>
      </w:pPr>
      <w:r>
        <w:t xml:space="preserve"/>
      </w:r>
    </w:p>
    <w:p>
      <w:pPr>
        <w:spacing w:before="240" w:after="120"/>
      </w:pPr>
      <w:r>
        <w:rPr>
          <w:rFonts w:ascii="Arial" w:cs="Arial" w:eastAsia="Arial" w:hAnsi="Arial"/>
          <w:b/>
          <w:bCs/>
          <w:color w:val="1E3A5F"/>
          <w:sz w:val="28"/>
          <w:szCs w:val="28"/>
        </w:rPr>
        <w:t xml:space="preserve">Key Performance Indicators at a Glance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spacing w:before="0" w:after="40"/>
              <w:jc w:val="center"/>
            </w:pPr>
            <w:r>
              <w:rPr>
                <w:rFonts w:ascii="Arial" w:cs="Arial" w:eastAsia="Arial" w:hAnsi="Arial"/>
                <w:b w:val="false"/>
                <w:bCs w:val="false"/>
                <w:color w:val="888888"/>
                <w:sz w:val="18"/>
                <w:szCs w:val="18"/>
              </w:rPr>
              <w:t xml:space="preserve">New Hires Tracked</w:t>
            </w:r>
          </w:p>
          <w:p>
            <w:pPr>
              <w:spacing w:before="0" w:after="40"/>
              <w:jc w:val="center"/>
            </w:pPr>
            <w:r>
              <w:rPr>
                <w:rFonts w:ascii="Arial" w:cs="Arial" w:eastAsia="Arial" w:hAnsi="Arial"/>
                <w:b/>
                <w:bCs/>
                <w:color w:val="1E3A5F"/>
                <w:sz w:val="32"/>
                <w:szCs w:val="32"/>
              </w:rPr>
              <w:t xml:space="preserve">YoY</w:t>
            </w:r>
          </w:p>
          <w:p>
            <w:pPr>
              <w:spacing w:before="0" w:after="0"/>
              <w:jc w:val="center"/>
            </w:pPr>
            <w:r>
              <w:rPr>
                <w:rFonts w:ascii="Arial" w:cs="Arial" w:eastAsia="Arial" w:hAnsi="Arial"/>
                <w:color w:val="2E75B6"/>
                <w:sz w:val="18"/>
                <w:szCs w:val="18"/>
              </w:rPr>
              <w:t xml:space="preserve">vs. Same Period Last Year</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spacing w:before="0" w:after="40"/>
              <w:jc w:val="center"/>
            </w:pPr>
            <w:r>
              <w:rPr>
                <w:rFonts w:ascii="Arial" w:cs="Arial" w:eastAsia="Arial" w:hAnsi="Arial"/>
                <w:b w:val="false"/>
                <w:bCs w:val="false"/>
                <w:color w:val="888888"/>
                <w:sz w:val="18"/>
                <w:szCs w:val="18"/>
              </w:rPr>
              <w:t xml:space="preserve">Active Employees</w:t>
            </w:r>
          </w:p>
          <w:p>
            <w:pPr>
              <w:spacing w:before="0" w:after="40"/>
              <w:jc w:val="center"/>
            </w:pPr>
            <w:r>
              <w:rPr>
                <w:rFonts w:ascii="Arial" w:cs="Arial" w:eastAsia="Arial" w:hAnsi="Arial"/>
                <w:b/>
                <w:bCs/>
                <w:color w:val="1E3A5F"/>
                <w:sz w:val="32"/>
                <w:szCs w:val="32"/>
              </w:rPr>
              <w:t xml:space="preserve">Monitored</w:t>
            </w:r>
          </w:p>
          <w:p>
            <w:pPr>
              <w:spacing w:before="0" w:after="0"/>
              <w:jc w:val="center"/>
            </w:pPr>
            <w:r>
              <w:rPr>
                <w:rFonts w:ascii="Arial" w:cs="Arial" w:eastAsia="Arial" w:hAnsi="Arial"/>
                <w:color w:val="2E75B6"/>
                <w:sz w:val="18"/>
                <w:szCs w:val="18"/>
              </w:rPr>
              <w:t xml:space="preserve">Actives vs. SPLY</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spacing w:before="0" w:after="40"/>
              <w:jc w:val="center"/>
            </w:pPr>
            <w:r>
              <w:rPr>
                <w:rFonts w:ascii="Arial" w:cs="Arial" w:eastAsia="Arial" w:hAnsi="Arial"/>
                <w:b w:val="false"/>
                <w:bCs w:val="false"/>
                <w:color w:val="888888"/>
                <w:sz w:val="18"/>
                <w:szCs w:val="18"/>
              </w:rPr>
              <w:t xml:space="preserve">Separations</w:t>
            </w:r>
          </w:p>
          <w:p>
            <w:pPr>
              <w:spacing w:before="0" w:after="40"/>
              <w:jc w:val="center"/>
            </w:pPr>
            <w:r>
              <w:rPr>
                <w:rFonts w:ascii="Arial" w:cs="Arial" w:eastAsia="Arial" w:hAnsi="Arial"/>
                <w:b/>
                <w:bCs/>
                <w:color w:val="1E3A5F"/>
                <w:sz w:val="32"/>
                <w:szCs w:val="32"/>
              </w:rPr>
              <w:t xml:space="preserve">Tracked</w:t>
            </w:r>
          </w:p>
          <w:p>
            <w:pPr>
              <w:spacing w:before="0" w:after="0"/>
              <w:jc w:val="center"/>
            </w:pPr>
            <w:r>
              <w:rPr>
                <w:rFonts w:ascii="Arial" w:cs="Arial" w:eastAsia="Arial" w:hAnsi="Arial"/>
                <w:color w:val="2E75B6"/>
                <w:sz w:val="18"/>
                <w:szCs w:val="18"/>
              </w:rPr>
              <w:t xml:space="preserve">Voluntary &amp; Involuntary</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spacing w:before="0" w:after="40"/>
              <w:jc w:val="center"/>
            </w:pPr>
            <w:r>
              <w:rPr>
                <w:rFonts w:ascii="Arial" w:cs="Arial" w:eastAsia="Arial" w:hAnsi="Arial"/>
                <w:b w:val="false"/>
                <w:bCs w:val="false"/>
                <w:color w:val="888888"/>
                <w:sz w:val="18"/>
                <w:szCs w:val="18"/>
              </w:rPr>
              <w:t xml:space="preserve">Bad Hire Rate</w:t>
            </w:r>
          </w:p>
          <w:p>
            <w:pPr>
              <w:spacing w:before="0" w:after="40"/>
              <w:jc w:val="center"/>
            </w:pPr>
            <w:r>
              <w:rPr>
                <w:rFonts w:ascii="Arial" w:cs="Arial" w:eastAsia="Arial" w:hAnsi="Arial"/>
                <w:b/>
                <w:bCs/>
                <w:color w:val="1E3A5F"/>
                <w:sz w:val="32"/>
                <w:szCs w:val="32"/>
              </w:rPr>
              <w:t xml:space="preserve">% of Actives</w:t>
            </w:r>
          </w:p>
          <w:p>
            <w:pPr>
              <w:spacing w:before="0" w:after="0"/>
              <w:jc w:val="center"/>
            </w:pPr>
            <w:r>
              <w:rPr>
                <w:rFonts w:ascii="Arial" w:cs="Arial" w:eastAsia="Arial" w:hAnsi="Arial"/>
                <w:color w:val="2E75B6"/>
                <w:sz w:val="18"/>
                <w:szCs w:val="18"/>
              </w:rPr>
              <w:t xml:space="preserve">By Region &amp; Ethnicity</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before="0" w:after="40"/>
            </w:pPr>
            <w:r>
              <w:rPr>
                <w:rFonts w:ascii="Arial" w:cs="Arial" w:eastAsia="Arial" w:hAnsi="Arial"/>
                <w:b/>
                <w:bCs/>
                <w:color w:val="FFFFFF"/>
                <w:sz w:val="28"/>
                <w:szCs w:val="28"/>
              </w:rPr>
              <w:t xml:space="preserve">1. New Hires</w:t>
            </w:r>
          </w:p>
          <w:p>
            <w:pPr>
              <w:spacing w:before="0" w:after="0"/>
            </w:pPr>
            <w:r>
              <w:rPr>
                <w:rFonts w:ascii="Arial" w:cs="Arial" w:eastAsia="Arial" w:hAnsi="Arial"/>
                <w:color w:val="BDD7EE"/>
                <w:sz w:val="18"/>
                <w:szCs w:val="18"/>
              </w:rPr>
              <w:t xml:space="preserve">Hiring volume, trends, and workforce type composition</w:t>
            </w:r>
          </w:p>
        </w:tc>
      </w:tr>
    </w:tbl>
    <w:p>
      <w:pPr>
        <w:spacing w:before="0" w:after="120"/>
      </w:pPr>
      <w:r>
        <w:t xml:space="preserve"/>
      </w:r>
    </w:p>
    <w:p>
      <w:pPr>
        <w:spacing w:before="80" w:after="100"/>
      </w:pPr>
      <w:r>
        <w:rPr>
          <w:rFonts w:ascii="Arial" w:cs="Arial" w:eastAsia="Arial" w:hAnsi="Arial"/>
          <w:b w:val="false"/>
          <w:bCs w:val="false"/>
          <w:i w:val="false"/>
          <w:iCs w:val="false"/>
          <w:color w:val="000000"/>
          <w:sz w:val="22"/>
          <w:szCs w:val="22"/>
        </w:rPr>
        <w:t xml:space="preserve">The New Hires page provides a comprehensive view of hiring activity over time. Key analyses include monthly hiring trends, full-time vs. part-time breakdowns, and year-over-year comparisons to benchmark current performance against prior periods.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0" w:after="80"/>
            </w:pPr>
            <w:r>
              <w:rPr>
                <w:rFonts w:ascii="Arial" w:cs="Arial" w:eastAsia="Arial" w:hAnsi="Arial"/>
                <w:b/>
                <w:bCs/>
                <w:color w:val="1E3A5F"/>
                <w:sz w:val="22"/>
                <w:szCs w:val="22"/>
              </w:rPr>
              <w:t xml:space="preserve">Key Metrics Tracked</w:t>
            </w:r>
          </w:p>
          <w:p>
            <w:pPr>
              <w:pStyle w:val="ListParagraph"/>
              <w:numPr>
                <w:ilvl w:val="0"/>
                <w:numId w:val="2"/>
              </w:numPr>
              <w:spacing w:before="60" w:after="60"/>
            </w:pPr>
            <w:r>
              <w:rPr>
                <w:rFonts w:ascii="Arial" w:cs="Arial" w:eastAsia="Arial" w:hAnsi="Arial"/>
                <w:sz w:val="22"/>
                <w:szCs w:val="22"/>
              </w:rPr>
              <w:t xml:space="preserve">Total New Hires vs. Same Period Last Year (SPLY)</w:t>
            </w:r>
          </w:p>
          <w:p>
            <w:pPr>
              <w:pStyle w:val="ListParagraph"/>
              <w:numPr>
                <w:ilvl w:val="0"/>
                <w:numId w:val="2"/>
              </w:numPr>
              <w:spacing w:before="60" w:after="60"/>
            </w:pPr>
            <w:r>
              <w:rPr>
                <w:rFonts w:ascii="Arial" w:cs="Arial" w:eastAsia="Arial" w:hAnsi="Arial"/>
                <w:sz w:val="22"/>
                <w:szCs w:val="22"/>
              </w:rPr>
              <w:t xml:space="preserve">New Hires YoY % Change — directional performance</w:t>
            </w:r>
          </w:p>
          <w:p>
            <w:pPr>
              <w:pStyle w:val="ListParagraph"/>
              <w:numPr>
                <w:ilvl w:val="0"/>
                <w:numId w:val="2"/>
              </w:numPr>
              <w:spacing w:before="60" w:after="60"/>
            </w:pPr>
            <w:r>
              <w:rPr>
                <w:rFonts w:ascii="Arial" w:cs="Arial" w:eastAsia="Arial" w:hAnsi="Arial"/>
                <w:sz w:val="22"/>
                <w:szCs w:val="22"/>
              </w:rPr>
              <w:t xml:space="preserve">New Hires by Month — seasonal hiring pattern analysis</w:t>
            </w:r>
          </w:p>
          <w:p>
            <w:pPr>
              <w:pStyle w:val="ListParagraph"/>
              <w:numPr>
                <w:ilvl w:val="0"/>
                <w:numId w:val="2"/>
              </w:numPr>
              <w:spacing w:before="60" w:after="60"/>
            </w:pPr>
            <w:r>
              <w:rPr>
                <w:rFonts w:ascii="Arial" w:cs="Arial" w:eastAsia="Arial" w:hAnsi="Arial"/>
                <w:sz w:val="22"/>
                <w:szCs w:val="22"/>
              </w:rPr>
              <w:t xml:space="preserve">Hires by Employment Type: Full-Time vs. Part-Time</w:t>
            </w:r>
          </w:p>
          <w:p>
            <w:pPr>
              <w:pStyle w:val="ListParagraph"/>
              <w:numPr>
                <w:ilvl w:val="0"/>
                <w:numId w:val="2"/>
              </w:numPr>
              <w:spacing w:before="60" w:after="60"/>
            </w:pPr>
            <w:r>
              <w:rPr>
                <w:rFonts w:ascii="Arial" w:cs="Arial" w:eastAsia="Arial" w:hAnsi="Arial"/>
                <w:sz w:val="22"/>
                <w:szCs w:val="22"/>
              </w:rPr>
              <w:t xml:space="preserve">Departmental focus: Sales &amp; Marketing</w:t>
            </w:r>
          </w:p>
        </w:tc>
        <w:tc>
          <w:tcPr>
            <w:tcW w:type="dxa" w:w="4760"/>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0" w:after="80"/>
            </w:pPr>
            <w:r>
              <w:rPr>
                <w:rFonts w:ascii="Arial" w:cs="Arial" w:eastAsia="Arial" w:hAnsi="Arial"/>
                <w:b/>
                <w:bCs/>
                <w:color w:val="1E3A5F"/>
                <w:sz w:val="22"/>
                <w:szCs w:val="22"/>
              </w:rPr>
              <w:t xml:space="preserve">Analytical Insights</w:t>
            </w:r>
          </w:p>
          <w:p>
            <w:pPr>
              <w:pStyle w:val="ListParagraph"/>
              <w:numPr>
                <w:ilvl w:val="0"/>
                <w:numId w:val="2"/>
              </w:numPr>
              <w:spacing w:before="60" w:after="60"/>
            </w:pPr>
            <w:r>
              <w:rPr>
                <w:rFonts w:ascii="Arial" w:cs="Arial" w:eastAsia="Arial" w:hAnsi="Arial"/>
                <w:sz w:val="22"/>
                <w:szCs w:val="22"/>
              </w:rPr>
              <w:t xml:space="preserve">Month-over-month line chart identifies peak and trough hiring periods</w:t>
            </w:r>
          </w:p>
          <w:p>
            <w:pPr>
              <w:pStyle w:val="ListParagraph"/>
              <w:numPr>
                <w:ilvl w:val="0"/>
                <w:numId w:val="2"/>
              </w:numPr>
              <w:spacing w:before="60" w:after="60"/>
            </w:pPr>
            <w:r>
              <w:rPr>
                <w:rFonts w:ascii="Arial" w:cs="Arial" w:eastAsia="Arial" w:hAnsi="Arial"/>
                <w:sz w:val="22"/>
                <w:szCs w:val="22"/>
              </w:rPr>
              <w:t xml:space="preserve">Combo chart layers hiring volume with FP type (Full/Part time) context</w:t>
            </w:r>
          </w:p>
          <w:p>
            <w:pPr>
              <w:pStyle w:val="ListParagraph"/>
              <w:numPr>
                <w:ilvl w:val="0"/>
                <w:numId w:val="2"/>
              </w:numPr>
              <w:spacing w:before="60" w:after="60"/>
            </w:pPr>
            <w:r>
              <w:rPr>
                <w:rFonts w:ascii="Arial" w:cs="Arial" w:eastAsia="Arial" w:hAnsi="Arial"/>
                <w:sz w:val="22"/>
                <w:szCs w:val="22"/>
              </w:rPr>
              <w:t xml:space="preserve">YoY KPI card immediately surfaces growth or contraction in headcount additions</w:t>
            </w:r>
          </w:p>
          <w:p>
            <w:pPr>
              <w:pStyle w:val="ListParagraph"/>
              <w:numPr>
                <w:ilvl w:val="0"/>
                <w:numId w:val="2"/>
              </w:numPr>
              <w:spacing w:before="60" w:after="60"/>
            </w:pPr>
            <w:r>
              <w:rPr>
                <w:rFonts w:ascii="Arial" w:cs="Arial" w:eastAsia="Arial" w:hAnsi="Arial"/>
                <w:sz w:val="22"/>
                <w:szCs w:val="22"/>
              </w:rPr>
              <w:t xml:space="preserve">Toggle buttons allow switching between 'Hires by Month' and 'New Hires' views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before="0" w:after="40"/>
            </w:pPr>
            <w:r>
              <w:rPr>
                <w:rFonts w:ascii="Arial" w:cs="Arial" w:eastAsia="Arial" w:hAnsi="Arial"/>
                <w:b/>
                <w:bCs/>
                <w:color w:val="FFFFFF"/>
                <w:sz w:val="28"/>
                <w:szCs w:val="28"/>
              </w:rPr>
              <w:t xml:space="preserve">2. Actives and Separations</w:t>
            </w:r>
          </w:p>
          <w:p>
            <w:pPr>
              <w:spacing w:before="0" w:after="0"/>
            </w:pPr>
            <w:r>
              <w:rPr>
                <w:rFonts w:ascii="Arial" w:cs="Arial" w:eastAsia="Arial" w:hAnsi="Arial"/>
                <w:color w:val="BDD7EE"/>
                <w:sz w:val="18"/>
                <w:szCs w:val="18"/>
              </w:rPr>
              <w:t xml:space="preserve">Headcount stability, turnover, and retention trends</w:t>
            </w:r>
          </w:p>
        </w:tc>
      </w:tr>
    </w:tbl>
    <w:p>
      <w:pPr>
        <w:spacing w:before="0" w:after="120"/>
      </w:pPr>
      <w:r>
        <w:t xml:space="preserve"/>
      </w:r>
    </w:p>
    <w:p>
      <w:pPr>
        <w:spacing w:before="80" w:after="100"/>
      </w:pPr>
      <w:r>
        <w:rPr>
          <w:rFonts w:ascii="Arial" w:cs="Arial" w:eastAsia="Arial" w:hAnsi="Arial"/>
          <w:b w:val="false"/>
          <w:bCs w:val="false"/>
          <w:i w:val="false"/>
          <w:iCs w:val="false"/>
          <w:color w:val="000000"/>
          <w:sz w:val="22"/>
          <w:szCs w:val="22"/>
        </w:rPr>
        <w:t xml:space="preserve">The Actives and Separations page examines two sides of workforce stability: active employee headcount and outflow through separations. This page allows leadership to assess retention health, track voluntary versus involuntary turnover, and understand the net impact on workforce size.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0" w:after="80"/>
            </w:pPr>
            <w:r>
              <w:rPr>
                <w:rFonts w:ascii="Arial" w:cs="Arial" w:eastAsia="Arial" w:hAnsi="Arial"/>
                <w:b/>
                <w:bCs/>
                <w:color w:val="1E3A5F"/>
                <w:sz w:val="22"/>
                <w:szCs w:val="22"/>
              </w:rPr>
              <w:t xml:space="preserve">Key Metrics Tracked</w:t>
            </w:r>
          </w:p>
          <w:p>
            <w:pPr>
              <w:pStyle w:val="ListParagraph"/>
              <w:numPr>
                <w:ilvl w:val="0"/>
                <w:numId w:val="2"/>
              </w:numPr>
              <w:spacing w:before="60" w:after="60"/>
            </w:pPr>
            <w:r>
              <w:rPr>
                <w:rFonts w:ascii="Arial" w:cs="Arial" w:eastAsia="Arial" w:hAnsi="Arial"/>
                <w:sz w:val="22"/>
                <w:szCs w:val="22"/>
              </w:rPr>
              <w:t xml:space="preserve">Active Employees vs. SPLY (Same Period Last Year)</w:t>
            </w:r>
          </w:p>
          <w:p>
            <w:pPr>
              <w:pStyle w:val="ListParagraph"/>
              <w:numPr>
                <w:ilvl w:val="0"/>
                <w:numId w:val="2"/>
              </w:numPr>
              <w:spacing w:before="60" w:after="60"/>
            </w:pPr>
            <w:r>
              <w:rPr>
                <w:rFonts w:ascii="Arial" w:cs="Arial" w:eastAsia="Arial" w:hAnsi="Arial"/>
                <w:sz w:val="22"/>
                <w:szCs w:val="22"/>
              </w:rPr>
              <w:t xml:space="preserve">Actives YoY % Change — headcount trajectory</w:t>
            </w:r>
          </w:p>
          <w:p>
            <w:pPr>
              <w:pStyle w:val="ListParagraph"/>
              <w:numPr>
                <w:ilvl w:val="0"/>
                <w:numId w:val="2"/>
              </w:numPr>
              <w:spacing w:before="60" w:after="60"/>
            </w:pPr>
            <w:r>
              <w:rPr>
                <w:rFonts w:ascii="Arial" w:cs="Arial" w:eastAsia="Arial" w:hAnsi="Arial"/>
                <w:sz w:val="22"/>
                <w:szCs w:val="22"/>
              </w:rPr>
              <w:t xml:space="preserve">Separations (Seps) vs. SPLY</w:t>
            </w:r>
          </w:p>
          <w:p>
            <w:pPr>
              <w:pStyle w:val="ListParagraph"/>
              <w:numPr>
                <w:ilvl w:val="0"/>
                <w:numId w:val="2"/>
              </w:numPr>
              <w:spacing w:before="60" w:after="60"/>
            </w:pPr>
            <w:r>
              <w:rPr>
                <w:rFonts w:ascii="Arial" w:cs="Arial" w:eastAsia="Arial" w:hAnsi="Arial"/>
                <w:sz w:val="22"/>
                <w:szCs w:val="22"/>
              </w:rPr>
              <w:t xml:space="preserve">Separations YoY % Change</w:t>
            </w:r>
          </w:p>
          <w:p>
            <w:pPr>
              <w:pStyle w:val="ListParagraph"/>
              <w:numPr>
                <w:ilvl w:val="0"/>
                <w:numId w:val="2"/>
              </w:numPr>
              <w:spacing w:before="60" w:after="60"/>
            </w:pPr>
            <w:r>
              <w:rPr>
                <w:rFonts w:ascii="Arial" w:cs="Arial" w:eastAsia="Arial" w:hAnsi="Arial"/>
                <w:sz w:val="22"/>
                <w:szCs w:val="22"/>
              </w:rPr>
              <w:t xml:space="preserve">Voluntary vs. Involuntary separation breakdown</w:t>
            </w:r>
          </w:p>
        </w:tc>
        <w:tc>
          <w:tcPr>
            <w:tcW w:type="dxa" w:w="4760"/>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0" w:after="80"/>
            </w:pPr>
            <w:r>
              <w:rPr>
                <w:rFonts w:ascii="Arial" w:cs="Arial" w:eastAsia="Arial" w:hAnsi="Arial"/>
                <w:b/>
                <w:bCs/>
                <w:color w:val="1E3A5F"/>
                <w:sz w:val="22"/>
                <w:szCs w:val="22"/>
              </w:rPr>
              <w:t xml:space="preserve">Analytical Insights</w:t>
            </w:r>
          </w:p>
          <w:p>
            <w:pPr>
              <w:pStyle w:val="ListParagraph"/>
              <w:numPr>
                <w:ilvl w:val="0"/>
                <w:numId w:val="2"/>
              </w:numPr>
              <w:spacing w:before="60" w:after="60"/>
            </w:pPr>
            <w:r>
              <w:rPr>
                <w:rFonts w:ascii="Arial" w:cs="Arial" w:eastAsia="Arial" w:hAnsi="Arial"/>
                <w:sz w:val="22"/>
                <w:szCs w:val="22"/>
              </w:rPr>
              <w:t xml:space="preserve">Donut chart visualizes the voluntary/involuntary split for immediate context</w:t>
            </w:r>
          </w:p>
          <w:p>
            <w:pPr>
              <w:pStyle w:val="ListParagraph"/>
              <w:numPr>
                <w:ilvl w:val="0"/>
                <w:numId w:val="2"/>
              </w:numPr>
              <w:spacing w:before="60" w:after="60"/>
            </w:pPr>
            <w:r>
              <w:rPr>
                <w:rFonts w:ascii="Arial" w:cs="Arial" w:eastAsia="Arial" w:hAnsi="Arial"/>
                <w:sz w:val="22"/>
                <w:szCs w:val="22"/>
              </w:rPr>
              <w:t xml:space="preserve">Stacked combo chart layers active count trends against separation volume</w:t>
            </w:r>
          </w:p>
          <w:p>
            <w:pPr>
              <w:pStyle w:val="ListParagraph"/>
              <w:numPr>
                <w:ilvl w:val="0"/>
                <w:numId w:val="2"/>
              </w:numPr>
              <w:spacing w:before="60" w:after="60"/>
            </w:pPr>
            <w:r>
              <w:rPr>
                <w:rFonts w:ascii="Arial" w:cs="Arial" w:eastAsia="Arial" w:hAnsi="Arial"/>
                <w:sz w:val="22"/>
                <w:szCs w:val="22"/>
              </w:rPr>
              <w:t xml:space="preserve">Pivot table enables detailed slicing by department, region, or time period</w:t>
            </w:r>
          </w:p>
          <w:p>
            <w:pPr>
              <w:pStyle w:val="ListParagraph"/>
              <w:numPr>
                <w:ilvl w:val="0"/>
                <w:numId w:val="2"/>
              </w:numPr>
              <w:spacing w:before="60" w:after="60"/>
            </w:pPr>
            <w:r>
              <w:rPr>
                <w:rFonts w:ascii="Arial" w:cs="Arial" w:eastAsia="Arial" w:hAnsi="Arial"/>
                <w:sz w:val="22"/>
                <w:szCs w:val="22"/>
              </w:rPr>
              <w:t xml:space="preserve">Declining actives paired with rising separations signals retention risk</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before="0" w:after="40"/>
            </w:pPr>
            <w:r>
              <w:rPr>
                <w:rFonts w:ascii="Arial" w:cs="Arial" w:eastAsia="Arial" w:hAnsi="Arial"/>
                <w:b/>
                <w:bCs/>
                <w:color w:val="FFFFFF"/>
                <w:sz w:val="28"/>
                <w:szCs w:val="28"/>
              </w:rPr>
              <w:t xml:space="preserve">3. Bad Hires</w:t>
            </w:r>
          </w:p>
          <w:p>
            <w:pPr>
              <w:spacing w:before="0" w:after="0"/>
            </w:pPr>
            <w:r>
              <w:rPr>
                <w:rFonts w:ascii="Arial" w:cs="Arial" w:eastAsia="Arial" w:hAnsi="Arial"/>
                <w:color w:val="BDD7EE"/>
                <w:sz w:val="18"/>
                <w:szCs w:val="18"/>
              </w:rPr>
              <w:t xml:space="preserve">Quality-of-hire tracking and demographic risk segmentation</w:t>
            </w:r>
          </w:p>
        </w:tc>
      </w:tr>
    </w:tbl>
    <w:p>
      <w:pPr>
        <w:spacing w:before="0" w:after="120"/>
      </w:pPr>
      <w:r>
        <w:t xml:space="preserve"/>
      </w:r>
    </w:p>
    <w:p>
      <w:pPr>
        <w:spacing w:before="80" w:after="100"/>
      </w:pPr>
      <w:r>
        <w:rPr>
          <w:rFonts w:ascii="Arial" w:cs="Arial" w:eastAsia="Arial" w:hAnsi="Arial"/>
          <w:b w:val="false"/>
          <w:bCs w:val="false"/>
          <w:i w:val="false"/>
          <w:iCs w:val="false"/>
          <w:color w:val="000000"/>
          <w:sz w:val="22"/>
          <w:szCs w:val="22"/>
        </w:rPr>
        <w:t xml:space="preserve">The Bad Hires page addresses quality of hire — employees who exit within a short period after joining, indicating a mismatch in selection, onboarding, or role alignment. This is one of the most critical workforce cost indicators, as bad hires carry significant replacement and productivity costs.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0" w:after="80"/>
            </w:pPr>
            <w:r>
              <w:rPr>
                <w:rFonts w:ascii="Arial" w:cs="Arial" w:eastAsia="Arial" w:hAnsi="Arial"/>
                <w:b/>
                <w:bCs/>
                <w:color w:val="1E3A5F"/>
                <w:sz w:val="22"/>
                <w:szCs w:val="22"/>
              </w:rPr>
              <w:t xml:space="preserve">Key Metrics Tracked</w:t>
            </w:r>
          </w:p>
          <w:p>
            <w:pPr>
              <w:pStyle w:val="ListParagraph"/>
              <w:numPr>
                <w:ilvl w:val="0"/>
                <w:numId w:val="2"/>
              </w:numPr>
              <w:spacing w:before="60" w:after="60"/>
            </w:pPr>
            <w:r>
              <w:rPr>
                <w:rFonts w:ascii="Arial" w:cs="Arial" w:eastAsia="Arial" w:hAnsi="Arial"/>
                <w:sz w:val="22"/>
                <w:szCs w:val="22"/>
              </w:rPr>
              <w:t xml:space="preserve">Total Bad Hires count</w:t>
            </w:r>
          </w:p>
          <w:p>
            <w:pPr>
              <w:pStyle w:val="ListParagraph"/>
              <w:numPr>
                <w:ilvl w:val="0"/>
                <w:numId w:val="2"/>
              </w:numPr>
              <w:spacing w:before="60" w:after="60"/>
            </w:pPr>
            <w:r>
              <w:rPr>
                <w:rFonts w:ascii="Arial" w:cs="Arial" w:eastAsia="Arial" w:hAnsi="Arial"/>
                <w:sz w:val="22"/>
                <w:szCs w:val="22"/>
              </w:rPr>
              <w:t xml:space="preserve">Bad Hire % of Active Employees — impact ratio</w:t>
            </w:r>
          </w:p>
          <w:p>
            <w:pPr>
              <w:pStyle w:val="ListParagraph"/>
              <w:numPr>
                <w:ilvl w:val="0"/>
                <w:numId w:val="2"/>
              </w:numPr>
              <w:spacing w:before="60" w:after="60"/>
            </w:pPr>
            <w:r>
              <w:rPr>
                <w:rFonts w:ascii="Arial" w:cs="Arial" w:eastAsia="Arial" w:hAnsi="Arial"/>
                <w:sz w:val="22"/>
                <w:szCs w:val="22"/>
              </w:rPr>
              <w:t xml:space="preserve">Bad Hires YoY % Change</w:t>
            </w:r>
          </w:p>
          <w:p>
            <w:pPr>
              <w:pStyle w:val="ListParagraph"/>
              <w:numPr>
                <w:ilvl w:val="0"/>
                <w:numId w:val="2"/>
              </w:numPr>
              <w:spacing w:before="60" w:after="60"/>
            </w:pPr>
            <w:r>
              <w:rPr>
                <w:rFonts w:ascii="Arial" w:cs="Arial" w:eastAsia="Arial" w:hAnsi="Arial"/>
                <w:sz w:val="22"/>
                <w:szCs w:val="22"/>
              </w:rPr>
              <w:t xml:space="preserve">Bad Hires by Region — geographic concentration</w:t>
            </w:r>
          </w:p>
          <w:p>
            <w:pPr>
              <w:pStyle w:val="ListParagraph"/>
              <w:numPr>
                <w:ilvl w:val="0"/>
                <w:numId w:val="2"/>
              </w:numPr>
              <w:spacing w:before="60" w:after="60"/>
            </w:pPr>
            <w:r>
              <w:rPr>
                <w:rFonts w:ascii="Arial" w:cs="Arial" w:eastAsia="Arial" w:hAnsi="Arial"/>
                <w:sz w:val="22"/>
                <w:szCs w:val="22"/>
              </w:rPr>
              <w:t xml:space="preserve">Bad Hires by Ethnicity — equity and inclusion lens</w:t>
            </w:r>
          </w:p>
          <w:p>
            <w:pPr>
              <w:pStyle w:val="ListParagraph"/>
              <w:numPr>
                <w:ilvl w:val="0"/>
                <w:numId w:val="2"/>
              </w:numPr>
              <w:spacing w:before="60" w:after="60"/>
            </w:pPr>
            <w:r>
              <w:rPr>
                <w:rFonts w:ascii="Arial" w:cs="Arial" w:eastAsia="Arial" w:hAnsi="Arial"/>
                <w:sz w:val="22"/>
                <w:szCs w:val="22"/>
              </w:rPr>
              <w:t xml:space="preserve">Separation Reasons breakdown</w:t>
            </w:r>
          </w:p>
        </w:tc>
        <w:tc>
          <w:tcPr>
            <w:tcW w:type="dxa" w:w="4760"/>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0" w:after="80"/>
            </w:pPr>
            <w:r>
              <w:rPr>
                <w:rFonts w:ascii="Arial" w:cs="Arial" w:eastAsia="Arial" w:hAnsi="Arial"/>
                <w:b/>
                <w:bCs/>
                <w:color w:val="1E3A5F"/>
                <w:sz w:val="22"/>
                <w:szCs w:val="22"/>
              </w:rPr>
              <w:t xml:space="preserve">Analytical Insights</w:t>
            </w:r>
          </w:p>
          <w:p>
            <w:pPr>
              <w:pStyle w:val="ListParagraph"/>
              <w:numPr>
                <w:ilvl w:val="0"/>
                <w:numId w:val="2"/>
              </w:numPr>
              <w:spacing w:before="60" w:after="60"/>
            </w:pPr>
            <w:r>
              <w:rPr>
                <w:rFonts w:ascii="Arial" w:cs="Arial" w:eastAsia="Arial" w:hAnsi="Arial"/>
                <w:sz w:val="22"/>
                <w:szCs w:val="22"/>
              </w:rPr>
              <w:t xml:space="preserve">Pivot table cross-references Region x Ethnicity to surface disparate impacts</w:t>
            </w:r>
          </w:p>
          <w:p>
            <w:pPr>
              <w:pStyle w:val="ListParagraph"/>
              <w:numPr>
                <w:ilvl w:val="0"/>
                <w:numId w:val="2"/>
              </w:numPr>
              <w:spacing w:before="60" w:after="60"/>
            </w:pPr>
            <w:r>
              <w:rPr>
                <w:rFonts w:ascii="Arial" w:cs="Arial" w:eastAsia="Arial" w:hAnsi="Arial"/>
                <w:sz w:val="22"/>
                <w:szCs w:val="22"/>
              </w:rPr>
              <w:t xml:space="preserve">Donut chart shows bad hire distribution by demographic segment</w:t>
            </w:r>
          </w:p>
          <w:p>
            <w:pPr>
              <w:pStyle w:val="ListParagraph"/>
              <w:numPr>
                <w:ilvl w:val="0"/>
                <w:numId w:val="2"/>
              </w:numPr>
              <w:spacing w:before="60" w:after="60"/>
            </w:pPr>
            <w:r>
              <w:rPr>
                <w:rFonts w:ascii="Arial" w:cs="Arial" w:eastAsia="Arial" w:hAnsi="Arial"/>
                <w:sz w:val="22"/>
                <w:szCs w:val="22"/>
              </w:rPr>
              <w:t xml:space="preserve">Line chart tracks Bad Hire rate trend over time for pattern detection</w:t>
            </w:r>
          </w:p>
          <w:p>
            <w:pPr>
              <w:pStyle w:val="ListParagraph"/>
              <w:numPr>
                <w:ilvl w:val="0"/>
                <w:numId w:val="2"/>
              </w:numPr>
              <w:spacing w:before="60" w:after="60"/>
            </w:pPr>
            <w:r>
              <w:rPr>
                <w:rFonts w:ascii="Arial" w:cs="Arial" w:eastAsia="Arial" w:hAnsi="Arial"/>
                <w:sz w:val="22"/>
                <w:szCs w:val="22"/>
              </w:rPr>
              <w:t xml:space="preserve">Bar chart ranks regions or departments by bad hire concentration</w:t>
            </w:r>
          </w:p>
          <w:p>
            <w:pPr>
              <w:pStyle w:val="ListParagraph"/>
              <w:numPr>
                <w:ilvl w:val="0"/>
                <w:numId w:val="2"/>
              </w:numPr>
              <w:spacing w:before="60" w:after="60"/>
            </w:pPr>
            <w:r>
              <w:rPr>
                <w:rFonts w:ascii="Arial" w:cs="Arial" w:eastAsia="Arial" w:hAnsi="Arial"/>
                <w:sz w:val="22"/>
                <w:szCs w:val="22"/>
              </w:rPr>
              <w:t xml:space="preserve">Tooltip page provides on-hover separation reason detail for any data point</w:t>
            </w:r>
          </w:p>
        </w:tc>
      </w:tr>
    </w:tbl>
    <w:p>
      <w:pPr>
        <w:spacing w:before="0" w:after="160"/>
      </w:pPr>
      <w:r>
        <w:t xml:space="preserve"/>
      </w:r>
    </w:p>
    <w:p>
      <w:pPr>
        <w:pBdr>
          <w:bottom w:val="single" w:color="2E75B6" w:sz="6" w:space="4"/>
        </w:pBdr>
        <w:spacing w:before="400" w:after="120"/>
      </w:pPr>
      <w:r>
        <w:rPr>
          <w:rFonts w:ascii="Arial" w:cs="Arial" w:eastAsia="Arial" w:hAnsi="Arial"/>
          <w:b/>
          <w:bCs/>
          <w:color w:val="1E3A5F"/>
          <w:sz w:val="36"/>
          <w:szCs w:val="36"/>
        </w:rPr>
        <w:t xml:space="preserve">Strategic Observations &amp; Recommended Actions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0"/>
              <w:bottom w:type="dxa" w:w="0"/>
              <w:right w:type="dxa" w:w="80"/>
            </w:tcMar>
          </w:tcPr>
          <w:p>
            <w:r>
              <w:rPr>
                <w:rFonts w:ascii="Arial" w:cs="Arial" w:eastAsia="Arial" w:hAnsi="Arial"/>
                <w:sz w:val="22"/>
                <w:szCs w:val="22"/>
              </w:rPr>
              <w:t xml:space="preserve">1.</w:t>
            </w:r>
          </w:p>
        </w:tc>
        <w:tc>
          <w:tcPr>
            <w:tcW w:type="dxa" w:w="88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100"/>
            </w:pPr>
            <w:r>
              <w:rPr>
                <w:rFonts w:ascii="Arial" w:cs="Arial" w:eastAsia="Arial" w:hAnsi="Arial"/>
                <w:sz w:val="22"/>
                <w:szCs w:val="22"/>
              </w:rPr>
              <w:t xml:space="preserve">Monitor the YoY New Hire trend closely — if hiring volume is declining relative to SPLY, assess whether this reflects intentional workforce rightsizing or a failure to attract talent, particularly in the Sales &amp; Marketing division.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0"/>
              <w:bottom w:type="dxa" w:w="0"/>
              <w:right w:type="dxa" w:w="80"/>
            </w:tcMar>
          </w:tcPr>
          <w:p>
            <w:r>
              <w:rPr>
                <w:rFonts w:ascii="Arial" w:cs="Arial" w:eastAsia="Arial" w:hAnsi="Arial"/>
                <w:sz w:val="22"/>
                <w:szCs w:val="22"/>
              </w:rPr>
              <w:t xml:space="preserve">2.</w:t>
            </w:r>
          </w:p>
        </w:tc>
        <w:tc>
          <w:tcPr>
            <w:tcW w:type="dxa" w:w="88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100"/>
            </w:pPr>
            <w:r>
              <w:rPr>
                <w:rFonts w:ascii="Arial" w:cs="Arial" w:eastAsia="Arial" w:hAnsi="Arial"/>
                <w:sz w:val="22"/>
                <w:szCs w:val="22"/>
              </w:rPr>
              <w:t xml:space="preserve">Voluntary separation rates are a leading indicator of engagement and compensation competitiveness. A rising voluntary separation YoY trend warrants immediate review of exit interview data and total compensation benchmarking.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0"/>
              <w:bottom w:type="dxa" w:w="0"/>
              <w:right w:type="dxa" w:w="80"/>
            </w:tcMar>
          </w:tcPr>
          <w:p>
            <w:r>
              <w:rPr>
                <w:rFonts w:ascii="Arial" w:cs="Arial" w:eastAsia="Arial" w:hAnsi="Arial"/>
                <w:sz w:val="22"/>
                <w:szCs w:val="22"/>
              </w:rPr>
              <w:t xml:space="preserve">3.</w:t>
            </w:r>
          </w:p>
        </w:tc>
        <w:tc>
          <w:tcPr>
            <w:tcW w:type="dxa" w:w="88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100"/>
            </w:pPr>
            <w:r>
              <w:rPr>
                <w:rFonts w:ascii="Arial" w:cs="Arial" w:eastAsia="Arial" w:hAnsi="Arial"/>
                <w:sz w:val="22"/>
                <w:szCs w:val="22"/>
              </w:rPr>
              <w:t xml:space="preserve">The Bad Hire % of Actives metric should be evaluated against industry benchmarks. Organizations with bad hire rates above 3-5% of active headcount typically experience disproportionate costs in re-recruitment, onboarding, and lost productivity.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0"/>
              <w:bottom w:type="dxa" w:w="0"/>
              <w:right w:type="dxa" w:w="80"/>
            </w:tcMar>
          </w:tcPr>
          <w:p>
            <w:r>
              <w:rPr>
                <w:rFonts w:ascii="Arial" w:cs="Arial" w:eastAsia="Arial" w:hAnsi="Arial"/>
                <w:sz w:val="22"/>
                <w:szCs w:val="22"/>
              </w:rPr>
              <w:t xml:space="preserve">4.</w:t>
            </w:r>
          </w:p>
        </w:tc>
        <w:tc>
          <w:tcPr>
            <w:tcW w:type="dxa" w:w="88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100"/>
            </w:pPr>
            <w:r>
              <w:rPr>
                <w:rFonts w:ascii="Arial" w:cs="Arial" w:eastAsia="Arial" w:hAnsi="Arial"/>
                <w:sz w:val="22"/>
                <w:szCs w:val="22"/>
              </w:rPr>
              <w:t xml:space="preserve">Regional and demographic breakdowns on the Bad Hires page may reveal structural gaps in hiring practices or onboarding support. Patterns across specific regions or demographic segments should prompt a sourcing and selection process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0"/>
              <w:bottom w:type="dxa" w:w="0"/>
              <w:right w:type="dxa" w:w="80"/>
            </w:tcMar>
          </w:tcPr>
          <w:p>
            <w:r>
              <w:rPr>
                <w:rFonts w:ascii="Arial" w:cs="Arial" w:eastAsia="Arial" w:hAnsi="Arial"/>
                <w:sz w:val="22"/>
                <w:szCs w:val="22"/>
              </w:rPr>
              <w:t xml:space="preserve">5.</w:t>
            </w:r>
          </w:p>
        </w:tc>
        <w:tc>
          <w:tcPr>
            <w:tcW w:type="dxa" w:w="88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100"/>
            </w:pPr>
            <w:r>
              <w:rPr>
                <w:rFonts w:ascii="Arial" w:cs="Arial" w:eastAsia="Arial" w:hAnsi="Arial"/>
                <w:sz w:val="22"/>
                <w:szCs w:val="22"/>
              </w:rPr>
              <w:t xml:space="preserve">Full-time vs. part-time hiring mix (tracked on the New Hires page) reflects workforce strategy decisions. A significant shift toward part-time hires may indicate cost management priorities or flexibility needs, but can also affect engagement and retention metrics downstream.</w:t>
            </w:r>
          </w:p>
        </w:tc>
      </w:tr>
    </w:tbl>
    <w:p>
      <w:pPr>
        <w:spacing w:before="0" w:after="200"/>
      </w:pPr>
      <w:r>
        <w:t xml:space="preserve"/>
      </w:r>
    </w:p>
    <w:p>
      <w:pPr>
        <w:spacing w:before="240" w:after="120"/>
      </w:pPr>
      <w:r>
        <w:rPr>
          <w:rFonts w:ascii="Arial" w:cs="Arial" w:eastAsia="Arial" w:hAnsi="Arial"/>
          <w:b/>
          <w:bCs/>
          <w:color w:val="1E3A5F"/>
          <w:sz w:val="28"/>
          <w:szCs w:val="28"/>
        </w:rPr>
        <w:t xml:space="preserve">Dashboard Page Reference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80"/>
        <w:gridCol w:w="278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Focus</w:t>
            </w:r>
          </w:p>
        </w:tc>
        <w:tc>
          <w:tcPr>
            <w:tcW w:type="dxa" w:w="2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Visual Types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Hires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Hiring volume trends, FT/PT composition, YoY performance</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Line chart, Combo chart, Column chart, Pivot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Actives &amp; Separations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Headcount levels, turnover, voluntary vs. involuntary exits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Donut chart, Stacked combo chart, Pivot table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Bad Hires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Quality-of-hire rate, regional and demographic risk segmentation</w:t>
            </w:r>
          </w:p>
        </w:tc>
        <w:tc>
          <w:tcPr>
            <w:tcW w:type="dxa" w:w="2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Donut chart, Line chart, Bar chart, Pivot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Tooltip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On-hover detail: separation reasons by context</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Multi-row card, Bar charts</w:t>
            </w:r>
          </w:p>
        </w:tc>
      </w:tr>
    </w:tbl>
    <w:p>
      <w:pPr>
        <w:spacing w:before="0" w:after="200"/>
      </w:pPr>
      <w:r>
        <w:t xml:space="preserve"/>
      </w:r>
    </w:p>
    <w:p>
      <w:pPr>
        <w:pBdr>
          <w:top w:val="single" w:color="2E75B6" w:sz="4" w:space="4"/>
        </w:pBdr>
        <w:spacing w:before="120" w:after="0"/>
      </w:pPr>
      <w:r>
        <w:rPr>
          <w:rFonts w:ascii="Arial" w:cs="Arial" w:eastAsia="Arial" w:hAnsi="Arial"/>
          <w:i/>
          <w:iCs/>
          <w:color w:val="888888"/>
          <w:sz w:val="18"/>
          <w:szCs w:val="18"/>
        </w:rPr>
        <w:t xml:space="preserve">This executive summary was generated from the Employee Hiring and History Power BI dashboard (.pbix). All metrics reflect the measures, pages, and visual configurations embedded in the dashboard data model. For full interactivity, filtering by year, region, or department, refer to the live Power BI report.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888888"/>
        <w:sz w:val="16"/>
        <w:szCs w:val="16"/>
      </w:rPr>
      <w:t xml:space="preserve">Confidential | For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single" w:color="2E75B6" w:sz="4"/>
            <w:right w:val="none" w:color="FFFFFF" w:sz="0"/>
          </w:tcBorders>
          <w:tcMar>
            <w:top w:type="dxa" w:w="0"/>
            <w:left w:type="dxa" w:w="0"/>
            <w:bottom w:type="dxa" w:w="80"/>
            <w:right w:type="dxa" w:w="0"/>
          </w:tcMar>
        </w:tcPr>
        <w:p>
          <w:r>
            <w:rPr>
              <w:rFonts w:ascii="Arial" w:cs="Arial" w:eastAsia="Arial" w:hAnsi="Arial"/>
              <w:b/>
              <w:bCs/>
              <w:color w:val="1E3A5F"/>
              <w:sz w:val="20"/>
              <w:szCs w:val="20"/>
            </w:rPr>
            <w:t xml:space="preserve">EMPLOYEE HIRING AND HISTORY</w:t>
          </w:r>
        </w:p>
      </w:tc>
      <w:tc>
        <w:tcPr>
          <w:tcW w:type="dxa" w:w="3080"/>
          <w:tcBorders>
            <w:top w:val="none" w:color="FFFFFF" w:sz="0"/>
            <w:left w:val="none" w:color="FFFFFF" w:sz="0"/>
            <w:bottom w:val="single" w:color="2E75B6" w:sz="4"/>
            <w:right w:val="none" w:color="FFFFFF" w:sz="0"/>
          </w:tcBorders>
          <w:tcMar>
            <w:top w:type="dxa" w:w="0"/>
            <w:left w:type="dxa" w:w="0"/>
            <w:bottom w:type="dxa" w:w="80"/>
            <w:right w:type="dxa" w:w="0"/>
          </w:tcMar>
        </w:tcPr>
        <w:p>
          <w:pPr>
            <w:jc w:val="right"/>
          </w:pPr>
          <w:r>
            <w:rPr>
              <w:rFonts w:ascii="Arial" w:cs="Arial" w:eastAsia="Arial" w:hAnsi="Arial"/>
              <w:color w:val="888888"/>
              <w:sz w:val="20"/>
              <w:szCs w:val="20"/>
            </w:rPr>
            <w:t xml:space="preserve">EXECUTIVE SUMMARY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2026-03-10T21:20:56.538Z</dcterms:created>
  <dcterms:modified xsi:type="dcterms:W3CDTF">2026-03-10T21:20:56.540Z</dcterms:modified>
</cp:coreProperties>
</file>

<file path=docProps/custom.xml><?xml version="1.0" encoding="utf-8"?>
<Properties xmlns="http://schemas.openxmlformats.org/officeDocument/2006/custom-properties" xmlns:vt="http://schemas.openxmlformats.org/officeDocument/2006/docPropsVTypes"/>
</file>