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2203A"/>
          <w:sz w:val="40"/>
          <w:szCs w:val="40"/>
        </w:rPr>
        <w:t xml:space="preserve">ERP — Documento de nomenclatura de códigos</w:t>
      </w:r>
    </w:p>
    <w:p>
      <w:pPr>
        <w:spacing w:after="40"/>
      </w:pPr>
      <w:r>
        <w:rPr>
          <w:color w:val="1A56DB"/>
          <w:sz w:val="24"/>
          <w:szCs w:val="24"/>
        </w:rPr>
        <w:t xml:space="preserve">Códigos de cliente, proveedor y producto</w:t>
      </w:r>
    </w:p>
    <w:p>
      <w:pPr>
        <w:pBdr>
          <w:bottom w:val="single" w:color="1A56DB" w:sz="12" w:space="6"/>
        </w:pBdr>
        <w:spacing w:after="160"/>
      </w:pPr>
      <w:r>
        <w:rPr>
          <w:color w:val="6B7585"/>
          <w:sz w:val="17"/>
          <w:szCs w:val="17"/>
        </w:rPr>
        <w:t xml:space="preserve">Versión 1.0  ·  16 de mayo de 2026  ·  Documento de referencia (no modifica el sistema)</w:t>
      </w:r>
    </w:p>
    <w:p>
      <w:pPr>
        <w:spacing w:after="120"/>
      </w:pPr>
      <w:r>
        <w:rPr>
          <w:rFonts w:ascii="Arial" w:cs="Arial" w:eastAsia="Arial" w:hAnsi="Arial"/>
          <w:b/>
          <w:bCs/>
          <w:color w:val="26303D"/>
          <w:sz w:val="20"/>
          <w:szCs w:val="20"/>
        </w:rPr>
        <w:t xml:space="preserve">Propósito. </w:t>
      </w:r>
      <w:r>
        <w:rPr>
          <w:color w:val="26303D"/>
          <w:sz w:val="20"/>
          <w:szCs w:val="20"/>
        </w:rPr>
        <w:t xml:space="preserve">Este documento define la forma estándar de los códigos de clientes, proveedores y productos del ERP. Sirve como referencia para que toda persona que dé de alta un registro use el mismo formato. La tabla incluye filas en blanco para agregar familias de producto que falten.</w:t>
      </w:r>
    </w:p>
    <w:p>
      <w:pPr>
        <w:pStyle w:val="Heading1"/>
        <w:pBdr>
          <w:bottom w:val="single" w:color="1A56DB" w:sz="6" w:space="3"/>
        </w:pBdr>
        <w:spacing w:after="140" w:before="320"/>
      </w:pPr>
      <w:r>
        <w:rPr>
          <w:b/>
          <w:bCs/>
          <w:color w:val="12203A"/>
          <w:sz w:val="26"/>
          <w:szCs w:val="26"/>
        </w:rPr>
        <w:t xml:space="preserve">1. Reglas generales</w:t>
      </w:r>
    </w:p>
    <w:p>
      <w:pPr>
        <w:pStyle w:val="ListParagraph"/>
        <w:numPr>
          <w:ilvl w:val="0"/>
          <w:numId w:val="2"/>
        </w:numPr>
        <w:spacing w:after="70"/>
      </w:pPr>
      <w:r>
        <w:rPr>
          <w:color w:val="26303D"/>
          <w:sz w:val="20"/>
          <w:szCs w:val="20"/>
        </w:rPr>
        <w:t xml:space="preserve">Todos los códigos se escriben en MAYÚSCULAS, sin espacios, sin acentos y sin caracteres especiales.</w:t>
      </w:r>
    </w:p>
    <w:p>
      <w:pPr>
        <w:pStyle w:val="ListParagraph"/>
        <w:numPr>
          <w:ilvl w:val="0"/>
          <w:numId w:val="2"/>
        </w:numPr>
        <w:spacing w:after="70"/>
      </w:pPr>
      <w:r>
        <w:rPr>
          <w:rFonts w:ascii="Arial" w:cs="Arial" w:eastAsia="Arial" w:hAnsi="Arial"/>
          <w:color w:val="26303D"/>
          <w:sz w:val="20"/>
          <w:szCs w:val="20"/>
        </w:rPr>
        <w:t xml:space="preserve">El separador entre segmentos es el guion medio ( - ).</w:t>
      </w:r>
    </w:p>
    <w:p>
      <w:pPr>
        <w:pStyle w:val="ListParagraph"/>
        <w:numPr>
          <w:ilvl w:val="0"/>
          <w:numId w:val="2"/>
        </w:numPr>
        <w:spacing w:after="70"/>
      </w:pPr>
      <w:r>
        <w:rPr>
          <w:color w:val="26303D"/>
          <w:sz w:val="20"/>
          <w:szCs w:val="20"/>
        </w:rPr>
        <w:t xml:space="preserve">Las medidas numéricas llevan ceros a la izquierda para mantener una longitud fija dentro de cada familia (por ejemplo, ala 050, espesor 003). Así los códigos de una misma familia se ordenan y alinean bien.</w:t>
      </w:r>
    </w:p>
    <w:p>
      <w:pPr>
        <w:pStyle w:val="ListParagraph"/>
        <w:numPr>
          <w:ilvl w:val="0"/>
          <w:numId w:val="2"/>
        </w:numPr>
        <w:spacing w:after="70"/>
      </w:pPr>
      <w:r>
        <w:rPr>
          <w:color w:val="26303D"/>
          <w:sz w:val="20"/>
          <w:szCs w:val="20"/>
        </w:rPr>
        <w:t xml:space="preserve">Cada código es único por empresa (tenant): cada empresa numera y administra su propio catálogo.</w:t>
      </w:r>
    </w:p>
    <w:p>
      <w:pPr>
        <w:pStyle w:val="ListParagraph"/>
        <w:numPr>
          <w:ilvl w:val="0"/>
          <w:numId w:val="2"/>
        </w:numPr>
        <w:spacing w:after="70"/>
      </w:pPr>
      <w:r>
        <w:rPr>
          <w:color w:val="26303D"/>
          <w:sz w:val="20"/>
          <w:szCs w:val="20"/>
        </w:rPr>
        <w:t xml:space="preserve">Una vez asignado, un código no se reutiliza ni se reasigna, aunque el registro se desactive.</w:t>
      </w:r>
    </w:p>
    <w:p>
      <w:pPr>
        <w:pStyle w:val="ListParagraph"/>
        <w:numPr>
          <w:ilvl w:val="0"/>
          <w:numId w:val="2"/>
        </w:numPr>
        <w:spacing w:after="70"/>
      </w:pPr>
      <w:r>
        <w:rPr>
          <w:rFonts w:ascii="Arial" w:cs="Arial" w:eastAsia="Arial" w:hAnsi="Arial"/>
          <w:b/>
          <w:bCs/>
          <w:color w:val="B23B2E"/>
          <w:sz w:val="20"/>
          <w:szCs w:val="20"/>
        </w:rPr>
        <w:t xml:space="preserve">Importante (productos): </w:t>
      </w:r>
      <w:r>
        <w:rPr>
          <w:color w:val="26303D"/>
          <w:sz w:val="20"/>
          <w:szCs w:val="20"/>
        </w:rPr>
        <w:t xml:space="preserve">en el sistema actual el SKU de un producto no se puede editar después de crearlo. Si se captura mal, hay que desactivar ese producto y crear uno nuevo. Capturar con cuidado.</w:t>
      </w:r>
    </w:p>
    <w:p>
      <w:pPr>
        <w:pStyle w:val="Heading1"/>
        <w:pBdr>
          <w:bottom w:val="single" w:color="1A56DB" w:sz="6" w:space="3"/>
        </w:pBdr>
        <w:spacing w:after="140" w:before="320"/>
      </w:pPr>
      <w:r>
        <w:rPr>
          <w:b/>
          <w:bCs/>
          <w:color w:val="12203A"/>
          <w:sz w:val="26"/>
          <w:szCs w:val="26"/>
        </w:rPr>
        <w:t xml:space="preserve">2. Códigos de cliente y proveedor</w:t>
      </w:r>
    </w:p>
    <w:p>
      <w:pPr>
        <w:spacing w:after="120"/>
      </w:pPr>
      <w:r>
        <w:rPr>
          <w:color w:val="26303D"/>
          <w:sz w:val="20"/>
          <w:szCs w:val="20"/>
        </w:rPr>
        <w:t xml:space="preserve">Los clientes y los proveedores comparten la misma tabla en el sistema (tabla business_partners). El código distingue el rol mediante el prefijo:</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2300"/>
      </w:tblGrid>
      <w:tr>
        <w:trPr>
          <w:tblHeader/>
        </w:trPr>
        <w:tc>
          <w:tcPr>
            <w:tcW w:type="dxa" w:w="42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Tipo de socio</w:t>
            </w:r>
          </w:p>
        </w:tc>
        <w:tc>
          <w:tcPr>
            <w:tcW w:type="dxa" w:w="18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Prefijo</w:t>
            </w:r>
          </w:p>
        </w:tc>
        <w:tc>
          <w:tcPr>
            <w:tcW w:type="dxa" w:w="23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Ejemplo</w:t>
            </w:r>
          </w:p>
        </w:tc>
      </w:tr>
      <w:tr>
        <w:tc>
          <w:tcPr>
            <w:tcW w:type="dxa" w:w="42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bCs/>
                <w:color w:val="1F2733"/>
                <w:sz w:val="18"/>
                <w:szCs w:val="18"/>
              </w:rPr>
              <w:t xml:space="preserve">Cliente</w:t>
            </w:r>
          </w:p>
        </w:tc>
        <w:tc>
          <w:tcPr>
            <w:tcW w:type="dxa" w:w="18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CL</w:t>
            </w:r>
          </w:p>
        </w:tc>
        <w:tc>
          <w:tcPr>
            <w:tcW w:type="dxa" w:w="23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0B6E3B"/>
                <w:sz w:val="18"/>
                <w:szCs w:val="18"/>
              </w:rPr>
              <w:t xml:space="preserve">CL-0001</w:t>
            </w:r>
          </w:p>
        </w:tc>
      </w:tr>
      <w:tr>
        <w:tc>
          <w:tcPr>
            <w:tcW w:type="dxa" w:w="42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bCs/>
                <w:color w:val="1F2733"/>
                <w:sz w:val="18"/>
                <w:szCs w:val="18"/>
              </w:rPr>
              <w:t xml:space="preserve">Proveedor</w:t>
            </w:r>
          </w:p>
        </w:tc>
        <w:tc>
          <w:tcPr>
            <w:tcW w:type="dxa" w:w="18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PR</w:t>
            </w:r>
          </w:p>
        </w:tc>
        <w:tc>
          <w:tcPr>
            <w:tcW w:type="dxa" w:w="23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0B6E3B"/>
                <w:sz w:val="18"/>
                <w:szCs w:val="18"/>
              </w:rPr>
              <w:t xml:space="preserve">PR-0001</w:t>
            </w:r>
          </w:p>
        </w:tc>
      </w:tr>
      <w:tr>
        <w:tc>
          <w:tcPr>
            <w:tcW w:type="dxa" w:w="42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bCs/>
                <w:color w:val="1F2733"/>
                <w:sz w:val="18"/>
                <w:szCs w:val="18"/>
              </w:rPr>
              <w:t xml:space="preserve">Cliente y proveedor a la vez</w:t>
            </w:r>
          </w:p>
        </w:tc>
        <w:tc>
          <w:tcPr>
            <w:tcW w:type="dxa" w:w="18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CP</w:t>
            </w:r>
          </w:p>
        </w:tc>
        <w:tc>
          <w:tcPr>
            <w:tcW w:type="dxa" w:w="23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0B6E3B"/>
                <w:sz w:val="18"/>
                <w:szCs w:val="18"/>
              </w:rPr>
              <w:t xml:space="preserve">CP-0001</w:t>
            </w:r>
          </w:p>
        </w:tc>
      </w:tr>
    </w:tbl>
    <w:p>
      <w:pPr>
        <w:spacing w:after="60"/>
      </w:pPr>
      <w:r>
        <w:t xml:space="preserve"/>
      </w:r>
    </w:p>
    <w:p>
      <w:pPr>
        <w:pStyle w:val="ListParagraph"/>
        <w:numPr>
          <w:ilvl w:val="0"/>
          <w:numId w:val="2"/>
        </w:numPr>
        <w:spacing w:after="70"/>
      </w:pPr>
      <w:r>
        <w:rPr>
          <w:color w:val="26303D"/>
          <w:sz w:val="20"/>
          <w:szCs w:val="20"/>
        </w:rPr>
        <w:t xml:space="preserve">El consecutivo es de 4 dígitos y se asigna en orden de alta. La numeración es independiente por prefijo.</w:t>
      </w:r>
    </w:p>
    <w:p>
      <w:pPr>
        <w:pStyle w:val="ListParagraph"/>
        <w:numPr>
          <w:ilvl w:val="0"/>
          <w:numId w:val="2"/>
        </w:numPr>
        <w:spacing w:after="70"/>
      </w:pPr>
      <w:r>
        <w:rPr>
          <w:color w:val="26303D"/>
          <w:sz w:val="20"/>
          <w:szCs w:val="20"/>
        </w:rPr>
        <w:t xml:space="preserve">Si un socio cambia de rol —por ejemplo, un cliente que además empieza a vendernos— se actualiza el prefijo a CP conservando el mismo consecutivo (CL-0001 pasa a CP-0001).</w:t>
      </w:r>
    </w:p>
    <w:p>
      <w:pPr>
        <w:pStyle w:val="ListParagraph"/>
        <w:numPr>
          <w:ilvl w:val="0"/>
          <w:numId w:val="2"/>
        </w:numPr>
        <w:spacing w:after="70"/>
      </w:pPr>
      <w:r>
        <w:rPr>
          <w:color w:val="26303D"/>
          <w:sz w:val="20"/>
          <w:szCs w:val="20"/>
        </w:rPr>
        <w:t xml:space="preserve">El código no se reutiliza aunque el socio se desactive.</w:t>
      </w:r>
    </w:p>
    <w:p>
      <w:pPr>
        <w:pStyle w:val="Heading1"/>
        <w:pBdr>
          <w:bottom w:val="single" w:color="1A56DB" w:sz="6" w:space="3"/>
        </w:pBdr>
        <w:spacing w:after="140" w:before="320"/>
      </w:pPr>
      <w:r>
        <w:rPr>
          <w:b/>
          <w:bCs/>
          <w:color w:val="12203A"/>
          <w:sz w:val="26"/>
          <w:szCs w:val="26"/>
        </w:rPr>
        <w:t xml:space="preserve">3. Nomenclatura de productos</w:t>
      </w:r>
    </w:p>
    <w:p>
      <w:pPr>
        <w:spacing w:after="120"/>
      </w:pPr>
      <w:r>
        <w:rPr>
          <w:color w:val="26303D"/>
          <w:sz w:val="20"/>
          <w:szCs w:val="20"/>
        </w:rPr>
        <w:t xml:space="preserve">Cada familia de producto tiene un prefijo fijo y una estructura propia. Los segmentos entre corchetes se sustituyen por los valores reales del artículo. Las abreviaturas de resina, material, terminado y color están en la sección 5.</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50"/>
        <w:gridCol w:w="1100"/>
        <w:gridCol w:w="3300"/>
        <w:gridCol w:w="2150"/>
        <w:gridCol w:w="4560"/>
      </w:tblGrid>
      <w:tr>
        <w:trPr>
          <w:tblHeader/>
        </w:trPr>
        <w:tc>
          <w:tcPr>
            <w:tcW w:type="dxa" w:w="185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Familia</w:t>
            </w:r>
          </w:p>
        </w:tc>
        <w:tc>
          <w:tcPr>
            <w:tcW w:type="dxa" w:w="11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Prefijo</w:t>
            </w:r>
          </w:p>
        </w:tc>
        <w:tc>
          <w:tcPr>
            <w:tcW w:type="dxa" w:w="33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Estructura del código</w:t>
            </w:r>
          </w:p>
        </w:tc>
        <w:tc>
          <w:tcPr>
            <w:tcW w:type="dxa" w:w="215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Ejemplo</w:t>
            </w:r>
          </w:p>
        </w:tc>
        <w:tc>
          <w:tcPr>
            <w:tcW w:type="dxa" w:w="456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Descripción y regla de uso</w:t>
            </w:r>
          </w:p>
        </w:tc>
      </w:tr>
      <w:tr>
        <w:tc>
          <w:tcPr>
            <w:tcW w:type="dxa" w:w="185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bCs/>
                <w:color w:val="1F2733"/>
                <w:sz w:val="18"/>
                <w:szCs w:val="18"/>
              </w:rPr>
              <w:t xml:space="preserve">Esquinero de plástico</w:t>
            </w:r>
          </w:p>
        </w:tc>
        <w:tc>
          <w:tcPr>
            <w:tcW w:type="dxa" w:w="11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ESQ-PL</w:t>
            </w:r>
          </w:p>
        </w:tc>
        <w:tc>
          <w:tcPr>
            <w:tcW w:type="dxa" w:w="33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val="false"/>
                <w:bCs w:val="false"/>
                <w:color w:val="1F2733"/>
                <w:sz w:val="18"/>
                <w:szCs w:val="18"/>
              </w:rPr>
              <w:t xml:space="preserve">ESQ-PL-[resina]-[largo]-[ala]-[espesor]</w:t>
            </w:r>
          </w:p>
        </w:tc>
        <w:tc>
          <w:tcPr>
            <w:tcW w:type="dxa" w:w="215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0B6E3B"/>
                <w:sz w:val="18"/>
                <w:szCs w:val="18"/>
              </w:rPr>
              <w:t xml:space="preserve">ESQ-PL-PP-120-050-003</w:t>
            </w:r>
          </w:p>
        </w:tc>
        <w:tc>
          <w:tcPr>
            <w:tcW w:type="dxa" w:w="456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Resina: PP o PE. Largo en CENTÍMETROS; ala y espesor en MILÍMETROS. Es la única familia con unidades mezcladas — verificar al capturar.</w:t>
            </w:r>
          </w:p>
        </w:tc>
      </w:tr>
      <w:tr>
        <w:tc>
          <w:tcPr>
            <w:tcW w:type="dxa" w:w="185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bCs/>
                <w:color w:val="1F2733"/>
                <w:sz w:val="18"/>
                <w:szCs w:val="18"/>
              </w:rPr>
              <w:t xml:space="preserve">Esquinero de cartón</w:t>
            </w:r>
          </w:p>
        </w:tc>
        <w:tc>
          <w:tcPr>
            <w:tcW w:type="dxa" w:w="11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ESQ-CR</w:t>
            </w:r>
          </w:p>
        </w:tc>
        <w:tc>
          <w:tcPr>
            <w:tcW w:type="dxa" w:w="33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val="false"/>
                <w:bCs w:val="false"/>
                <w:color w:val="1F2733"/>
                <w:sz w:val="18"/>
                <w:szCs w:val="18"/>
              </w:rPr>
              <w:t xml:space="preserve">ESQ-CR-[largo]-[ala]-[espesor]</w:t>
            </w:r>
          </w:p>
        </w:tc>
        <w:tc>
          <w:tcPr>
            <w:tcW w:type="dxa" w:w="215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0B6E3B"/>
                <w:sz w:val="18"/>
                <w:szCs w:val="18"/>
              </w:rPr>
              <w:t xml:space="preserve">ESQ-CR-120-050-005</w:t>
            </w:r>
          </w:p>
        </w:tc>
        <w:tc>
          <w:tcPr>
            <w:tcW w:type="dxa" w:w="456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Largo en CENTÍMETROS; ala y espesor en MILÍMETROS. Sin segmento de resina porque el material es cartón.</w:t>
            </w:r>
          </w:p>
        </w:tc>
      </w:tr>
      <w:tr>
        <w:tc>
          <w:tcPr>
            <w:tcW w:type="dxa" w:w="185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bCs/>
                <w:color w:val="1F2733"/>
                <w:sz w:val="18"/>
                <w:szCs w:val="18"/>
              </w:rPr>
              <w:t xml:space="preserve">Sello metálico para fleje</w:t>
            </w:r>
          </w:p>
        </w:tc>
        <w:tc>
          <w:tcPr>
            <w:tcW w:type="dxa" w:w="11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SEL</w:t>
            </w:r>
          </w:p>
        </w:tc>
        <w:tc>
          <w:tcPr>
            <w:tcW w:type="dxa" w:w="33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val="false"/>
                <w:bCs w:val="false"/>
                <w:color w:val="1F2733"/>
                <w:sz w:val="18"/>
                <w:szCs w:val="18"/>
              </w:rPr>
              <w:t xml:space="preserve">SEL-[medida de fleje]-[calibre]-[terminado]</w:t>
            </w:r>
          </w:p>
        </w:tc>
        <w:tc>
          <w:tcPr>
            <w:tcW w:type="dxa" w:w="215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0B6E3B"/>
                <w:sz w:val="18"/>
                <w:szCs w:val="18"/>
              </w:rPr>
              <w:t xml:space="preserve">SEL-12-26-CUA</w:t>
            </w:r>
          </w:p>
        </w:tc>
        <w:tc>
          <w:tcPr>
            <w:tcW w:type="dxa" w:w="456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Medida de fleje = ancho del fleje compatible (mm). Calibre = calibre del sello según la escala del proveedor. Terminado: CUA cuadrado o RED redondeado.</w:t>
            </w:r>
          </w:p>
        </w:tc>
      </w:tr>
      <w:tr>
        <w:tc>
          <w:tcPr>
            <w:tcW w:type="dxa" w:w="185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bCs/>
                <w:color w:val="1F2733"/>
                <w:sz w:val="18"/>
                <w:szCs w:val="18"/>
              </w:rPr>
              <w:t xml:space="preserve">Fleje</w:t>
            </w:r>
          </w:p>
        </w:tc>
        <w:tc>
          <w:tcPr>
            <w:tcW w:type="dxa" w:w="11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FLE</w:t>
            </w:r>
          </w:p>
        </w:tc>
        <w:tc>
          <w:tcPr>
            <w:tcW w:type="dxa" w:w="33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val="false"/>
                <w:bCs w:val="false"/>
                <w:color w:val="1F2733"/>
                <w:sz w:val="18"/>
                <w:szCs w:val="18"/>
              </w:rPr>
              <w:t xml:space="preserve">FLE-[material]-[ancho]-[espesor]-[terminado]-[color]</w:t>
            </w:r>
          </w:p>
        </w:tc>
        <w:tc>
          <w:tcPr>
            <w:tcW w:type="dxa" w:w="215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0B6E3B"/>
                <w:sz w:val="18"/>
                <w:szCs w:val="18"/>
              </w:rPr>
              <w:t xml:space="preserve">FLE-PET-016-0.8-LIS-AZU</w:t>
            </w:r>
          </w:p>
        </w:tc>
        <w:tc>
          <w:tcPr>
            <w:tcW w:type="dxa" w:w="456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Material: PP, PET o ACE (acero). Ancho y espesor en MILÍMETROS. Terminado: MOL moleteado o LIS liso. Color según el catálogo de abreviaturas.</w:t>
            </w:r>
          </w:p>
        </w:tc>
      </w:tr>
      <w:tr>
        <w:tc>
          <w:tcPr>
            <w:tcW w:type="dxa" w:w="185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bCs/>
                <w:color w:val="1F2733"/>
                <w:sz w:val="18"/>
                <w:szCs w:val="18"/>
              </w:rPr>
              <w:t xml:space="preserve">Herramientas</w:t>
            </w:r>
          </w:p>
        </w:tc>
        <w:tc>
          <w:tcPr>
            <w:tcW w:type="dxa" w:w="11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HER</w:t>
            </w:r>
          </w:p>
        </w:tc>
        <w:tc>
          <w:tcPr>
            <w:tcW w:type="dxa" w:w="33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val="false"/>
                <w:bCs w:val="false"/>
                <w:color w:val="1F2733"/>
                <w:sz w:val="18"/>
                <w:szCs w:val="18"/>
              </w:rPr>
              <w:t xml:space="preserve">HER-[tipo]-[consecutivo]</w:t>
            </w:r>
          </w:p>
        </w:tc>
        <w:tc>
          <w:tcPr>
            <w:tcW w:type="dxa" w:w="215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0B6E3B"/>
                <w:sz w:val="18"/>
                <w:szCs w:val="18"/>
              </w:rPr>
              <w:t xml:space="preserve">HER-FLA-001</w:t>
            </w:r>
          </w:p>
        </w:tc>
        <w:tc>
          <w:tcPr>
            <w:tcW w:type="dxa" w:w="456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Tipo: PIN, FLA, ETQ, ENC, APE (ver abreviaturas). Consecutivo de 3 dígitos para distinguir unidades iguales. Si la variante importa (p. ej. neumática), se intercala: HER-FLA-NEU-001.</w:t>
            </w:r>
          </w:p>
        </w:tc>
      </w:tr>
      <w:tr>
        <w:tc>
          <w:tcPr>
            <w:tcW w:type="dxa" w:w="185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bCs/>
                <w:color w:val="1F2733"/>
                <w:sz w:val="18"/>
                <w:szCs w:val="18"/>
              </w:rPr>
              <w:t xml:space="preserve">Materia prima</w:t>
            </w:r>
          </w:p>
        </w:tc>
        <w:tc>
          <w:tcPr>
            <w:tcW w:type="dxa" w:w="11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MP</w:t>
            </w:r>
          </w:p>
        </w:tc>
        <w:tc>
          <w:tcPr>
            <w:tcW w:type="dxa" w:w="33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val="false"/>
                <w:bCs w:val="false"/>
                <w:color w:val="1F2733"/>
                <w:sz w:val="18"/>
                <w:szCs w:val="18"/>
              </w:rPr>
              <w:t xml:space="preserve">MP-[resina]-[presentación]</w:t>
            </w:r>
          </w:p>
        </w:tc>
        <w:tc>
          <w:tcPr>
            <w:tcW w:type="dxa" w:w="215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0B6E3B"/>
                <w:sz w:val="18"/>
                <w:szCs w:val="18"/>
              </w:rPr>
              <w:t xml:space="preserve">MP-PP-MOL</w:t>
            </w:r>
          </w:p>
        </w:tc>
        <w:tc>
          <w:tcPr>
            <w:tcW w:type="dxa" w:w="456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Resina: PP o PE. Presentación: MOL molido, PEL pellets o PZA pieza. Opcional: agregar origen VIR (virgen) o REC (reciclado) cuando el costeo lo requiera — MP-PP-PEL-VIR.</w:t>
            </w:r>
          </w:p>
        </w:tc>
      </w:tr>
      <w:tr>
        <w:tc>
          <w:tcPr>
            <w:tcW w:type="dxa" w:w="185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bCs/>
                <w:color w:val="1F2733"/>
                <w:sz w:val="18"/>
                <w:szCs w:val="18"/>
              </w:rPr>
              <w:t xml:space="preserve">Emplaye</w:t>
            </w:r>
          </w:p>
        </w:tc>
        <w:tc>
          <w:tcPr>
            <w:tcW w:type="dxa" w:w="11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EMP</w:t>
            </w:r>
          </w:p>
        </w:tc>
        <w:tc>
          <w:tcPr>
            <w:tcW w:type="dxa" w:w="33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val="false"/>
                <w:bCs w:val="false"/>
                <w:color w:val="1F2733"/>
                <w:sz w:val="18"/>
                <w:szCs w:val="18"/>
              </w:rPr>
              <w:t xml:space="preserve">EMP-[uso]-[ancho]-[largo]-[calibre]</w:t>
            </w:r>
          </w:p>
        </w:tc>
        <w:tc>
          <w:tcPr>
            <w:tcW w:type="dxa" w:w="215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0B6E3B"/>
                <w:sz w:val="18"/>
                <w:szCs w:val="18"/>
              </w:rPr>
              <w:t xml:space="preserve">EMP-MAN-18-1000-0.02</w:t>
            </w:r>
          </w:p>
        </w:tc>
        <w:tc>
          <w:tcPr>
            <w:tcW w:type="dxa" w:w="456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Uso: MAN manual o MAQ máquina. Ancho en PULGADAS, largo en PIES, calibre en MILÍMETROS.</w:t>
            </w:r>
          </w:p>
        </w:tc>
      </w:tr>
      <w:tr>
        <w:tc>
          <w:tcPr>
            <w:tcW w:type="dxa" w:w="185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bCs/>
                <w:color w:val="1F2733"/>
                <w:sz w:val="18"/>
                <w:szCs w:val="18"/>
              </w:rPr>
              <w:t xml:space="preserve">Etiqueta de trazabilidad</w:t>
            </w:r>
          </w:p>
        </w:tc>
        <w:tc>
          <w:tcPr>
            <w:tcW w:type="dxa" w:w="11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ETI</w:t>
            </w:r>
          </w:p>
        </w:tc>
        <w:tc>
          <w:tcPr>
            <w:tcW w:type="dxa" w:w="33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val="false"/>
                <w:bCs w:val="false"/>
                <w:color w:val="1F2733"/>
                <w:sz w:val="18"/>
                <w:szCs w:val="18"/>
              </w:rPr>
              <w:t xml:space="preserve">ETI-[tipo]-[material]-[ancho]x[alto]-[variante]</w:t>
            </w:r>
          </w:p>
        </w:tc>
        <w:tc>
          <w:tcPr>
            <w:tcW w:type="dxa" w:w="215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0B6E3B"/>
                <w:sz w:val="18"/>
                <w:szCs w:val="18"/>
              </w:rPr>
              <w:t xml:space="preserve">ETI-TD-PAP-100x050-01</w:t>
            </w:r>
          </w:p>
        </w:tc>
        <w:tc>
          <w:tcPr>
            <w:tcW w:type="dxa" w:w="456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Tipo: TD térmica directa o TT transferencia térmica. Material: PAP papel o BOP BOPP. Ancho x alto en MILÍMETROS. La variante de 2 dígitos identifica centro, etiquetas al paso, pleca y si es personalizada o genérica; cada variante se registra en la sección 4.</w:t>
            </w:r>
          </w:p>
        </w:tc>
      </w:tr>
      <w:tr>
        <w:tc>
          <w:tcPr>
            <w:tcW w:type="dxa" w:w="185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bCs/>
                <w:color w:val="1F2733"/>
                <w:sz w:val="18"/>
                <w:szCs w:val="18"/>
              </w:rPr>
              <w:t xml:space="preserve">Ribbon</w:t>
            </w:r>
          </w:p>
        </w:tc>
        <w:tc>
          <w:tcPr>
            <w:tcW w:type="dxa" w:w="11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RIB</w:t>
            </w:r>
          </w:p>
        </w:tc>
        <w:tc>
          <w:tcPr>
            <w:tcW w:type="dxa" w:w="33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val="false"/>
                <w:bCs w:val="false"/>
                <w:color w:val="1F2733"/>
                <w:sz w:val="18"/>
                <w:szCs w:val="18"/>
              </w:rPr>
              <w:t xml:space="preserve">RIB-[tipo]-[ancho]-[largo]-[centro]</w:t>
            </w:r>
          </w:p>
        </w:tc>
        <w:tc>
          <w:tcPr>
            <w:tcW w:type="dxa" w:w="215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0B6E3B"/>
                <w:sz w:val="18"/>
                <w:szCs w:val="18"/>
              </w:rPr>
              <w:t xml:space="preserve">RIB-CER-110-300-1</w:t>
            </w:r>
          </w:p>
        </w:tc>
        <w:tc>
          <w:tcPr>
            <w:tcW w:type="dxa" w:w="456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Tipo: CER cera, CRE cera-resina o RES resina. Ancho en MILÍMETROS, largo en METROS, centro en PULGADAS.</w:t>
            </w:r>
          </w:p>
        </w:tc>
      </w:tr>
      <w:tr>
        <w:tc>
          <w:tcPr>
            <w:tcW w:type="dxa" w:w="185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bCs/>
                <w:color w:val="1F2733"/>
                <w:sz w:val="18"/>
                <w:szCs w:val="18"/>
              </w:rPr>
              <w:t xml:space="preserve">Cincho de plástico</w:t>
            </w:r>
          </w:p>
        </w:tc>
        <w:tc>
          <w:tcPr>
            <w:tcW w:type="dxa" w:w="11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CIN</w:t>
            </w:r>
          </w:p>
        </w:tc>
        <w:tc>
          <w:tcPr>
            <w:tcW w:type="dxa" w:w="33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val="false"/>
                <w:bCs w:val="false"/>
                <w:color w:val="1F2733"/>
                <w:sz w:val="18"/>
                <w:szCs w:val="18"/>
              </w:rPr>
              <w:t xml:space="preserve">CIN-[largo]-[ancho]-[color]</w:t>
            </w:r>
          </w:p>
        </w:tc>
        <w:tc>
          <w:tcPr>
            <w:tcW w:type="dxa" w:w="215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0B6E3B"/>
                <w:sz w:val="18"/>
                <w:szCs w:val="18"/>
              </w:rPr>
              <w:t xml:space="preserve">CIN-200-036-NEG</w:t>
            </w:r>
          </w:p>
        </w:tc>
        <w:tc>
          <w:tcPr>
            <w:tcW w:type="dxa" w:w="456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Largo y ancho en MILÍMETROS. Color según el catálogo de abreviaturas.</w:t>
            </w:r>
          </w:p>
        </w:tc>
      </w:tr>
      <w:tr>
        <w:tc>
          <w:tcPr>
            <w:tcW w:type="dxa" w:w="185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bCs/>
                <w:color w:val="1F2733"/>
                <w:sz w:val="18"/>
                <w:szCs w:val="18"/>
              </w:rPr>
              <w:t xml:space="preserve">Candado tipo perno</w:t>
            </w:r>
          </w:p>
        </w:tc>
        <w:tc>
          <w:tcPr>
            <w:tcW w:type="dxa" w:w="11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CAN</w:t>
            </w:r>
          </w:p>
        </w:tc>
        <w:tc>
          <w:tcPr>
            <w:tcW w:type="dxa" w:w="33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val="false"/>
                <w:bCs w:val="false"/>
                <w:color w:val="1F2733"/>
                <w:sz w:val="18"/>
                <w:szCs w:val="18"/>
              </w:rPr>
              <w:t xml:space="preserve">CAN-[color]-[consecutivo]</w:t>
            </w:r>
          </w:p>
        </w:tc>
        <w:tc>
          <w:tcPr>
            <w:tcW w:type="dxa" w:w="215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0B6E3B"/>
                <w:sz w:val="18"/>
                <w:szCs w:val="18"/>
              </w:rPr>
              <w:t xml:space="preserve">CAN-ROJ-001</w:t>
            </w:r>
          </w:p>
        </w:tc>
        <w:tc>
          <w:tcPr>
            <w:tcW w:type="dxa" w:w="456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El tamaño es fijo, por eso no se codifica medida. Color según el catálogo + consecutivo de 3 dígitos.</w:t>
            </w:r>
          </w:p>
        </w:tc>
      </w:tr>
      <w:tr>
        <w:tc>
          <w:tcPr>
            <w:tcW w:type="dxa" w:w="18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1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33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21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456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r>
      <w:tr>
        <w:tc>
          <w:tcPr>
            <w:tcW w:type="dxa" w:w="18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1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33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21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456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r>
      <w:tr>
        <w:tc>
          <w:tcPr>
            <w:tcW w:type="dxa" w:w="18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1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33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21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456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r>
      <w:tr>
        <w:tc>
          <w:tcPr>
            <w:tcW w:type="dxa" w:w="18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1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33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21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456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r>
    </w:tbl>
    <w:p>
      <w:pPr>
        <w:spacing w:after="0" w:before="100"/>
      </w:pPr>
      <w:r>
        <w:rPr>
          <w:i/>
          <w:iCs/>
          <w:color w:val="6B7585"/>
          <w:sz w:val="17"/>
          <w:szCs w:val="17"/>
        </w:rPr>
        <w:t xml:space="preserve">Las últimas filas están en blanco para agregar familias de producto a mano.</w:t>
      </w:r>
    </w:p>
    <w:p>
      <w:pPr>
        <w:pStyle w:val="Heading1"/>
        <w:pageBreakBefore/>
        <w:pBdr>
          <w:bottom w:val="single" w:color="1A56DB" w:sz="6" w:space="3"/>
        </w:pBdr>
      </w:pPr>
      <w:r>
        <w:rPr>
          <w:b/>
          <w:bCs/>
          <w:color w:val="12203A"/>
          <w:sz w:val="26"/>
          <w:szCs w:val="26"/>
        </w:rPr>
        <w:t xml:space="preserve">4. Registro de variantes de etiqueta</w:t>
      </w:r>
    </w:p>
    <w:p>
      <w:pPr>
        <w:spacing w:after="120"/>
      </w:pPr>
      <w:r>
        <w:rPr>
          <w:color w:val="26303D"/>
          <w:sz w:val="20"/>
          <w:szCs w:val="20"/>
        </w:rPr>
        <w:t xml:space="preserve">El código de etiqueta describe solo lo estructural (tipo, material y medida) más una variante de 2 dígitos. Esta tabla registra qué significa cada variante: centro, etiquetas al paso, pleca y si es personalizada o genérica. Cada combinación nueva se anota como una variante más, sin alargar el código.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500"/>
        <w:gridCol w:w="1450"/>
        <w:gridCol w:w="1900"/>
        <w:gridCol w:w="1350"/>
        <w:gridCol w:w="2100"/>
        <w:gridCol w:w="3660"/>
      </w:tblGrid>
      <w:tr>
        <w:trPr>
          <w:tblHeader/>
        </w:trPr>
        <w:tc>
          <w:tcPr>
            <w:tcW w:type="dxa" w:w="25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Código de variante</w:t>
            </w:r>
          </w:p>
        </w:tc>
        <w:tc>
          <w:tcPr>
            <w:tcW w:type="dxa" w:w="145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Centro (in)</w:t>
            </w:r>
          </w:p>
        </w:tc>
        <w:tc>
          <w:tcPr>
            <w:tcW w:type="dxa" w:w="19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Etiquetas al paso</w:t>
            </w:r>
          </w:p>
        </w:tc>
        <w:tc>
          <w:tcPr>
            <w:tcW w:type="dxa" w:w="135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Pleca</w:t>
            </w:r>
          </w:p>
        </w:tc>
        <w:tc>
          <w:tcPr>
            <w:tcW w:type="dxa" w:w="21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Tipo</w:t>
            </w:r>
          </w:p>
        </w:tc>
        <w:tc>
          <w:tcPr>
            <w:tcW w:type="dxa" w:w="366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Cliente / Notas</w:t>
            </w:r>
          </w:p>
        </w:tc>
      </w:tr>
      <w:tr>
        <w:tc>
          <w:tcPr>
            <w:tcW w:type="dxa" w:w="25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val="false"/>
                <w:bCs w:val="false"/>
                <w:color w:val="1F2733"/>
                <w:sz w:val="18"/>
                <w:szCs w:val="18"/>
              </w:rPr>
              <w:t xml:space="preserve">ETI-TD-PAP-100x050-01</w:t>
            </w:r>
          </w:p>
        </w:tc>
        <w:tc>
          <w:tcPr>
            <w:tcW w:type="dxa" w:w="145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1</w:t>
            </w:r>
          </w:p>
        </w:tc>
        <w:tc>
          <w:tcPr>
            <w:tcW w:type="dxa" w:w="19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1</w:t>
            </w:r>
          </w:p>
        </w:tc>
        <w:tc>
          <w:tcPr>
            <w:tcW w:type="dxa" w:w="135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Sin pleca</w:t>
            </w:r>
          </w:p>
        </w:tc>
        <w:tc>
          <w:tcPr>
            <w:tcW w:type="dxa" w:w="21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Genérica</w:t>
            </w:r>
          </w:p>
        </w:tc>
        <w:tc>
          <w:tcPr>
            <w:tcW w:type="dxa" w:w="366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6B7585"/>
                <w:sz w:val="18"/>
                <w:szCs w:val="18"/>
              </w:rPr>
              <w:t xml:space="preserve">Ejemplo de referencia</w:t>
            </w:r>
          </w:p>
        </w:tc>
      </w:tr>
      <w:tr>
        <w:tc>
          <w:tcPr>
            <w:tcW w:type="dxa" w:w="25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4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9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3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21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366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r>
      <w:tr>
        <w:tc>
          <w:tcPr>
            <w:tcW w:type="dxa" w:w="25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4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9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3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21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366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r>
      <w:tr>
        <w:tc>
          <w:tcPr>
            <w:tcW w:type="dxa" w:w="25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4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9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3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21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366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r>
      <w:tr>
        <w:tc>
          <w:tcPr>
            <w:tcW w:type="dxa" w:w="25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4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9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3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21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366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r>
      <w:tr>
        <w:tc>
          <w:tcPr>
            <w:tcW w:type="dxa" w:w="25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4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9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3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21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366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r>
      <w:tr>
        <w:tc>
          <w:tcPr>
            <w:tcW w:type="dxa" w:w="25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4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9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3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21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366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r>
      <w:tr>
        <w:tc>
          <w:tcPr>
            <w:tcW w:type="dxa" w:w="25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4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9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3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21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366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r>
      <w:tr>
        <w:tc>
          <w:tcPr>
            <w:tcW w:type="dxa" w:w="25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4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9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135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210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c>
          <w:tcPr>
            <w:tcW w:type="dxa" w:w="3660"/>
            <w:tcBorders>
              <w:top w:val="single" w:color="C9D2E3" w:sz="1"/>
              <w:left w:val="single" w:color="C9D2E3" w:sz="1"/>
              <w:bottom w:val="single" w:color="C9D2E3" w:sz="1"/>
              <w:right w:val="single" w:color="C9D2E3" w:sz="1"/>
            </w:tcBorders>
            <w:shd w:fill="FAFBFD" w:val="clear"/>
            <w:tcMar>
              <w:top w:type="dxa" w:w="90"/>
              <w:left w:type="dxa" w:w="130"/>
              <w:bottom w:type="dxa" w:w="90"/>
              <w:right w:type="dxa" w:w="130"/>
            </w:tcMar>
          </w:tcPr>
          <w:p>
            <w:r>
              <w:t xml:space="preserve"> </w:t>
            </w:r>
          </w:p>
        </w:tc>
      </w:tr>
    </w:tbl>
    <w:p>
      <w:pPr>
        <w:spacing w:after="0" w:before="100"/>
      </w:pPr>
      <w:r>
        <w:rPr>
          <w:i/>
          <w:iCs/>
          <w:color w:val="6B7585"/>
          <w:sz w:val="17"/>
          <w:szCs w:val="17"/>
        </w:rPr>
        <w:t xml:space="preserve">Las etiquetas personalizadas cambian por cliente: anotar el cliente en la última columna.</w:t>
      </w:r>
    </w:p>
    <w:p>
      <w:pPr>
        <w:pStyle w:val="Heading1"/>
        <w:pBdr>
          <w:bottom w:val="single" w:color="1A56DB" w:sz="6" w:space="3"/>
        </w:pBdr>
        <w:spacing w:after="140" w:before="320"/>
      </w:pPr>
      <w:r>
        <w:rPr>
          <w:b/>
          <w:bCs/>
          <w:color w:val="12203A"/>
          <w:sz w:val="26"/>
          <w:szCs w:val="26"/>
        </w:rPr>
        <w:t xml:space="preserve">5. Catálogo de abreviaturas</w:t>
      </w:r>
    </w:p>
    <w:p>
      <w:pPr>
        <w:spacing w:after="90" w:before="220"/>
      </w:pPr>
      <w:r>
        <w:rPr>
          <w:b/>
          <w:bCs/>
          <w:color w:val="1A56DB"/>
          <w:sz w:val="21"/>
          <w:szCs w:val="21"/>
        </w:rPr>
        <w:t xml:space="preserve">Resinas (esquineros y materia prima)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rPr>
          <w:tblHeader/>
        </w:trPr>
        <w:tc>
          <w:tcPr>
            <w:tcW w:type="dxa" w:w="24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Código</w:t>
            </w:r>
          </w:p>
        </w:tc>
        <w:tc>
          <w:tcPr>
            <w:tcW w:type="dxa" w:w="56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Significado</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PP</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Polipropileno</w:t>
            </w:r>
          </w:p>
        </w:tc>
      </w:tr>
      <w:tr>
        <w:tc>
          <w:tcPr>
            <w:tcW w:type="dxa" w:w="24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PE</w:t>
            </w:r>
          </w:p>
        </w:tc>
        <w:tc>
          <w:tcPr>
            <w:tcW w:type="dxa" w:w="56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Polietileno</w:t>
            </w:r>
          </w:p>
        </w:tc>
      </w:tr>
    </w:tbl>
    <w:p>
      <w:pPr>
        <w:spacing w:after="90" w:before="220"/>
      </w:pPr>
      <w:r>
        <w:rPr>
          <w:b/>
          <w:bCs/>
          <w:color w:val="1A56DB"/>
          <w:sz w:val="21"/>
          <w:szCs w:val="21"/>
        </w:rPr>
        <w:t xml:space="preserve">Material de fleje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rPr>
          <w:tblHeader/>
        </w:trPr>
        <w:tc>
          <w:tcPr>
            <w:tcW w:type="dxa" w:w="24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Código</w:t>
            </w:r>
          </w:p>
        </w:tc>
        <w:tc>
          <w:tcPr>
            <w:tcW w:type="dxa" w:w="56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Significado</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PP</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Polipropileno</w:t>
            </w:r>
          </w:p>
        </w:tc>
      </w:tr>
      <w:tr>
        <w:tc>
          <w:tcPr>
            <w:tcW w:type="dxa" w:w="24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PET</w:t>
            </w:r>
          </w:p>
        </w:tc>
        <w:tc>
          <w:tcPr>
            <w:tcW w:type="dxa" w:w="56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Poliéster (PET)</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ACE</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Acero</w:t>
            </w:r>
          </w:p>
        </w:tc>
      </w:tr>
    </w:tbl>
    <w:p>
      <w:pPr>
        <w:spacing w:after="90" w:before="220"/>
      </w:pPr>
      <w:r>
        <w:rPr>
          <w:b/>
          <w:bCs/>
          <w:color w:val="1A56DB"/>
          <w:sz w:val="21"/>
          <w:szCs w:val="21"/>
        </w:rPr>
        <w:t xml:space="preserve">Terminados (fleje y sello)</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rPr>
          <w:tblHeader/>
        </w:trPr>
        <w:tc>
          <w:tcPr>
            <w:tcW w:type="dxa" w:w="24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Código</w:t>
            </w:r>
          </w:p>
        </w:tc>
        <w:tc>
          <w:tcPr>
            <w:tcW w:type="dxa" w:w="56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Significado</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MOL</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Moleteado (fleje)</w:t>
            </w:r>
          </w:p>
        </w:tc>
      </w:tr>
      <w:tr>
        <w:tc>
          <w:tcPr>
            <w:tcW w:type="dxa" w:w="24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LIS</w:t>
            </w:r>
          </w:p>
        </w:tc>
        <w:tc>
          <w:tcPr>
            <w:tcW w:type="dxa" w:w="56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Liso (fleje)</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CUA</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Cuadrado (sello)</w:t>
            </w:r>
          </w:p>
        </w:tc>
      </w:tr>
      <w:tr>
        <w:tc>
          <w:tcPr>
            <w:tcW w:type="dxa" w:w="24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RED</w:t>
            </w:r>
          </w:p>
        </w:tc>
        <w:tc>
          <w:tcPr>
            <w:tcW w:type="dxa" w:w="56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Redondeado (sello)</w:t>
            </w:r>
          </w:p>
        </w:tc>
      </w:tr>
    </w:tbl>
    <w:p>
      <w:pPr>
        <w:spacing w:after="90" w:before="220"/>
      </w:pPr>
      <w:r>
        <w:rPr>
          <w:b/>
          <w:bCs/>
          <w:color w:val="1A56DB"/>
          <w:sz w:val="21"/>
          <w:szCs w:val="21"/>
        </w:rPr>
        <w:t xml:space="preserve">Presentación de materia prima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rPr>
          <w:tblHeader/>
        </w:trPr>
        <w:tc>
          <w:tcPr>
            <w:tcW w:type="dxa" w:w="24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Código</w:t>
            </w:r>
          </w:p>
        </w:tc>
        <w:tc>
          <w:tcPr>
            <w:tcW w:type="dxa" w:w="56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Significado</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MOL</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Molido</w:t>
            </w:r>
          </w:p>
        </w:tc>
      </w:tr>
      <w:tr>
        <w:tc>
          <w:tcPr>
            <w:tcW w:type="dxa" w:w="24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PEL</w:t>
            </w:r>
          </w:p>
        </w:tc>
        <w:tc>
          <w:tcPr>
            <w:tcW w:type="dxa" w:w="56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Pellets</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PZA</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Pieza</w:t>
            </w:r>
          </w:p>
        </w:tc>
      </w:tr>
      <w:tr>
        <w:tc>
          <w:tcPr>
            <w:tcW w:type="dxa" w:w="24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VIR</w:t>
            </w:r>
          </w:p>
        </w:tc>
        <w:tc>
          <w:tcPr>
            <w:tcW w:type="dxa" w:w="56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Origen virgen (opcional)</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REC</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Origen reciclado (opcional)</w:t>
            </w:r>
          </w:p>
        </w:tc>
      </w:tr>
    </w:tbl>
    <w:p>
      <w:pPr>
        <w:spacing w:after="90" w:before="220"/>
      </w:pPr>
      <w:r>
        <w:rPr>
          <w:b/>
          <w:bCs/>
          <w:color w:val="1A56DB"/>
          <w:sz w:val="21"/>
          <w:szCs w:val="21"/>
        </w:rPr>
        <w:t xml:space="preserve">Etiquetas de trazabilidad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rPr>
          <w:tblHeader/>
        </w:trPr>
        <w:tc>
          <w:tcPr>
            <w:tcW w:type="dxa" w:w="24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Código</w:t>
            </w:r>
          </w:p>
        </w:tc>
        <w:tc>
          <w:tcPr>
            <w:tcW w:type="dxa" w:w="56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Significado</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TD</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Térmica directa</w:t>
            </w:r>
          </w:p>
        </w:tc>
      </w:tr>
      <w:tr>
        <w:tc>
          <w:tcPr>
            <w:tcW w:type="dxa" w:w="24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TT</w:t>
            </w:r>
          </w:p>
        </w:tc>
        <w:tc>
          <w:tcPr>
            <w:tcW w:type="dxa" w:w="56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Transferencia térmica</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PAP</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Material papel</w:t>
            </w:r>
          </w:p>
        </w:tc>
      </w:tr>
      <w:tr>
        <w:tc>
          <w:tcPr>
            <w:tcW w:type="dxa" w:w="24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BOP</w:t>
            </w:r>
          </w:p>
        </w:tc>
        <w:tc>
          <w:tcPr>
            <w:tcW w:type="dxa" w:w="56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Material BOPP</w:t>
            </w:r>
          </w:p>
        </w:tc>
      </w:tr>
    </w:tbl>
    <w:p>
      <w:pPr>
        <w:spacing w:after="90" w:before="220"/>
      </w:pPr>
      <w:r>
        <w:rPr>
          <w:b/>
          <w:bCs/>
          <w:color w:val="1A56DB"/>
          <w:sz w:val="21"/>
          <w:szCs w:val="21"/>
        </w:rPr>
        <w:t xml:space="preserve">Tipos de ribbon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rPr>
          <w:tblHeader/>
        </w:trPr>
        <w:tc>
          <w:tcPr>
            <w:tcW w:type="dxa" w:w="24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Código</w:t>
            </w:r>
          </w:p>
        </w:tc>
        <w:tc>
          <w:tcPr>
            <w:tcW w:type="dxa" w:w="56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Significado</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CER</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Cera</w:t>
            </w:r>
          </w:p>
        </w:tc>
      </w:tr>
      <w:tr>
        <w:tc>
          <w:tcPr>
            <w:tcW w:type="dxa" w:w="24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CRE</w:t>
            </w:r>
          </w:p>
        </w:tc>
        <w:tc>
          <w:tcPr>
            <w:tcW w:type="dxa" w:w="56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Cera-resina</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RES</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Resina</w:t>
            </w:r>
          </w:p>
        </w:tc>
      </w:tr>
    </w:tbl>
    <w:p>
      <w:pPr>
        <w:spacing w:after="90" w:before="220"/>
      </w:pPr>
      <w:r>
        <w:rPr>
          <w:b/>
          <w:bCs/>
          <w:color w:val="1A56DB"/>
          <w:sz w:val="21"/>
          <w:szCs w:val="21"/>
        </w:rPr>
        <w:t xml:space="preserve">Subtipos de herramienta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rPr>
          <w:tblHeader/>
        </w:trPr>
        <w:tc>
          <w:tcPr>
            <w:tcW w:type="dxa" w:w="24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Código</w:t>
            </w:r>
          </w:p>
        </w:tc>
        <w:tc>
          <w:tcPr>
            <w:tcW w:type="dxa" w:w="56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Significado</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PIN</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Pinzas</w:t>
            </w:r>
          </w:p>
        </w:tc>
      </w:tr>
      <w:tr>
        <w:tc>
          <w:tcPr>
            <w:tcW w:type="dxa" w:w="24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FLA</w:t>
            </w:r>
          </w:p>
        </w:tc>
        <w:tc>
          <w:tcPr>
            <w:tcW w:type="dxa" w:w="56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Flejadora</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ETQ</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Etiquetadora</w:t>
            </w:r>
          </w:p>
        </w:tc>
      </w:tr>
      <w:tr>
        <w:tc>
          <w:tcPr>
            <w:tcW w:type="dxa" w:w="24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ENC</w:t>
            </w:r>
          </w:p>
        </w:tc>
        <w:tc>
          <w:tcPr>
            <w:tcW w:type="dxa" w:w="56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Encintadora</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APE</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Aplicador de emplaye</w:t>
            </w:r>
          </w:p>
        </w:tc>
      </w:tr>
    </w:tbl>
    <w:p>
      <w:pPr>
        <w:spacing w:after="90" w:before="220"/>
      </w:pPr>
      <w:r>
        <w:rPr>
          <w:b/>
          <w:bCs/>
          <w:color w:val="1A56DB"/>
          <w:sz w:val="21"/>
          <w:szCs w:val="21"/>
        </w:rPr>
        <w:t xml:space="preserve">Uso de emplaye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rPr>
          <w:tblHeader/>
        </w:trPr>
        <w:tc>
          <w:tcPr>
            <w:tcW w:type="dxa" w:w="24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Código</w:t>
            </w:r>
          </w:p>
        </w:tc>
        <w:tc>
          <w:tcPr>
            <w:tcW w:type="dxa" w:w="56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Significado</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MAN</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Uso manual</w:t>
            </w:r>
          </w:p>
        </w:tc>
      </w:tr>
      <w:tr>
        <w:tc>
          <w:tcPr>
            <w:tcW w:type="dxa" w:w="24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MAQ</w:t>
            </w:r>
          </w:p>
        </w:tc>
        <w:tc>
          <w:tcPr>
            <w:tcW w:type="dxa" w:w="56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Uso en máquina</w:t>
            </w:r>
          </w:p>
        </w:tc>
      </w:tr>
    </w:tbl>
    <w:p>
      <w:pPr>
        <w:spacing w:after="90" w:before="220"/>
      </w:pPr>
      <w:r>
        <w:rPr>
          <w:b/>
          <w:bCs/>
          <w:color w:val="1A56DB"/>
          <w:sz w:val="21"/>
          <w:szCs w:val="21"/>
        </w:rPr>
        <w:t xml:space="preserve">Colores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rPr>
          <w:tblHeader/>
        </w:trPr>
        <w:tc>
          <w:tcPr>
            <w:tcW w:type="dxa" w:w="24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Código</w:t>
            </w:r>
          </w:p>
        </w:tc>
        <w:tc>
          <w:tcPr>
            <w:tcW w:type="dxa" w:w="5600"/>
            <w:tcBorders>
              <w:top w:val="single" w:color="C9D2E3" w:sz="1"/>
              <w:left w:val="single" w:color="C9D2E3" w:sz="1"/>
              <w:bottom w:val="single" w:color="C9D2E3" w:sz="1"/>
              <w:right w:val="single" w:color="C9D2E3" w:sz="1"/>
            </w:tcBorders>
            <w:shd w:fill="1A56DB" w:val="clear"/>
            <w:tcMar>
              <w:top w:type="dxa" w:w="90"/>
              <w:left w:type="dxa" w:w="130"/>
              <w:bottom w:type="dxa" w:w="90"/>
              <w:right w:type="dxa" w:w="130"/>
            </w:tcMar>
            <w:vAlign w:val="center"/>
          </w:tcPr>
          <w:p>
            <w:r>
              <w:rPr>
                <w:b/>
                <w:bCs/>
                <w:color w:val="FFFFFF"/>
                <w:sz w:val="19"/>
                <w:szCs w:val="19"/>
              </w:rPr>
              <w:t xml:space="preserve">Significado</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NEG</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Negro</w:t>
            </w:r>
          </w:p>
        </w:tc>
      </w:tr>
      <w:tr>
        <w:tc>
          <w:tcPr>
            <w:tcW w:type="dxa" w:w="24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BLA</w:t>
            </w:r>
          </w:p>
        </w:tc>
        <w:tc>
          <w:tcPr>
            <w:tcW w:type="dxa" w:w="56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Blanco</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ROJ</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Rojo</w:t>
            </w:r>
          </w:p>
        </w:tc>
      </w:tr>
      <w:tr>
        <w:tc>
          <w:tcPr>
            <w:tcW w:type="dxa" w:w="24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AZU</w:t>
            </w:r>
          </w:p>
        </w:tc>
        <w:tc>
          <w:tcPr>
            <w:tcW w:type="dxa" w:w="56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Azul</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VER</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Verde</w:t>
            </w:r>
          </w:p>
        </w:tc>
      </w:tr>
      <w:tr>
        <w:tc>
          <w:tcPr>
            <w:tcW w:type="dxa" w:w="24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AMA</w:t>
            </w:r>
          </w:p>
        </w:tc>
        <w:tc>
          <w:tcPr>
            <w:tcW w:type="dxa" w:w="56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Amarillo</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NAR</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Naranja</w:t>
            </w:r>
          </w:p>
        </w:tc>
      </w:tr>
      <w:tr>
        <w:tc>
          <w:tcPr>
            <w:tcW w:type="dxa" w:w="24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GRI</w:t>
            </w:r>
          </w:p>
        </w:tc>
        <w:tc>
          <w:tcPr>
            <w:tcW w:type="dxa" w:w="5600"/>
            <w:tcBorders>
              <w:top w:val="single" w:color="C9D2E3" w:sz="1"/>
              <w:left w:val="single" w:color="C9D2E3" w:sz="1"/>
              <w:bottom w:val="single" w:color="C9D2E3" w:sz="1"/>
              <w:right w:val="single" w:color="C9D2E3" w:sz="1"/>
            </w:tcBorders>
            <w:shd w:fill="EEF2FB"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Gris</w:t>
            </w:r>
          </w:p>
        </w:tc>
      </w:tr>
      <w:tr>
        <w:tc>
          <w:tcPr>
            <w:tcW w:type="dxa" w:w="24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Consolas" w:cs="Consolas" w:eastAsia="Consolas" w:hAnsi="Consolas"/>
                <w:b/>
                <w:bCs/>
                <w:color w:val="1A56DB"/>
                <w:sz w:val="18"/>
                <w:szCs w:val="18"/>
              </w:rPr>
              <w:t xml:space="preserve">NAT</w:t>
            </w:r>
          </w:p>
        </w:tc>
        <w:tc>
          <w:tcPr>
            <w:tcW w:type="dxa" w:w="5600"/>
            <w:tcBorders>
              <w:top w:val="single" w:color="C9D2E3" w:sz="1"/>
              <w:left w:val="single" w:color="C9D2E3" w:sz="1"/>
              <w:bottom w:val="single" w:color="C9D2E3" w:sz="1"/>
              <w:right w:val="single" w:color="C9D2E3" w:sz="1"/>
            </w:tcBorders>
            <w:shd w:fill="FFFFFF" w:val="clear"/>
            <w:tcMar>
              <w:top w:type="dxa" w:w="90"/>
              <w:left w:type="dxa" w:w="130"/>
              <w:bottom w:type="dxa" w:w="90"/>
              <w:right w:type="dxa" w:w="130"/>
            </w:tcMar>
            <w:vAlign w:val="center"/>
          </w:tcPr>
          <w:p>
            <w:r>
              <w:rPr>
                <w:rFonts w:ascii="Arial" w:cs="Arial" w:eastAsia="Arial" w:hAnsi="Arial"/>
                <w:b w:val="false"/>
                <w:bCs w:val="false"/>
                <w:color w:val="1F2733"/>
                <w:sz w:val="18"/>
                <w:szCs w:val="18"/>
              </w:rPr>
              <w:t xml:space="preserve">Natural / transparente</w:t>
            </w:r>
          </w:p>
        </w:tc>
      </w:tr>
    </w:tbl>
    <w:p>
      <w:pPr>
        <w:pStyle w:val="Heading1"/>
        <w:pBdr>
          <w:bottom w:val="single" w:color="1A56DB" w:sz="6" w:space="3"/>
        </w:pBdr>
        <w:spacing w:after="140" w:before="320"/>
      </w:pPr>
      <w:r>
        <w:rPr>
          <w:b/>
          <w:bCs/>
          <w:color w:val="12203A"/>
          <w:sz w:val="26"/>
          <w:szCs w:val="26"/>
        </w:rPr>
        <w:t xml:space="preserve">6. Cómo agregar una familia de producto nueva</w:t>
      </w:r>
    </w:p>
    <w:p>
      <w:pPr>
        <w:pStyle w:val="ListParagraph"/>
        <w:numPr>
          <w:ilvl w:val="0"/>
          <w:numId w:val="3"/>
        </w:numPr>
        <w:spacing w:after="70"/>
      </w:pPr>
      <w:r>
        <w:rPr>
          <w:color w:val="26303D"/>
          <w:sz w:val="20"/>
          <w:szCs w:val="20"/>
        </w:rPr>
        <w:t xml:space="preserve">Elegir un prefijo de 2 a 4 letras que no choque con los prefijos ya existentes en la tabla de la sección 3.</w:t>
      </w:r>
    </w:p>
    <w:p>
      <w:pPr>
        <w:pStyle w:val="ListParagraph"/>
        <w:numPr>
          <w:ilvl w:val="0"/>
          <w:numId w:val="3"/>
        </w:numPr>
        <w:spacing w:after="70"/>
      </w:pPr>
      <w:r>
        <w:rPr>
          <w:color w:val="26303D"/>
          <w:sz w:val="20"/>
          <w:szCs w:val="20"/>
        </w:rPr>
        <w:t xml:space="preserve">Definir qué atributos distinguen un artículo de otro dentro de la familia y en qué orden van dentro del código.</w:t>
      </w:r>
    </w:p>
    <w:p>
      <w:pPr>
        <w:pStyle w:val="ListParagraph"/>
        <w:numPr>
          <w:ilvl w:val="0"/>
          <w:numId w:val="3"/>
        </w:numPr>
        <w:spacing w:after="70"/>
      </w:pPr>
      <w:r>
        <w:rPr>
          <w:color w:val="26303D"/>
          <w:sz w:val="20"/>
          <w:szCs w:val="20"/>
        </w:rPr>
        <w:t xml:space="preserve">Decidir la unidad de cada medida (mm, cm, pulgadas, etc.) y dejarla anotada en la columna de descripción.</w:t>
      </w:r>
    </w:p>
    <w:p>
      <w:pPr>
        <w:pStyle w:val="ListParagraph"/>
        <w:numPr>
          <w:ilvl w:val="0"/>
          <w:numId w:val="3"/>
        </w:numPr>
        <w:spacing w:after="70"/>
      </w:pPr>
      <w:r>
        <w:rPr>
          <w:color w:val="26303D"/>
          <w:sz w:val="20"/>
          <w:szCs w:val="20"/>
        </w:rPr>
        <w:t xml:space="preserve">Agregar la fila correspondiente en la tabla de la sección 3 (hay filas en blanco al final).</w:t>
      </w:r>
    </w:p>
    <w:p>
      <w:pPr>
        <w:pStyle w:val="ListParagraph"/>
        <w:numPr>
          <w:ilvl w:val="0"/>
          <w:numId w:val="3"/>
        </w:numPr>
        <w:spacing w:after="70"/>
      </w:pPr>
      <w:r>
        <w:rPr>
          <w:color w:val="26303D"/>
          <w:sz w:val="20"/>
          <w:szCs w:val="20"/>
        </w:rPr>
        <w:t xml:space="preserve">Si la familia usa una abreviatura nueva (resina, color, terminado, etc.), agregarla también al catálogo de la sección 5.</w:t>
      </w:r>
    </w:p>
    <w:sectPr>
      <w:footerReference w:type="default" r:id="rId7"/>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3"/>
        <w:sz w:val="15"/>
        <w:szCs w:val="15"/>
      </w:rPr>
      <w:t xml:space="preserve">Nomenclatura de códigos  ·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220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2026-05-16T17:25:03.620Z</dcterms:created>
  <dcterms:modified xsi:type="dcterms:W3CDTF">2026-05-16T17:25:03.620Z</dcterms:modified>
</cp:coreProperties>
</file>

<file path=docProps/custom.xml><?xml version="1.0" encoding="utf-8"?>
<Properties xmlns="http://schemas.openxmlformats.org/officeDocument/2006/custom-properties" xmlns:vt="http://schemas.openxmlformats.org/officeDocument/2006/docPropsVTypes"/>
</file>