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0DE94" w14:textId="77777777" w:rsidR="00DB1607" w:rsidRPr="00B95EB3" w:rsidRDefault="00000000">
      <w:pPr>
        <w:pStyle w:val="Title"/>
        <w:rPr>
          <w:rFonts w:asciiTheme="majorHAnsi" w:hAnsiTheme="majorHAnsi" w:cstheme="majorHAnsi"/>
        </w:rPr>
      </w:pPr>
      <w:r w:rsidRPr="00B95EB3">
        <w:rPr>
          <w:rFonts w:asciiTheme="majorHAnsi" w:hAnsiTheme="majorHAnsi" w:cstheme="majorHAnsi"/>
        </w:rPr>
        <w:t>Development of a Forecast-Augmented IoT Monitoring and Advisory System for Outdoor Ornamental Fish Ponds</w:t>
      </w:r>
    </w:p>
    <w:p w14:paraId="33A7B3C0" w14:textId="77777777" w:rsidR="00DB1607" w:rsidRPr="00B95EB3" w:rsidRDefault="00000000">
      <w:pPr>
        <w:pStyle w:val="Subtitle"/>
        <w:rPr>
          <w:rFonts w:asciiTheme="majorHAnsi" w:hAnsiTheme="majorHAnsi" w:cstheme="majorHAnsi"/>
        </w:rPr>
      </w:pPr>
      <w:r w:rsidRPr="00B95EB3">
        <w:rPr>
          <w:rFonts w:asciiTheme="majorHAnsi" w:hAnsiTheme="majorHAnsi" w:cstheme="majorHAnsi"/>
        </w:rPr>
        <w:t>Final Year Project Report</w:t>
      </w:r>
    </w:p>
    <w:p w14:paraId="43A79A60" w14:textId="77777777" w:rsidR="00DB1607" w:rsidRPr="00B95EB3" w:rsidRDefault="00000000">
      <w:pPr>
        <w:pStyle w:val="Author"/>
        <w:rPr>
          <w:rFonts w:asciiTheme="majorHAnsi" w:hAnsiTheme="majorHAnsi" w:cstheme="majorHAnsi"/>
        </w:rPr>
      </w:pPr>
      <w:r w:rsidRPr="00B95EB3">
        <w:rPr>
          <w:rFonts w:asciiTheme="majorHAnsi" w:hAnsiTheme="majorHAnsi" w:cstheme="majorHAnsi"/>
        </w:rPr>
        <w:t>U2222226C</w:t>
      </w:r>
    </w:p>
    <w:sdt>
      <w:sdtPr>
        <w:rPr>
          <w:rFonts w:asciiTheme="majorHAnsi" w:hAnsiTheme="majorHAnsi" w:cstheme="majorHAnsi"/>
          <w:b w:val="0"/>
          <w:sz w:val="24"/>
          <w:szCs w:val="24"/>
        </w:rPr>
        <w:id w:val="256408502"/>
        <w:docPartObj>
          <w:docPartGallery w:val="Table of Contents"/>
          <w:docPartUnique/>
        </w:docPartObj>
      </w:sdtPr>
      <w:sdtContent>
        <w:p w14:paraId="0FDA359C" w14:textId="77777777" w:rsidR="00DB1607" w:rsidRPr="00B95EB3" w:rsidRDefault="00000000">
          <w:pPr>
            <w:pStyle w:val="TOCHeading"/>
            <w:rPr>
              <w:rFonts w:asciiTheme="majorHAnsi" w:hAnsiTheme="majorHAnsi" w:cstheme="majorHAnsi"/>
            </w:rPr>
          </w:pPr>
          <w:r w:rsidRPr="00B95EB3">
            <w:rPr>
              <w:rFonts w:asciiTheme="majorHAnsi" w:hAnsiTheme="majorHAnsi" w:cstheme="majorHAnsi"/>
            </w:rPr>
            <w:t>Contents</w:t>
          </w:r>
        </w:p>
        <w:p w14:paraId="41476841" w14:textId="77777777" w:rsidR="00B95EB3" w:rsidRPr="00B95EB3" w:rsidRDefault="00000000">
          <w:pPr>
            <w:pStyle w:val="TOC1"/>
            <w:tabs>
              <w:tab w:val="right" w:leader="dot" w:pos="9016"/>
            </w:tabs>
            <w:rPr>
              <w:rFonts w:asciiTheme="majorHAnsi" w:hAnsiTheme="majorHAnsi" w:cstheme="majorHAnsi"/>
              <w:noProof/>
            </w:rPr>
          </w:pPr>
          <w:r w:rsidRPr="00B95EB3">
            <w:rPr>
              <w:rFonts w:asciiTheme="majorHAnsi" w:hAnsiTheme="majorHAnsi" w:cstheme="majorHAnsi"/>
            </w:rPr>
            <w:fldChar w:fldCharType="begin"/>
          </w:r>
          <w:r w:rsidRPr="00B95EB3">
            <w:rPr>
              <w:rFonts w:asciiTheme="majorHAnsi" w:hAnsiTheme="majorHAnsi" w:cstheme="majorHAnsi"/>
            </w:rPr>
            <w:instrText>TOC \o "1-3" \h \z \u</w:instrText>
          </w:r>
          <w:r w:rsidRPr="00B95EB3">
            <w:rPr>
              <w:rFonts w:asciiTheme="majorHAnsi" w:hAnsiTheme="majorHAnsi" w:cstheme="majorHAnsi"/>
            </w:rPr>
            <w:fldChar w:fldCharType="separate"/>
          </w:r>
          <w:hyperlink w:anchor="_Toc241565661" w:history="1">
            <w:r w:rsidR="00B95EB3" w:rsidRPr="00B95EB3">
              <w:rPr>
                <w:rStyle w:val="Hyperlink"/>
                <w:rFonts w:asciiTheme="majorHAnsi" w:hAnsiTheme="majorHAnsi" w:cstheme="majorHAnsi"/>
                <w:noProof/>
              </w:rPr>
              <w:t>Abstract</w:t>
            </w:r>
            <w:r w:rsidR="00B95EB3" w:rsidRPr="00B95EB3">
              <w:rPr>
                <w:rFonts w:asciiTheme="majorHAnsi" w:hAnsiTheme="majorHAnsi" w:cstheme="majorHAnsi"/>
                <w:noProof/>
                <w:webHidden/>
              </w:rPr>
              <w:tab/>
            </w:r>
            <w:r w:rsidR="00B95EB3" w:rsidRPr="00B95EB3">
              <w:rPr>
                <w:rFonts w:asciiTheme="majorHAnsi" w:hAnsiTheme="majorHAnsi" w:cstheme="majorHAnsi"/>
                <w:noProof/>
                <w:webHidden/>
              </w:rPr>
              <w:fldChar w:fldCharType="begin"/>
            </w:r>
            <w:r w:rsidR="00B95EB3" w:rsidRPr="00B95EB3">
              <w:rPr>
                <w:rFonts w:asciiTheme="majorHAnsi" w:hAnsiTheme="majorHAnsi" w:cstheme="majorHAnsi"/>
                <w:noProof/>
                <w:webHidden/>
              </w:rPr>
              <w:instrText xml:space="preserve"> PAGEREF _Toc241565661 \h </w:instrText>
            </w:r>
            <w:r w:rsidR="00B95EB3" w:rsidRPr="00B95EB3">
              <w:rPr>
                <w:rFonts w:asciiTheme="majorHAnsi" w:hAnsiTheme="majorHAnsi" w:cstheme="majorHAnsi"/>
                <w:noProof/>
                <w:webHidden/>
              </w:rPr>
            </w:r>
            <w:r w:rsidR="00B95EB3" w:rsidRPr="00B95EB3">
              <w:rPr>
                <w:rFonts w:asciiTheme="majorHAnsi" w:hAnsiTheme="majorHAnsi" w:cstheme="majorHAnsi"/>
                <w:noProof/>
                <w:webHidden/>
              </w:rPr>
              <w:fldChar w:fldCharType="separate"/>
            </w:r>
            <w:r w:rsidR="00B95EB3" w:rsidRPr="00B95EB3">
              <w:rPr>
                <w:rFonts w:asciiTheme="majorHAnsi" w:hAnsiTheme="majorHAnsi" w:cstheme="majorHAnsi"/>
                <w:noProof/>
                <w:webHidden/>
              </w:rPr>
              <w:t>1</w:t>
            </w:r>
            <w:r w:rsidR="00B95EB3" w:rsidRPr="00B95EB3">
              <w:rPr>
                <w:rFonts w:asciiTheme="majorHAnsi" w:hAnsiTheme="majorHAnsi" w:cstheme="majorHAnsi"/>
                <w:noProof/>
                <w:webHidden/>
              </w:rPr>
              <w:fldChar w:fldCharType="end"/>
            </w:r>
          </w:hyperlink>
        </w:p>
        <w:p w14:paraId="6B77637F" w14:textId="77777777" w:rsidR="00B95EB3" w:rsidRPr="00B95EB3" w:rsidRDefault="00B95EB3">
          <w:pPr>
            <w:pStyle w:val="TOC1"/>
            <w:tabs>
              <w:tab w:val="right" w:leader="dot" w:pos="9016"/>
            </w:tabs>
            <w:rPr>
              <w:rFonts w:asciiTheme="majorHAnsi" w:hAnsiTheme="majorHAnsi" w:cstheme="majorHAnsi"/>
              <w:noProof/>
            </w:rPr>
          </w:pPr>
          <w:hyperlink w:anchor="_Toc241565662" w:history="1">
            <w:r w:rsidRPr="00B95EB3">
              <w:rPr>
                <w:rStyle w:val="Hyperlink"/>
                <w:rFonts w:asciiTheme="majorHAnsi" w:hAnsiTheme="majorHAnsi" w:cstheme="majorHAnsi"/>
                <w:noProof/>
              </w:rPr>
              <w:t>Chapter 1: Introduction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_Toc241565662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E30EFD4" w14:textId="77777777" w:rsidR="00B95EB3" w:rsidRPr="00B95EB3" w:rsidRDefault="00B95EB3">
          <w:pPr>
            <w:pStyle w:val="TOC2"/>
            <w:tabs>
              <w:tab w:val="right" w:leader="dot" w:pos="9016"/>
            </w:tabs>
            <w:rPr>
              <w:rFonts w:asciiTheme="majorHAnsi" w:hAnsiTheme="majorHAnsi" w:cstheme="majorHAnsi"/>
              <w:noProof/>
            </w:rPr>
          </w:pPr>
          <w:hyperlink w:anchor="_Toc241565663" w:history="1">
            <w:r w:rsidRPr="00B95EB3">
              <w:rPr>
                <w:rStyle w:val="Hyperlink"/>
                <w:rFonts w:asciiTheme="majorHAnsi" w:hAnsiTheme="majorHAnsi" w:cstheme="majorHAnsi"/>
                <w:noProof/>
              </w:rPr>
              <w:t>1.1 Background and Motivation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_Toc241565663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66D790D" w14:textId="77777777" w:rsidR="00B95EB3" w:rsidRPr="00B95EB3" w:rsidRDefault="00B95EB3">
          <w:pPr>
            <w:pStyle w:val="TOC2"/>
            <w:tabs>
              <w:tab w:val="right" w:leader="dot" w:pos="9016"/>
            </w:tabs>
            <w:rPr>
              <w:rFonts w:asciiTheme="majorHAnsi" w:hAnsiTheme="majorHAnsi" w:cstheme="majorHAnsi"/>
              <w:noProof/>
            </w:rPr>
          </w:pPr>
          <w:hyperlink w:anchor="_Toc241565664" w:history="1">
            <w:r w:rsidRPr="00B95EB3">
              <w:rPr>
                <w:rStyle w:val="Hyperlink"/>
                <w:rFonts w:asciiTheme="majorHAnsi" w:hAnsiTheme="majorHAnsi" w:cstheme="majorHAnsi"/>
                <w:noProof/>
              </w:rPr>
              <w:t>1.2 Project Scope Evolution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_Toc241565664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0C9A3D2" w14:textId="77777777" w:rsidR="00B95EB3" w:rsidRPr="00B95EB3" w:rsidRDefault="00B95EB3">
          <w:pPr>
            <w:pStyle w:val="TOC2"/>
            <w:tabs>
              <w:tab w:val="right" w:leader="dot" w:pos="9016"/>
            </w:tabs>
            <w:rPr>
              <w:rFonts w:asciiTheme="majorHAnsi" w:hAnsiTheme="majorHAnsi" w:cstheme="majorHAnsi"/>
              <w:noProof/>
            </w:rPr>
          </w:pPr>
          <w:hyperlink w:anchor="_Toc241565665" w:history="1">
            <w:r w:rsidRPr="00B95EB3">
              <w:rPr>
                <w:rStyle w:val="Hyperlink"/>
                <w:rFonts w:asciiTheme="majorHAnsi" w:hAnsiTheme="majorHAnsi" w:cstheme="majorHAnsi"/>
                <w:noProof/>
              </w:rPr>
              <w:t>1.3 Problem Statement</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_Toc241565665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29E5653" w14:textId="77777777" w:rsidR="00B95EB3" w:rsidRPr="00B95EB3" w:rsidRDefault="00B95EB3">
          <w:pPr>
            <w:pStyle w:val="TOC2"/>
            <w:tabs>
              <w:tab w:val="right" w:leader="dot" w:pos="9016"/>
            </w:tabs>
            <w:rPr>
              <w:rFonts w:asciiTheme="majorHAnsi" w:hAnsiTheme="majorHAnsi" w:cstheme="majorHAnsi"/>
              <w:noProof/>
            </w:rPr>
          </w:pPr>
          <w:hyperlink w:anchor="_Toc241565666" w:history="1">
            <w:r w:rsidRPr="00B95EB3">
              <w:rPr>
                <w:rStyle w:val="Hyperlink"/>
                <w:rFonts w:asciiTheme="majorHAnsi" w:hAnsiTheme="majorHAnsi" w:cstheme="majorHAnsi"/>
                <w:noProof/>
              </w:rPr>
              <w:t>1.4 Aims and Objectives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_Toc241565666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F62A059" w14:textId="77777777" w:rsidR="00B95EB3" w:rsidRPr="00B95EB3" w:rsidRDefault="00B95EB3">
          <w:pPr>
            <w:pStyle w:val="TOC2"/>
            <w:tabs>
              <w:tab w:val="right" w:leader="dot" w:pos="9016"/>
            </w:tabs>
            <w:rPr>
              <w:rFonts w:asciiTheme="majorHAnsi" w:hAnsiTheme="majorHAnsi" w:cstheme="majorHAnsi"/>
              <w:noProof/>
            </w:rPr>
          </w:pPr>
          <w:hyperlink w:anchor="_Toc241565667" w:history="1">
            <w:r w:rsidRPr="00B95EB3">
              <w:rPr>
                <w:rStyle w:val="Hyperlink"/>
                <w:rFonts w:asciiTheme="majorHAnsi" w:hAnsiTheme="majorHAnsi" w:cstheme="majorHAnsi"/>
                <w:noProof/>
              </w:rPr>
              <w:t>1.5 Scope and Exclusions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_Toc241565667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5AE2E61" w14:textId="77777777" w:rsidR="00B95EB3" w:rsidRPr="00B95EB3" w:rsidRDefault="00B95EB3">
          <w:pPr>
            <w:pStyle w:val="TOC2"/>
            <w:tabs>
              <w:tab w:val="right" w:leader="dot" w:pos="9016"/>
            </w:tabs>
            <w:rPr>
              <w:rFonts w:asciiTheme="majorHAnsi" w:hAnsiTheme="majorHAnsi" w:cstheme="majorHAnsi"/>
              <w:noProof/>
            </w:rPr>
          </w:pPr>
          <w:hyperlink w:anchor="_Toc241565668" w:history="1">
            <w:r w:rsidRPr="00B95EB3">
              <w:rPr>
                <w:rStyle w:val="Hyperlink"/>
                <w:rFonts w:asciiTheme="majorHAnsi" w:hAnsiTheme="majorHAnsi" w:cstheme="majorHAnsi"/>
                <w:noProof/>
              </w:rPr>
              <w:t>1.6 Report Structure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_Toc241565668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63613FC" w14:textId="77777777" w:rsidR="00B95EB3" w:rsidRPr="00B95EB3" w:rsidRDefault="00B95EB3">
          <w:pPr>
            <w:pStyle w:val="TOC1"/>
            <w:tabs>
              <w:tab w:val="right" w:leader="dot" w:pos="9016"/>
            </w:tabs>
            <w:rPr>
              <w:rFonts w:asciiTheme="majorHAnsi" w:hAnsiTheme="majorHAnsi" w:cstheme="majorHAnsi"/>
              <w:noProof/>
            </w:rPr>
          </w:pPr>
          <w:hyperlink w:anchor="_Toc241565669" w:history="1">
            <w:r w:rsidRPr="00B95EB3">
              <w:rPr>
                <w:rStyle w:val="Hyperlink"/>
                <w:rFonts w:asciiTheme="majorHAnsi" w:hAnsiTheme="majorHAnsi" w:cstheme="majorHAnsi"/>
                <w:noProof/>
              </w:rPr>
              <w:t>Chapter 2: Literature Review</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_Toc241565669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3A96EBC" w14:textId="77777777" w:rsidR="00B95EB3" w:rsidRPr="00B95EB3" w:rsidRDefault="00B95EB3">
          <w:pPr>
            <w:pStyle w:val="TOC2"/>
            <w:tabs>
              <w:tab w:val="right" w:leader="dot" w:pos="9016"/>
            </w:tabs>
            <w:rPr>
              <w:rFonts w:asciiTheme="majorHAnsi" w:hAnsiTheme="majorHAnsi" w:cstheme="majorHAnsi"/>
              <w:noProof/>
            </w:rPr>
          </w:pPr>
          <w:hyperlink w:anchor="_Toc241565670" w:history="1">
            <w:r w:rsidRPr="00B95EB3">
              <w:rPr>
                <w:rStyle w:val="Hyperlink"/>
                <w:rFonts w:asciiTheme="majorHAnsi" w:hAnsiTheme="majorHAnsi" w:cstheme="majorHAnsi"/>
                <w:noProof/>
              </w:rPr>
              <w:t>2.1 Existing Low-Cost IoT Water Quality Monitoring Approaches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_Toc241565670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609E104" w14:textId="77777777" w:rsidR="00B95EB3" w:rsidRPr="00B95EB3" w:rsidRDefault="00B95EB3">
          <w:pPr>
            <w:pStyle w:val="TOC2"/>
            <w:tabs>
              <w:tab w:val="right" w:leader="dot" w:pos="9016"/>
            </w:tabs>
            <w:rPr>
              <w:rFonts w:asciiTheme="majorHAnsi" w:hAnsiTheme="majorHAnsi" w:cstheme="majorHAnsi"/>
              <w:noProof/>
            </w:rPr>
          </w:pPr>
          <w:hyperlink w:anchor="_Toc241565671" w:history="1">
            <w:r w:rsidRPr="00B95EB3">
              <w:rPr>
                <w:rStyle w:val="Hyperlink"/>
                <w:rFonts w:asciiTheme="majorHAnsi" w:hAnsiTheme="majorHAnsi" w:cstheme="majorHAnsi"/>
                <w:noProof/>
              </w:rPr>
              <w:t>2.2 Water Quality Parameters and Fish Physiological Needs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_Toc241565671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40A0B35" w14:textId="77777777" w:rsidR="00B95EB3" w:rsidRPr="00B95EB3" w:rsidRDefault="00B95EB3">
          <w:pPr>
            <w:pStyle w:val="TOC2"/>
            <w:tabs>
              <w:tab w:val="right" w:leader="dot" w:pos="9016"/>
            </w:tabs>
            <w:rPr>
              <w:rFonts w:asciiTheme="majorHAnsi" w:hAnsiTheme="majorHAnsi" w:cstheme="majorHAnsi"/>
              <w:noProof/>
            </w:rPr>
          </w:pPr>
          <w:hyperlink w:anchor="_Toc241565672" w:history="1">
            <w:r w:rsidRPr="00B95EB3">
              <w:rPr>
                <w:rStyle w:val="Hyperlink"/>
                <w:rFonts w:asciiTheme="majorHAnsi" w:hAnsiTheme="majorHAnsi" w:cstheme="majorHAnsi"/>
                <w:noProof/>
              </w:rPr>
              <w:t>2.3 Outdoor-Specific Stressor Classes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_Toc241565672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05C9EEF" w14:textId="77777777" w:rsidR="00B95EB3" w:rsidRPr="00B95EB3" w:rsidRDefault="00B95EB3">
          <w:pPr>
            <w:pStyle w:val="TOC3"/>
            <w:tabs>
              <w:tab w:val="right" w:leader="dot" w:pos="9016"/>
            </w:tabs>
            <w:rPr>
              <w:rFonts w:asciiTheme="majorHAnsi" w:hAnsiTheme="majorHAnsi" w:cstheme="majorHAnsi"/>
              <w:noProof/>
            </w:rPr>
          </w:pPr>
          <w:hyperlink w:anchor="_Toc241565673" w:history="1">
            <w:r w:rsidRPr="00B95EB3">
              <w:rPr>
                <w:rStyle w:val="Hyperlink"/>
                <w:rFonts w:asciiTheme="majorHAnsi" w:hAnsiTheme="majorHAnsi" w:cstheme="majorHAnsi"/>
                <w:noProof/>
              </w:rPr>
              <w:t>2.3.1 Algal Growth</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_Toc241565673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C4A16E2" w14:textId="77777777" w:rsidR="00B95EB3" w:rsidRPr="00B95EB3" w:rsidRDefault="00B95EB3">
          <w:pPr>
            <w:pStyle w:val="TOC3"/>
            <w:tabs>
              <w:tab w:val="right" w:leader="dot" w:pos="9016"/>
            </w:tabs>
            <w:rPr>
              <w:rFonts w:asciiTheme="majorHAnsi" w:hAnsiTheme="majorHAnsi" w:cstheme="majorHAnsi"/>
              <w:noProof/>
            </w:rPr>
          </w:pPr>
          <w:hyperlink w:anchor="_Toc241565674" w:history="1">
            <w:r w:rsidRPr="00B95EB3">
              <w:rPr>
                <w:rStyle w:val="Hyperlink"/>
                <w:rFonts w:asciiTheme="majorHAnsi" w:hAnsiTheme="majorHAnsi" w:cstheme="majorHAnsi"/>
                <w:noProof/>
              </w:rPr>
              <w:t>2.3.2 Extreme Rainfall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_Toc241565674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15CB0B3" w14:textId="77777777" w:rsidR="00B95EB3" w:rsidRPr="00B95EB3" w:rsidRDefault="00B95EB3">
          <w:pPr>
            <w:pStyle w:val="TOC3"/>
            <w:tabs>
              <w:tab w:val="right" w:leader="dot" w:pos="9016"/>
            </w:tabs>
            <w:rPr>
              <w:rFonts w:asciiTheme="majorHAnsi" w:hAnsiTheme="majorHAnsi" w:cstheme="majorHAnsi"/>
              <w:noProof/>
            </w:rPr>
          </w:pPr>
          <w:hyperlink w:anchor="_Toc241565675" w:history="1">
            <w:r w:rsidRPr="00B95EB3">
              <w:rPr>
                <w:rStyle w:val="Hyperlink"/>
                <w:rFonts w:asciiTheme="majorHAnsi" w:hAnsiTheme="majorHAnsi" w:cstheme="majorHAnsi"/>
                <w:noProof/>
              </w:rPr>
              <w:t>2.3.3 Extreme Heat</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_Toc241565675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BF37946" w14:textId="77777777" w:rsidR="00B95EB3" w:rsidRPr="00B95EB3" w:rsidRDefault="00B95EB3">
          <w:pPr>
            <w:pStyle w:val="TOC2"/>
            <w:tabs>
              <w:tab w:val="right" w:leader="dot" w:pos="9016"/>
            </w:tabs>
            <w:rPr>
              <w:rFonts w:asciiTheme="majorHAnsi" w:hAnsiTheme="majorHAnsi" w:cstheme="majorHAnsi"/>
              <w:noProof/>
            </w:rPr>
          </w:pPr>
          <w:hyperlink w:anchor="_Toc241565676" w:history="1">
            <w:r w:rsidRPr="00B95EB3">
              <w:rPr>
                <w:rStyle w:val="Hyperlink"/>
                <w:rFonts w:asciiTheme="majorHAnsi" w:hAnsiTheme="majorHAnsi" w:cstheme="majorHAnsi"/>
                <w:noProof/>
              </w:rPr>
              <w:t>2.4 Managing Risks and Outcomes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_Toc241565676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6805FC0" w14:textId="77777777" w:rsidR="00B95EB3" w:rsidRPr="00B95EB3" w:rsidRDefault="00B95EB3">
          <w:pPr>
            <w:pStyle w:val="TOC2"/>
            <w:tabs>
              <w:tab w:val="right" w:leader="dot" w:pos="9016"/>
            </w:tabs>
            <w:rPr>
              <w:rFonts w:asciiTheme="majorHAnsi" w:hAnsiTheme="majorHAnsi" w:cstheme="majorHAnsi"/>
              <w:noProof/>
            </w:rPr>
          </w:pPr>
          <w:hyperlink w:anchor="_Toc241565677" w:history="1">
            <w:r w:rsidRPr="00B95EB3">
              <w:rPr>
                <w:rStyle w:val="Hyperlink"/>
                <w:rFonts w:asciiTheme="majorHAnsi" w:hAnsiTheme="majorHAnsi" w:cstheme="majorHAnsi"/>
                <w:noProof/>
              </w:rPr>
              <w:t>2.5 Forecasting Value-Add for Outdoor IoT Systems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_Toc241565677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5E62330" w14:textId="77777777" w:rsidR="00B95EB3" w:rsidRPr="00B95EB3" w:rsidRDefault="00B95EB3">
          <w:pPr>
            <w:pStyle w:val="TOC3"/>
            <w:tabs>
              <w:tab w:val="right" w:leader="dot" w:pos="9016"/>
            </w:tabs>
            <w:rPr>
              <w:rFonts w:asciiTheme="majorHAnsi" w:hAnsiTheme="majorHAnsi" w:cstheme="majorHAnsi"/>
              <w:noProof/>
            </w:rPr>
          </w:pPr>
          <w:hyperlink w:anchor="_Toc241565678" w:history="1">
            <w:r w:rsidRPr="00B95EB3">
              <w:rPr>
                <w:rStyle w:val="Hyperlink"/>
                <w:rFonts w:asciiTheme="majorHAnsi" w:hAnsiTheme="majorHAnsi" w:cstheme="majorHAnsi"/>
                <w:noProof/>
              </w:rPr>
              <w:t>2.5.1 Projecting Water Temperature Ahead of Time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_Toc241565678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8E0CB7F" w14:textId="77777777" w:rsidR="00B95EB3" w:rsidRPr="00B95EB3" w:rsidRDefault="00B95EB3">
          <w:pPr>
            <w:pStyle w:val="TOC2"/>
            <w:tabs>
              <w:tab w:val="right" w:leader="dot" w:pos="9016"/>
            </w:tabs>
            <w:rPr>
              <w:rFonts w:asciiTheme="majorHAnsi" w:hAnsiTheme="majorHAnsi" w:cstheme="majorHAnsi"/>
              <w:noProof/>
            </w:rPr>
          </w:pPr>
          <w:hyperlink w:anchor="_Toc241565679" w:history="1">
            <w:r w:rsidRPr="00B95EB3">
              <w:rPr>
                <w:rStyle w:val="Hyperlink"/>
                <w:rFonts w:asciiTheme="majorHAnsi" w:hAnsiTheme="majorHAnsi" w:cstheme="majorHAnsi"/>
                <w:noProof/>
              </w:rPr>
              <w:t>2.6 Instrumentation and Inference Options for the Parameters Identified</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_Toc241565679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2EB7F8F" w14:textId="77777777" w:rsidR="00B95EB3" w:rsidRPr="00B95EB3" w:rsidRDefault="00B95EB3">
          <w:pPr>
            <w:pStyle w:val="TOC3"/>
            <w:tabs>
              <w:tab w:val="right" w:leader="dot" w:pos="9016"/>
            </w:tabs>
            <w:rPr>
              <w:rFonts w:asciiTheme="majorHAnsi" w:hAnsiTheme="majorHAnsi" w:cstheme="majorHAnsi"/>
              <w:noProof/>
            </w:rPr>
          </w:pPr>
          <w:hyperlink w:anchor="_Toc241565680" w:history="1">
            <w:r w:rsidRPr="00B95EB3">
              <w:rPr>
                <w:rStyle w:val="Hyperlink"/>
                <w:rFonts w:asciiTheme="majorHAnsi" w:hAnsiTheme="majorHAnsi" w:cstheme="majorHAnsi"/>
                <w:noProof/>
              </w:rPr>
              <w:t>2.6.1 The Maintenance Gradient Between Sensor Classes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_Toc241565680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F89622C" w14:textId="77777777" w:rsidR="00B95EB3" w:rsidRPr="00B95EB3" w:rsidRDefault="00B95EB3">
          <w:pPr>
            <w:pStyle w:val="TOC3"/>
            <w:tabs>
              <w:tab w:val="right" w:leader="dot" w:pos="9016"/>
            </w:tabs>
            <w:rPr>
              <w:rFonts w:asciiTheme="majorHAnsi" w:hAnsiTheme="majorHAnsi" w:cstheme="majorHAnsi"/>
              <w:noProof/>
            </w:rPr>
          </w:pPr>
          <w:hyperlink w:anchor="_Toc241565681" w:history="1">
            <w:r w:rsidRPr="00B95EB3">
              <w:rPr>
                <w:rStyle w:val="Hyperlink"/>
                <w:rFonts w:asciiTheme="majorHAnsi" w:hAnsiTheme="majorHAnsi" w:cstheme="majorHAnsi"/>
                <w:noProof/>
              </w:rPr>
              <w:t>2.6.2 pH: Maintenance Cost Against Breadth of Use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_Toc241565681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48807ED" w14:textId="77777777" w:rsidR="00B95EB3" w:rsidRPr="00B95EB3" w:rsidRDefault="00B95EB3">
          <w:pPr>
            <w:pStyle w:val="TOC3"/>
            <w:tabs>
              <w:tab w:val="right" w:leader="dot" w:pos="9016"/>
            </w:tabs>
            <w:rPr>
              <w:rFonts w:asciiTheme="majorHAnsi" w:hAnsiTheme="majorHAnsi" w:cstheme="majorHAnsi"/>
              <w:noProof/>
            </w:rPr>
          </w:pPr>
          <w:hyperlink w:anchor="_Toc241565682" w:history="1">
            <w:r w:rsidRPr="00B95EB3">
              <w:rPr>
                <w:rStyle w:val="Hyperlink"/>
                <w:rFonts w:asciiTheme="majorHAnsi" w:hAnsiTheme="majorHAnsi" w:cstheme="majorHAnsi"/>
                <w:noProof/>
              </w:rPr>
              <w:t>2.6.3 Dissolved Oxygen Instrumentation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_Toc241565682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31A4F60D" w14:textId="77777777" w:rsidR="00B95EB3" w:rsidRPr="00B95EB3" w:rsidRDefault="00B95EB3">
          <w:pPr>
            <w:pStyle w:val="TOC3"/>
            <w:tabs>
              <w:tab w:val="right" w:leader="dot" w:pos="9016"/>
            </w:tabs>
            <w:rPr>
              <w:rFonts w:asciiTheme="majorHAnsi" w:hAnsiTheme="majorHAnsi" w:cstheme="majorHAnsi"/>
              <w:noProof/>
            </w:rPr>
          </w:pPr>
          <w:hyperlink w:anchor="_Toc241565683" w:history="1">
            <w:r w:rsidRPr="00B95EB3">
              <w:rPr>
                <w:rStyle w:val="Hyperlink"/>
                <w:rFonts w:asciiTheme="majorHAnsi" w:hAnsiTheme="majorHAnsi" w:cstheme="majorHAnsi"/>
                <w:noProof/>
              </w:rPr>
              <w:t>2.6.4 Nitrate Instrumentation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_Toc241565683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0801A3B" w14:textId="77777777" w:rsidR="00B95EB3" w:rsidRPr="00B95EB3" w:rsidRDefault="00B95EB3">
          <w:pPr>
            <w:pStyle w:val="TOC3"/>
            <w:tabs>
              <w:tab w:val="right" w:leader="dot" w:pos="9016"/>
            </w:tabs>
            <w:rPr>
              <w:rFonts w:asciiTheme="majorHAnsi" w:hAnsiTheme="majorHAnsi" w:cstheme="majorHAnsi"/>
              <w:noProof/>
            </w:rPr>
          </w:pPr>
          <w:hyperlink w:anchor="_Toc241565684" w:history="1">
            <w:r w:rsidRPr="00B95EB3">
              <w:rPr>
                <w:rStyle w:val="Hyperlink"/>
                <w:rFonts w:asciiTheme="majorHAnsi" w:hAnsiTheme="majorHAnsi" w:cstheme="majorHAnsi"/>
                <w:noProof/>
              </w:rPr>
              <w:t>2.6.5 TDS as a Non-Specific Context Signal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_Toc241565684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D7B042D" w14:textId="77777777" w:rsidR="00B95EB3" w:rsidRPr="00B95EB3" w:rsidRDefault="00B95EB3">
          <w:pPr>
            <w:pStyle w:val="TOC3"/>
            <w:tabs>
              <w:tab w:val="right" w:leader="dot" w:pos="9016"/>
            </w:tabs>
            <w:rPr>
              <w:rFonts w:asciiTheme="majorHAnsi" w:hAnsiTheme="majorHAnsi" w:cstheme="majorHAnsi"/>
              <w:noProof/>
            </w:rPr>
          </w:pPr>
          <w:hyperlink w:anchor="_Toc241565685" w:history="1">
            <w:r w:rsidRPr="00B95EB3">
              <w:rPr>
                <w:rStyle w:val="Hyperlink"/>
                <w:rFonts w:asciiTheme="majorHAnsi" w:hAnsiTheme="majorHAnsi" w:cstheme="majorHAnsi"/>
                <w:noProof/>
              </w:rPr>
              <w:t>2.6.6 Inferring Nitrogenous Loading from Feeding Events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_Toc241565685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35C1BC6" w14:textId="77777777" w:rsidR="00B95EB3" w:rsidRPr="00B95EB3" w:rsidRDefault="00B95EB3">
          <w:pPr>
            <w:pStyle w:val="TOC3"/>
            <w:tabs>
              <w:tab w:val="right" w:leader="dot" w:pos="9016"/>
            </w:tabs>
            <w:rPr>
              <w:rFonts w:asciiTheme="majorHAnsi" w:hAnsiTheme="majorHAnsi" w:cstheme="majorHAnsi"/>
              <w:noProof/>
            </w:rPr>
          </w:pPr>
          <w:hyperlink w:anchor="_Toc241565686" w:history="1">
            <w:r w:rsidRPr="00B95EB3">
              <w:rPr>
                <w:rStyle w:val="Hyperlink"/>
                <w:rFonts w:asciiTheme="majorHAnsi" w:hAnsiTheme="majorHAnsi" w:cstheme="majorHAnsi"/>
                <w:noProof/>
              </w:rPr>
              <w:t>2.6.7 Colorimetric Ammonia Indication Read Optically</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_Toc241565686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FA24449" w14:textId="77777777" w:rsidR="00B95EB3" w:rsidRPr="00B95EB3" w:rsidRDefault="00B95EB3">
          <w:pPr>
            <w:pStyle w:val="TOC3"/>
            <w:tabs>
              <w:tab w:val="right" w:leader="dot" w:pos="9016"/>
            </w:tabs>
            <w:rPr>
              <w:rFonts w:asciiTheme="majorHAnsi" w:hAnsiTheme="majorHAnsi" w:cstheme="majorHAnsi"/>
              <w:noProof/>
            </w:rPr>
          </w:pPr>
          <w:hyperlink w:anchor="_Toc241565687" w:history="1">
            <w:r w:rsidRPr="00B95EB3">
              <w:rPr>
                <w:rStyle w:val="Hyperlink"/>
                <w:rFonts w:asciiTheme="majorHAnsi" w:hAnsiTheme="majorHAnsi" w:cstheme="majorHAnsi"/>
                <w:noProof/>
              </w:rPr>
              <w:t>2.6.8 Optical Proxying of Algal Biomass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_Toc241565687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F2277B1" w14:textId="77777777" w:rsidR="00B95EB3" w:rsidRPr="00B95EB3" w:rsidRDefault="00B95EB3">
          <w:pPr>
            <w:pStyle w:val="TOC3"/>
            <w:tabs>
              <w:tab w:val="right" w:leader="dot" w:pos="9016"/>
            </w:tabs>
            <w:rPr>
              <w:rFonts w:asciiTheme="majorHAnsi" w:hAnsiTheme="majorHAnsi" w:cstheme="majorHAnsi"/>
              <w:noProof/>
            </w:rPr>
          </w:pPr>
          <w:hyperlink w:anchor="_Toc241565688" w:history="1">
            <w:r w:rsidRPr="00B95EB3">
              <w:rPr>
                <w:rStyle w:val="Hyperlink"/>
                <w:rFonts w:asciiTheme="majorHAnsi" w:hAnsiTheme="majorHAnsi" w:cstheme="majorHAnsi"/>
                <w:noProof/>
              </w:rPr>
              <w:t>2.6.9 Ambient Light Measurement</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_Toc241565688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8568C9A" w14:textId="77777777" w:rsidR="00B95EB3" w:rsidRPr="00B95EB3" w:rsidRDefault="00B95EB3">
          <w:pPr>
            <w:pStyle w:val="TOC2"/>
            <w:tabs>
              <w:tab w:val="right" w:leader="dot" w:pos="9016"/>
            </w:tabs>
            <w:rPr>
              <w:rFonts w:asciiTheme="majorHAnsi" w:hAnsiTheme="majorHAnsi" w:cstheme="majorHAnsi"/>
              <w:noProof/>
            </w:rPr>
          </w:pPr>
          <w:hyperlink w:anchor="_Toc241565689" w:history="1">
            <w:r w:rsidRPr="00B95EB3">
              <w:rPr>
                <w:rStyle w:val="Hyperlink"/>
                <w:rFonts w:asciiTheme="majorHAnsi" w:hAnsiTheme="majorHAnsi" w:cstheme="majorHAnsi"/>
                <w:noProof/>
              </w:rPr>
              <w:t>2.7 Chapter Synthesis and Gap Statement</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_Toc241565689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B5CDED8" w14:textId="77777777" w:rsidR="00B95EB3" w:rsidRPr="00B95EB3" w:rsidRDefault="00B95EB3">
          <w:pPr>
            <w:pStyle w:val="TOC1"/>
            <w:tabs>
              <w:tab w:val="right" w:leader="dot" w:pos="9016"/>
            </w:tabs>
            <w:rPr>
              <w:rFonts w:asciiTheme="majorHAnsi" w:hAnsiTheme="majorHAnsi" w:cstheme="majorHAnsi"/>
              <w:noProof/>
            </w:rPr>
          </w:pPr>
          <w:hyperlink w:anchor="_Toc241565690" w:history="1">
            <w:r w:rsidRPr="00B95EB3">
              <w:rPr>
                <w:rStyle w:val="Hyperlink"/>
                <w:rFonts w:asciiTheme="majorHAnsi" w:hAnsiTheme="majorHAnsi" w:cstheme="majorHAnsi"/>
                <w:noProof/>
              </w:rPr>
              <w:t>Chapter 3: Architecture and System Design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_Toc241565690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4DDB15B" w14:textId="77777777" w:rsidR="00B95EB3" w:rsidRPr="00B95EB3" w:rsidRDefault="00B95EB3">
          <w:pPr>
            <w:pStyle w:val="TOC2"/>
            <w:tabs>
              <w:tab w:val="right" w:leader="dot" w:pos="9016"/>
            </w:tabs>
            <w:rPr>
              <w:rFonts w:asciiTheme="majorHAnsi" w:hAnsiTheme="majorHAnsi" w:cstheme="majorHAnsi"/>
              <w:noProof/>
            </w:rPr>
          </w:pPr>
          <w:hyperlink w:anchor="_Toc241565691" w:history="1">
            <w:r w:rsidRPr="00B95EB3">
              <w:rPr>
                <w:rStyle w:val="Hyperlink"/>
                <w:rFonts w:asciiTheme="majorHAnsi" w:hAnsiTheme="majorHAnsi" w:cstheme="majorHAnsi"/>
                <w:noProof/>
              </w:rPr>
              <w:t>3.1 Architecture Overview</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_Toc241565691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7E99BF7" w14:textId="77777777" w:rsidR="00B95EB3" w:rsidRPr="00B95EB3" w:rsidRDefault="00B95EB3">
          <w:pPr>
            <w:pStyle w:val="TOC2"/>
            <w:tabs>
              <w:tab w:val="right" w:leader="dot" w:pos="9016"/>
            </w:tabs>
            <w:rPr>
              <w:rFonts w:asciiTheme="majorHAnsi" w:hAnsiTheme="majorHAnsi" w:cstheme="majorHAnsi"/>
              <w:noProof/>
            </w:rPr>
          </w:pPr>
          <w:hyperlink w:anchor="_Toc241565692" w:history="1">
            <w:r w:rsidRPr="00B95EB3">
              <w:rPr>
                <w:rStyle w:val="Hyperlink"/>
                <w:rFonts w:asciiTheme="majorHAnsi" w:hAnsiTheme="majorHAnsi" w:cstheme="majorHAnsi"/>
                <w:noProof/>
              </w:rPr>
              <w:t>3.2 Hardware Selection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_Toc241565692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8113D80" w14:textId="77777777" w:rsidR="00B95EB3" w:rsidRPr="00B95EB3" w:rsidRDefault="00B95EB3">
          <w:pPr>
            <w:pStyle w:val="TOC3"/>
            <w:tabs>
              <w:tab w:val="right" w:leader="dot" w:pos="9016"/>
            </w:tabs>
            <w:rPr>
              <w:rFonts w:asciiTheme="majorHAnsi" w:hAnsiTheme="majorHAnsi" w:cstheme="majorHAnsi"/>
              <w:noProof/>
            </w:rPr>
          </w:pPr>
          <w:hyperlink w:anchor="_Toc241565693" w:history="1">
            <w:r w:rsidRPr="00B95EB3">
              <w:rPr>
                <w:rStyle w:val="Hyperlink"/>
                <w:rFonts w:asciiTheme="majorHAnsi" w:hAnsiTheme="majorHAnsi" w:cstheme="majorHAnsi"/>
                <w:noProof/>
              </w:rPr>
              <w:t>3.2.1 ESP32 Main Microcontroller</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_Toc241565693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871517B" w14:textId="77777777" w:rsidR="00B95EB3" w:rsidRPr="00B95EB3" w:rsidRDefault="00B95EB3">
          <w:pPr>
            <w:pStyle w:val="TOC3"/>
            <w:tabs>
              <w:tab w:val="right" w:leader="dot" w:pos="9016"/>
            </w:tabs>
            <w:rPr>
              <w:rFonts w:asciiTheme="majorHAnsi" w:hAnsiTheme="majorHAnsi" w:cstheme="majorHAnsi"/>
              <w:noProof/>
            </w:rPr>
          </w:pPr>
          <w:hyperlink w:anchor="_Toc241565694" w:history="1">
            <w:r w:rsidRPr="00B95EB3">
              <w:rPr>
                <w:rStyle w:val="Hyperlink"/>
                <w:rFonts w:asciiTheme="majorHAnsi" w:hAnsiTheme="majorHAnsi" w:cstheme="majorHAnsi"/>
                <w:noProof/>
              </w:rPr>
              <w:t>3.2.2 Powering Sensors from GPIO Pins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_Toc241565694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E4FD0CC" w14:textId="77777777" w:rsidR="00B95EB3" w:rsidRPr="00B95EB3" w:rsidRDefault="00B95EB3">
          <w:pPr>
            <w:pStyle w:val="TOC3"/>
            <w:tabs>
              <w:tab w:val="right" w:leader="dot" w:pos="9016"/>
            </w:tabs>
            <w:rPr>
              <w:rFonts w:asciiTheme="majorHAnsi" w:hAnsiTheme="majorHAnsi" w:cstheme="majorHAnsi"/>
              <w:noProof/>
            </w:rPr>
          </w:pPr>
          <w:hyperlink w:anchor="_Toc241565695" w:history="1">
            <w:r w:rsidRPr="00B95EB3">
              <w:rPr>
                <w:rStyle w:val="Hyperlink"/>
                <w:rFonts w:asciiTheme="majorHAnsi" w:hAnsiTheme="majorHAnsi" w:cstheme="majorHAnsi"/>
                <w:noProof/>
              </w:rPr>
              <w:t>3.2.3 DS18B20 Water Temperature Sensor</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_Toc241565695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709F85A" w14:textId="77777777" w:rsidR="00B95EB3" w:rsidRPr="00B95EB3" w:rsidRDefault="00B95EB3">
          <w:pPr>
            <w:pStyle w:val="TOC3"/>
            <w:tabs>
              <w:tab w:val="right" w:leader="dot" w:pos="9016"/>
            </w:tabs>
            <w:rPr>
              <w:rFonts w:asciiTheme="majorHAnsi" w:hAnsiTheme="majorHAnsi" w:cstheme="majorHAnsi"/>
              <w:noProof/>
            </w:rPr>
          </w:pPr>
          <w:hyperlink w:anchor="_Toc241565696" w:history="1">
            <w:r w:rsidRPr="00B95EB3">
              <w:rPr>
                <w:rStyle w:val="Hyperlink"/>
                <w:rFonts w:asciiTheme="majorHAnsi" w:hAnsiTheme="majorHAnsi" w:cstheme="majorHAnsi"/>
                <w:noProof/>
              </w:rPr>
              <w:t>3.2.4 Analogue TDS Sensor</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_Toc241565696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4897128" w14:textId="77777777" w:rsidR="00B95EB3" w:rsidRPr="00B95EB3" w:rsidRDefault="00B95EB3">
          <w:pPr>
            <w:pStyle w:val="TOC3"/>
            <w:tabs>
              <w:tab w:val="right" w:leader="dot" w:pos="9016"/>
            </w:tabs>
            <w:rPr>
              <w:rFonts w:asciiTheme="majorHAnsi" w:hAnsiTheme="majorHAnsi" w:cstheme="majorHAnsi"/>
              <w:noProof/>
            </w:rPr>
          </w:pPr>
          <w:hyperlink w:anchor="_Toc241565697" w:history="1">
            <w:r w:rsidRPr="00B95EB3">
              <w:rPr>
                <w:rStyle w:val="Hyperlink"/>
                <w:rFonts w:asciiTheme="majorHAnsi" w:hAnsiTheme="majorHAnsi" w:cstheme="majorHAnsi"/>
                <w:noProof/>
              </w:rPr>
              <w:t>3.2.5 pH Sensor and Front End</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_Toc241565697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7C6EAEB" w14:textId="77777777" w:rsidR="00B95EB3" w:rsidRPr="00B95EB3" w:rsidRDefault="00B95EB3">
          <w:pPr>
            <w:pStyle w:val="TOC3"/>
            <w:tabs>
              <w:tab w:val="right" w:leader="dot" w:pos="9016"/>
            </w:tabs>
            <w:rPr>
              <w:rFonts w:asciiTheme="majorHAnsi" w:hAnsiTheme="majorHAnsi" w:cstheme="majorHAnsi"/>
              <w:noProof/>
            </w:rPr>
          </w:pPr>
          <w:hyperlink w:anchor="_Toc241565698" w:history="1">
            <w:r w:rsidRPr="00B95EB3">
              <w:rPr>
                <w:rStyle w:val="Hyperlink"/>
                <w:rFonts w:asciiTheme="majorHAnsi" w:hAnsiTheme="majorHAnsi" w:cstheme="majorHAnsi"/>
                <w:noProof/>
              </w:rPr>
              <w:t>3.2.6 Light and Colour Sensors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_Toc241565698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52EF59C" w14:textId="77777777" w:rsidR="00B95EB3" w:rsidRPr="00B95EB3" w:rsidRDefault="00B95EB3">
          <w:pPr>
            <w:pStyle w:val="TOC3"/>
            <w:tabs>
              <w:tab w:val="right" w:leader="dot" w:pos="9016"/>
            </w:tabs>
            <w:rPr>
              <w:rFonts w:asciiTheme="majorHAnsi" w:hAnsiTheme="majorHAnsi" w:cstheme="majorHAnsi"/>
              <w:noProof/>
            </w:rPr>
          </w:pPr>
          <w:hyperlink w:anchor="_Toc241565699" w:history="1">
            <w:r w:rsidRPr="00B95EB3">
              <w:rPr>
                <w:rStyle w:val="Hyperlink"/>
                <w:rFonts w:asciiTheme="majorHAnsi" w:hAnsiTheme="majorHAnsi" w:cstheme="majorHAnsi"/>
                <w:noProof/>
              </w:rPr>
              <w:t>3.2.7 ESP32-CAM Module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_Toc241565699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5916360" w14:textId="77777777" w:rsidR="00B95EB3" w:rsidRPr="00B95EB3" w:rsidRDefault="00B95EB3">
          <w:pPr>
            <w:pStyle w:val="TOC3"/>
            <w:tabs>
              <w:tab w:val="right" w:leader="dot" w:pos="9016"/>
            </w:tabs>
            <w:rPr>
              <w:rFonts w:asciiTheme="majorHAnsi" w:hAnsiTheme="majorHAnsi" w:cstheme="majorHAnsi"/>
              <w:noProof/>
            </w:rPr>
          </w:pPr>
          <w:hyperlink w:anchor="_Toc241565700" w:history="1">
            <w:r w:rsidRPr="00B95EB3">
              <w:rPr>
                <w:rStyle w:val="Hyperlink"/>
                <w:rFonts w:asciiTheme="majorHAnsi" w:hAnsiTheme="majorHAnsi" w:cstheme="majorHAnsi"/>
                <w:noProof/>
              </w:rPr>
              <w:t>3.2.8 Power Supply and Regulation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_Toc241565700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59E1D89" w14:textId="77777777" w:rsidR="00B95EB3" w:rsidRPr="00B95EB3" w:rsidRDefault="00B95EB3">
          <w:pPr>
            <w:pStyle w:val="TOC2"/>
            <w:tabs>
              <w:tab w:val="right" w:leader="dot" w:pos="9016"/>
            </w:tabs>
            <w:rPr>
              <w:rFonts w:asciiTheme="majorHAnsi" w:hAnsiTheme="majorHAnsi" w:cstheme="majorHAnsi"/>
              <w:noProof/>
            </w:rPr>
          </w:pPr>
          <w:hyperlink w:anchor="_Toc241565701" w:history="1">
            <w:r w:rsidRPr="00B95EB3">
              <w:rPr>
                <w:rStyle w:val="Hyperlink"/>
                <w:rFonts w:asciiTheme="majorHAnsi" w:hAnsiTheme="majorHAnsi" w:cstheme="majorHAnsi"/>
                <w:noProof/>
              </w:rPr>
              <w:t>3.3 Power Budget</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_Toc241565701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DDFEB6F" w14:textId="77777777" w:rsidR="00B95EB3" w:rsidRPr="00B95EB3" w:rsidRDefault="00B95EB3">
          <w:pPr>
            <w:pStyle w:val="TOC3"/>
            <w:tabs>
              <w:tab w:val="right" w:leader="dot" w:pos="9016"/>
            </w:tabs>
            <w:rPr>
              <w:rFonts w:asciiTheme="majorHAnsi" w:hAnsiTheme="majorHAnsi" w:cstheme="majorHAnsi"/>
              <w:noProof/>
            </w:rPr>
          </w:pPr>
          <w:hyperlink w:anchor="_Toc241565702" w:history="1">
            <w:r w:rsidRPr="00B95EB3">
              <w:rPr>
                <w:rStyle w:val="Hyperlink"/>
                <w:rFonts w:asciiTheme="majorHAnsi" w:hAnsiTheme="majorHAnsi" w:cstheme="majorHAnsi"/>
                <w:noProof/>
              </w:rPr>
              <w:t>3.3.1 Load Figures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_Toc241565702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257D2ED" w14:textId="77777777" w:rsidR="00B95EB3" w:rsidRPr="00B95EB3" w:rsidRDefault="00B95EB3">
          <w:pPr>
            <w:pStyle w:val="TOC3"/>
            <w:tabs>
              <w:tab w:val="right" w:leader="dot" w:pos="9016"/>
            </w:tabs>
            <w:rPr>
              <w:rFonts w:asciiTheme="majorHAnsi" w:hAnsiTheme="majorHAnsi" w:cstheme="majorHAnsi"/>
              <w:noProof/>
            </w:rPr>
          </w:pPr>
          <w:hyperlink w:anchor="_Toc241565703" w:history="1">
            <w:r w:rsidRPr="00B95EB3">
              <w:rPr>
                <w:rStyle w:val="Hyperlink"/>
                <w:rFonts w:asciiTheme="majorHAnsi" w:hAnsiTheme="majorHAnsi" w:cstheme="majorHAnsi"/>
                <w:noProof/>
              </w:rPr>
              <w:t>3.3.2 Energy per Cycle and Service Estimate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_Toc241565703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E437A27" w14:textId="77777777" w:rsidR="00B95EB3" w:rsidRPr="00B95EB3" w:rsidRDefault="00B95EB3">
          <w:pPr>
            <w:pStyle w:val="TOC2"/>
            <w:tabs>
              <w:tab w:val="right" w:leader="dot" w:pos="9016"/>
            </w:tabs>
            <w:rPr>
              <w:rFonts w:asciiTheme="majorHAnsi" w:hAnsiTheme="majorHAnsi" w:cstheme="majorHAnsi"/>
              <w:noProof/>
            </w:rPr>
          </w:pPr>
          <w:hyperlink w:anchor="_Toc241565704" w:history="1">
            <w:r w:rsidRPr="00B95EB3">
              <w:rPr>
                <w:rStyle w:val="Hyperlink"/>
                <w:rFonts w:asciiTheme="majorHAnsi" w:hAnsiTheme="majorHAnsi" w:cstheme="majorHAnsi"/>
                <w:noProof/>
              </w:rPr>
              <w:t>3.4 Sampling Schedule, Deep Sleep and Interference Control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_Toc241565704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DB222E0" w14:textId="77777777" w:rsidR="00B95EB3" w:rsidRPr="00B95EB3" w:rsidRDefault="00B95EB3">
          <w:pPr>
            <w:pStyle w:val="TOC3"/>
            <w:tabs>
              <w:tab w:val="right" w:leader="dot" w:pos="9016"/>
            </w:tabs>
            <w:rPr>
              <w:rFonts w:asciiTheme="majorHAnsi" w:hAnsiTheme="majorHAnsi" w:cstheme="majorHAnsi"/>
              <w:noProof/>
            </w:rPr>
          </w:pPr>
          <w:hyperlink w:anchor="_Toc241565705" w:history="1">
            <w:r w:rsidRPr="00B95EB3">
              <w:rPr>
                <w:rStyle w:val="Hyperlink"/>
                <w:rFonts w:asciiTheme="majorHAnsi" w:hAnsiTheme="majorHAnsi" w:cstheme="majorHAnsi"/>
                <w:noProof/>
              </w:rPr>
              <w:t>3.4.1 Five-Minute Base Interval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_Toc241565705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35F0F41F" w14:textId="77777777" w:rsidR="00B95EB3" w:rsidRPr="00B95EB3" w:rsidRDefault="00B95EB3">
          <w:pPr>
            <w:pStyle w:val="TOC3"/>
            <w:tabs>
              <w:tab w:val="right" w:leader="dot" w:pos="9016"/>
            </w:tabs>
            <w:rPr>
              <w:rFonts w:asciiTheme="majorHAnsi" w:hAnsiTheme="majorHAnsi" w:cstheme="majorHAnsi"/>
              <w:noProof/>
            </w:rPr>
          </w:pPr>
          <w:hyperlink w:anchor="_Toc241565706" w:history="1">
            <w:r w:rsidRPr="00B95EB3">
              <w:rPr>
                <w:rStyle w:val="Hyperlink"/>
                <w:rFonts w:asciiTheme="majorHAnsi" w:hAnsiTheme="majorHAnsi" w:cstheme="majorHAnsi"/>
                <w:noProof/>
              </w:rPr>
              <w:t>3.4.2 Sensor Cycle Sequence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_Toc241565706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7D20FC4" w14:textId="77777777" w:rsidR="00B95EB3" w:rsidRPr="00B95EB3" w:rsidRDefault="00B95EB3">
          <w:pPr>
            <w:pStyle w:val="TOC3"/>
            <w:tabs>
              <w:tab w:val="right" w:leader="dot" w:pos="9016"/>
            </w:tabs>
            <w:rPr>
              <w:rFonts w:asciiTheme="majorHAnsi" w:hAnsiTheme="majorHAnsi" w:cstheme="majorHAnsi"/>
              <w:noProof/>
            </w:rPr>
          </w:pPr>
          <w:hyperlink w:anchor="_Toc241565707" w:history="1">
            <w:r w:rsidRPr="00B95EB3">
              <w:rPr>
                <w:rStyle w:val="Hyperlink"/>
                <w:rFonts w:asciiTheme="majorHAnsi" w:hAnsiTheme="majorHAnsi" w:cstheme="majorHAnsi"/>
                <w:noProof/>
              </w:rPr>
              <w:t>3.4.3 Why pH Requires Time Separation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_Toc241565707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0B3CF7C" w14:textId="77777777" w:rsidR="00B95EB3" w:rsidRPr="00B95EB3" w:rsidRDefault="00B95EB3">
          <w:pPr>
            <w:pStyle w:val="TOC3"/>
            <w:tabs>
              <w:tab w:val="right" w:leader="dot" w:pos="9016"/>
            </w:tabs>
            <w:rPr>
              <w:rFonts w:asciiTheme="majorHAnsi" w:hAnsiTheme="majorHAnsi" w:cstheme="majorHAnsi"/>
              <w:noProof/>
            </w:rPr>
          </w:pPr>
          <w:hyperlink w:anchor="_Toc241565708" w:history="1">
            <w:r w:rsidRPr="00B95EB3">
              <w:rPr>
                <w:rStyle w:val="Hyperlink"/>
                <w:rFonts w:asciiTheme="majorHAnsi" w:hAnsiTheme="majorHAnsi" w:cstheme="majorHAnsi"/>
                <w:noProof/>
              </w:rPr>
              <w:t>3.4.4 Deep Sleep Operation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_Toc241565708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D2B9680" w14:textId="77777777" w:rsidR="00B95EB3" w:rsidRPr="00B95EB3" w:rsidRDefault="00B95EB3">
          <w:pPr>
            <w:pStyle w:val="TOC2"/>
            <w:tabs>
              <w:tab w:val="right" w:leader="dot" w:pos="9016"/>
            </w:tabs>
            <w:rPr>
              <w:rFonts w:asciiTheme="majorHAnsi" w:hAnsiTheme="majorHAnsi" w:cstheme="majorHAnsi"/>
              <w:noProof/>
            </w:rPr>
          </w:pPr>
          <w:hyperlink w:anchor="_Toc241565709" w:history="1">
            <w:r w:rsidRPr="00B95EB3">
              <w:rPr>
                <w:rStyle w:val="Hyperlink"/>
                <w:rFonts w:asciiTheme="majorHAnsi" w:hAnsiTheme="majorHAnsi" w:cstheme="majorHAnsi"/>
                <w:noProof/>
              </w:rPr>
              <w:t>3.5 Consolidated Hardware Summary</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_Toc241565709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C3966CC" w14:textId="77777777" w:rsidR="00B95EB3" w:rsidRPr="00B95EB3" w:rsidRDefault="00B95EB3">
          <w:pPr>
            <w:pStyle w:val="TOC2"/>
            <w:tabs>
              <w:tab w:val="right" w:leader="dot" w:pos="9016"/>
            </w:tabs>
            <w:rPr>
              <w:rFonts w:asciiTheme="majorHAnsi" w:hAnsiTheme="majorHAnsi" w:cstheme="majorHAnsi"/>
              <w:noProof/>
            </w:rPr>
          </w:pPr>
          <w:hyperlink w:anchor="_Toc241565710" w:history="1">
            <w:r w:rsidRPr="00B95EB3">
              <w:rPr>
                <w:rStyle w:val="Hyperlink"/>
                <w:rFonts w:asciiTheme="majorHAnsi" w:hAnsiTheme="majorHAnsi" w:cstheme="majorHAnsi"/>
                <w:noProof/>
              </w:rPr>
              <w:t>3.6 Communication Architecture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_Toc241565710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31295FBA" w14:textId="77777777" w:rsidR="00B95EB3" w:rsidRPr="00B95EB3" w:rsidRDefault="00B95EB3">
          <w:pPr>
            <w:pStyle w:val="TOC3"/>
            <w:tabs>
              <w:tab w:val="right" w:leader="dot" w:pos="9016"/>
            </w:tabs>
            <w:rPr>
              <w:rFonts w:asciiTheme="majorHAnsi" w:hAnsiTheme="majorHAnsi" w:cstheme="majorHAnsi"/>
              <w:noProof/>
            </w:rPr>
          </w:pPr>
          <w:hyperlink w:anchor="_Toc241565711" w:history="1">
            <w:r w:rsidRPr="00B95EB3">
              <w:rPr>
                <w:rStyle w:val="Hyperlink"/>
                <w:rFonts w:asciiTheme="majorHAnsi" w:hAnsiTheme="majorHAnsi" w:cstheme="majorHAnsi"/>
                <w:noProof/>
              </w:rPr>
              <w:t>3.6.1 Local Hardware Protocols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_Toc241565711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B4A1E37" w14:textId="77777777" w:rsidR="00B95EB3" w:rsidRPr="00B95EB3" w:rsidRDefault="00B95EB3">
          <w:pPr>
            <w:pStyle w:val="TOC3"/>
            <w:tabs>
              <w:tab w:val="right" w:leader="dot" w:pos="9016"/>
            </w:tabs>
            <w:rPr>
              <w:rFonts w:asciiTheme="majorHAnsi" w:hAnsiTheme="majorHAnsi" w:cstheme="majorHAnsi"/>
              <w:noProof/>
            </w:rPr>
          </w:pPr>
          <w:hyperlink w:anchor="_Toc241565712" w:history="1">
            <w:r w:rsidRPr="00B95EB3">
              <w:rPr>
                <w:rStyle w:val="Hyperlink"/>
                <w:rFonts w:asciiTheme="majorHAnsi" w:hAnsiTheme="majorHAnsi" w:cstheme="majorHAnsi"/>
                <w:noProof/>
              </w:rPr>
              <w:t>3.6.2 Sensor Node Telemetry</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_Toc241565712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575EDF0" w14:textId="77777777" w:rsidR="00B95EB3" w:rsidRPr="00B95EB3" w:rsidRDefault="00B95EB3">
          <w:pPr>
            <w:pStyle w:val="TOC3"/>
            <w:tabs>
              <w:tab w:val="right" w:leader="dot" w:pos="9016"/>
            </w:tabs>
            <w:rPr>
              <w:rFonts w:asciiTheme="majorHAnsi" w:hAnsiTheme="majorHAnsi" w:cstheme="majorHAnsi"/>
              <w:noProof/>
            </w:rPr>
          </w:pPr>
          <w:hyperlink w:anchor="_Toc241565713" w:history="1">
            <w:r w:rsidRPr="00B95EB3">
              <w:rPr>
                <w:rStyle w:val="Hyperlink"/>
                <w:rFonts w:asciiTheme="majorHAnsi" w:hAnsiTheme="majorHAnsi" w:cstheme="majorHAnsi"/>
                <w:noProof/>
              </w:rPr>
              <w:t>3.6.3 Two Data Paths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_Toc241565713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835CE61" w14:textId="77777777" w:rsidR="00B95EB3" w:rsidRPr="00B95EB3" w:rsidRDefault="00B95EB3">
          <w:pPr>
            <w:pStyle w:val="TOC2"/>
            <w:tabs>
              <w:tab w:val="right" w:leader="dot" w:pos="9016"/>
            </w:tabs>
            <w:rPr>
              <w:rFonts w:asciiTheme="majorHAnsi" w:hAnsiTheme="majorHAnsi" w:cstheme="majorHAnsi"/>
              <w:noProof/>
            </w:rPr>
          </w:pPr>
          <w:hyperlink w:anchor="_Toc241565714" w:history="1">
            <w:r w:rsidRPr="00B95EB3">
              <w:rPr>
                <w:rStyle w:val="Hyperlink"/>
                <w:rFonts w:asciiTheme="majorHAnsi" w:hAnsiTheme="majorHAnsi" w:cstheme="majorHAnsi"/>
                <w:noProof/>
              </w:rPr>
              <w:t>3.7 Camera Analysis Service and Scheduling</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_Toc241565714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33B2FEF" w14:textId="77777777" w:rsidR="00B95EB3" w:rsidRPr="00B95EB3" w:rsidRDefault="00B95EB3">
          <w:pPr>
            <w:pStyle w:val="TOC3"/>
            <w:tabs>
              <w:tab w:val="right" w:leader="dot" w:pos="9016"/>
            </w:tabs>
            <w:rPr>
              <w:rFonts w:asciiTheme="majorHAnsi" w:hAnsiTheme="majorHAnsi" w:cstheme="majorHAnsi"/>
              <w:noProof/>
            </w:rPr>
          </w:pPr>
          <w:hyperlink w:anchor="_Toc241565715" w:history="1">
            <w:r w:rsidRPr="00B95EB3">
              <w:rPr>
                <w:rStyle w:val="Hyperlink"/>
                <w:rFonts w:asciiTheme="majorHAnsi" w:hAnsiTheme="majorHAnsi" w:cstheme="majorHAnsi"/>
                <w:noProof/>
              </w:rPr>
              <w:t>3.7.1 Hosting on PythonAnywhere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_Toc241565715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0AAD5B6" w14:textId="77777777" w:rsidR="00B95EB3" w:rsidRPr="00B95EB3" w:rsidRDefault="00B95EB3">
          <w:pPr>
            <w:pStyle w:val="TOC3"/>
            <w:tabs>
              <w:tab w:val="right" w:leader="dot" w:pos="9016"/>
            </w:tabs>
            <w:rPr>
              <w:rFonts w:asciiTheme="majorHAnsi" w:hAnsiTheme="majorHAnsi" w:cstheme="majorHAnsi"/>
              <w:noProof/>
            </w:rPr>
          </w:pPr>
          <w:hyperlink w:anchor="_Toc241565716" w:history="1">
            <w:r w:rsidRPr="00B95EB3">
              <w:rPr>
                <w:rStyle w:val="Hyperlink"/>
                <w:rFonts w:asciiTheme="majorHAnsi" w:hAnsiTheme="majorHAnsi" w:cstheme="majorHAnsi"/>
                <w:noProof/>
              </w:rPr>
              <w:t>3.7.2 Image Analysis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_Toc241565716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4D5AAEA" w14:textId="77777777" w:rsidR="00B95EB3" w:rsidRPr="00B95EB3" w:rsidRDefault="00B95EB3">
          <w:pPr>
            <w:pStyle w:val="TOC3"/>
            <w:tabs>
              <w:tab w:val="right" w:leader="dot" w:pos="9016"/>
            </w:tabs>
            <w:rPr>
              <w:rFonts w:asciiTheme="majorHAnsi" w:hAnsiTheme="majorHAnsi" w:cstheme="majorHAnsi"/>
              <w:noProof/>
            </w:rPr>
          </w:pPr>
          <w:hyperlink w:anchor="_Toc241565717" w:history="1">
            <w:r w:rsidRPr="00B95EB3">
              <w:rPr>
                <w:rStyle w:val="Hyperlink"/>
                <w:rFonts w:asciiTheme="majorHAnsi" w:hAnsiTheme="majorHAnsi" w:cstheme="majorHAnsi"/>
                <w:noProof/>
              </w:rPr>
              <w:t>3.7.3 Camera States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_Toc241565717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40AC053" w14:textId="77777777" w:rsidR="00B95EB3" w:rsidRPr="00B95EB3" w:rsidRDefault="00B95EB3">
          <w:pPr>
            <w:pStyle w:val="TOC3"/>
            <w:tabs>
              <w:tab w:val="right" w:leader="dot" w:pos="9016"/>
            </w:tabs>
            <w:rPr>
              <w:rFonts w:asciiTheme="majorHAnsi" w:hAnsiTheme="majorHAnsi" w:cstheme="majorHAnsi"/>
              <w:noProof/>
            </w:rPr>
          </w:pPr>
          <w:hyperlink w:anchor="_Toc241565718" w:history="1">
            <w:r w:rsidRPr="00B95EB3">
              <w:rPr>
                <w:rStyle w:val="Hyperlink"/>
                <w:rFonts w:asciiTheme="majorHAnsi" w:hAnsiTheme="majorHAnsi" w:cstheme="majorHAnsi"/>
                <w:noProof/>
              </w:rPr>
              <w:t>3.7.4 Device-Side Safeguards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_Toc241565718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B8130E1" w14:textId="77777777" w:rsidR="00B95EB3" w:rsidRPr="00B95EB3" w:rsidRDefault="00B95EB3">
          <w:pPr>
            <w:pStyle w:val="TOC2"/>
            <w:tabs>
              <w:tab w:val="right" w:leader="dot" w:pos="9016"/>
            </w:tabs>
            <w:rPr>
              <w:rFonts w:asciiTheme="majorHAnsi" w:hAnsiTheme="majorHAnsi" w:cstheme="majorHAnsi"/>
              <w:noProof/>
            </w:rPr>
          </w:pPr>
          <w:hyperlink w:anchor="_Toc241565719" w:history="1">
            <w:r w:rsidRPr="00B95EB3">
              <w:rPr>
                <w:rStyle w:val="Hyperlink"/>
                <w:rFonts w:asciiTheme="majorHAnsi" w:hAnsiTheme="majorHAnsi" w:cstheme="majorHAnsi"/>
                <w:noProof/>
              </w:rPr>
              <w:t>3.8 Supabase Data Store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_Toc241565719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63D03FB" w14:textId="77777777" w:rsidR="00B95EB3" w:rsidRPr="00B95EB3" w:rsidRDefault="00B95EB3">
          <w:pPr>
            <w:pStyle w:val="TOC2"/>
            <w:tabs>
              <w:tab w:val="right" w:leader="dot" w:pos="9016"/>
            </w:tabs>
            <w:rPr>
              <w:rFonts w:asciiTheme="majorHAnsi" w:hAnsiTheme="majorHAnsi" w:cstheme="majorHAnsi"/>
              <w:noProof/>
            </w:rPr>
          </w:pPr>
          <w:hyperlink w:anchor="_Toc241565720" w:history="1">
            <w:r w:rsidRPr="00B95EB3">
              <w:rPr>
                <w:rStyle w:val="Hyperlink"/>
                <w:rFonts w:asciiTheme="majorHAnsi" w:hAnsiTheme="majorHAnsi" w:cstheme="majorHAnsi"/>
                <w:noProof/>
              </w:rPr>
              <w:t>3.9 Digital Twin Service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_Toc241565720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DCE584C" w14:textId="77777777" w:rsidR="00B95EB3" w:rsidRPr="00B95EB3" w:rsidRDefault="00B95EB3">
          <w:pPr>
            <w:pStyle w:val="TOC3"/>
            <w:tabs>
              <w:tab w:val="right" w:leader="dot" w:pos="9016"/>
            </w:tabs>
            <w:rPr>
              <w:rFonts w:asciiTheme="majorHAnsi" w:hAnsiTheme="majorHAnsi" w:cstheme="majorHAnsi"/>
              <w:noProof/>
            </w:rPr>
          </w:pPr>
          <w:hyperlink w:anchor="_Toc241565721" w:history="1">
            <w:r w:rsidRPr="00B95EB3">
              <w:rPr>
                <w:rStyle w:val="Hyperlink"/>
                <w:rFonts w:asciiTheme="majorHAnsi" w:hAnsiTheme="majorHAnsi" w:cstheme="majorHAnsi"/>
                <w:noProof/>
              </w:rPr>
              <w:t>3.9.1 Structure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_Toc241565721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01E4A95" w14:textId="77777777" w:rsidR="00B95EB3" w:rsidRPr="00B95EB3" w:rsidRDefault="00B95EB3">
          <w:pPr>
            <w:pStyle w:val="TOC3"/>
            <w:tabs>
              <w:tab w:val="right" w:leader="dot" w:pos="9016"/>
            </w:tabs>
            <w:rPr>
              <w:rFonts w:asciiTheme="majorHAnsi" w:hAnsiTheme="majorHAnsi" w:cstheme="majorHAnsi"/>
              <w:noProof/>
            </w:rPr>
          </w:pPr>
          <w:hyperlink w:anchor="_Toc241565722" w:history="1">
            <w:r w:rsidRPr="00B95EB3">
              <w:rPr>
                <w:rStyle w:val="Hyperlink"/>
                <w:rFonts w:asciiTheme="majorHAnsi" w:hAnsiTheme="majorHAnsi" w:cstheme="majorHAnsi"/>
                <w:noProof/>
              </w:rPr>
              <w:t>3.9.2 Domain Engines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_Toc241565722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51FEA0E" w14:textId="77777777" w:rsidR="00B95EB3" w:rsidRPr="00B95EB3" w:rsidRDefault="00B95EB3">
          <w:pPr>
            <w:pStyle w:val="TOC3"/>
            <w:tabs>
              <w:tab w:val="right" w:leader="dot" w:pos="9016"/>
            </w:tabs>
            <w:rPr>
              <w:rFonts w:asciiTheme="majorHAnsi" w:hAnsiTheme="majorHAnsi" w:cstheme="majorHAnsi"/>
              <w:noProof/>
            </w:rPr>
          </w:pPr>
          <w:hyperlink w:anchor="_Toc241565723" w:history="1">
            <w:r w:rsidRPr="00B95EB3">
              <w:rPr>
                <w:rStyle w:val="Hyperlink"/>
                <w:rFonts w:asciiTheme="majorHAnsi" w:hAnsiTheme="majorHAnsi" w:cstheme="majorHAnsi"/>
                <w:noProof/>
              </w:rPr>
              <w:t>3.9.3 Inputs and Update Triggers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_Toc241565723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462F034" w14:textId="77777777" w:rsidR="00B95EB3" w:rsidRPr="00B95EB3" w:rsidRDefault="00B95EB3">
          <w:pPr>
            <w:pStyle w:val="TOC3"/>
            <w:tabs>
              <w:tab w:val="right" w:leader="dot" w:pos="9016"/>
            </w:tabs>
            <w:rPr>
              <w:rFonts w:asciiTheme="majorHAnsi" w:hAnsiTheme="majorHAnsi" w:cstheme="majorHAnsi"/>
              <w:noProof/>
            </w:rPr>
          </w:pPr>
          <w:hyperlink w:anchor="_Toc241565724" w:history="1">
            <w:r w:rsidRPr="00B95EB3">
              <w:rPr>
                <w:rStyle w:val="Hyperlink"/>
                <w:rFonts w:asciiTheme="majorHAnsi" w:hAnsiTheme="majorHAnsi" w:cstheme="majorHAnsi"/>
                <w:noProof/>
              </w:rPr>
              <w:t>3.9.4 TDS Context Processing</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_Toc241565724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2A5E1EC" w14:textId="77777777" w:rsidR="00B95EB3" w:rsidRPr="00B95EB3" w:rsidRDefault="00B95EB3">
          <w:pPr>
            <w:pStyle w:val="TOC3"/>
            <w:tabs>
              <w:tab w:val="right" w:leader="dot" w:pos="9016"/>
            </w:tabs>
            <w:rPr>
              <w:rFonts w:asciiTheme="majorHAnsi" w:hAnsiTheme="majorHAnsi" w:cstheme="majorHAnsi"/>
              <w:noProof/>
            </w:rPr>
          </w:pPr>
          <w:hyperlink w:anchor="_Toc241565725" w:history="1">
            <w:r w:rsidRPr="00B95EB3">
              <w:rPr>
                <w:rStyle w:val="Hyperlink"/>
                <w:rFonts w:asciiTheme="majorHAnsi" w:hAnsiTheme="majorHAnsi" w:cstheme="majorHAnsi"/>
                <w:noProof/>
              </w:rPr>
              <w:t>3.9.5 Hosting</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_Toc241565725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0D8C4EC" w14:textId="77777777" w:rsidR="00B95EB3" w:rsidRPr="00B95EB3" w:rsidRDefault="00B95EB3">
          <w:pPr>
            <w:pStyle w:val="TOC2"/>
            <w:tabs>
              <w:tab w:val="right" w:leader="dot" w:pos="9016"/>
            </w:tabs>
            <w:rPr>
              <w:rFonts w:asciiTheme="majorHAnsi" w:hAnsiTheme="majorHAnsi" w:cstheme="majorHAnsi"/>
              <w:noProof/>
            </w:rPr>
          </w:pPr>
          <w:hyperlink w:anchor="_Toc241565726" w:history="1">
            <w:r w:rsidRPr="00B95EB3">
              <w:rPr>
                <w:rStyle w:val="Hyperlink"/>
                <w:rFonts w:asciiTheme="majorHAnsi" w:hAnsiTheme="majorHAnsi" w:cstheme="majorHAnsi"/>
                <w:noProof/>
              </w:rPr>
              <w:t>3.10 Reliability, Safety and Maintainability</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_Toc241565726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7074F54" w14:textId="77777777" w:rsidR="00B95EB3" w:rsidRPr="00B95EB3" w:rsidRDefault="00B95EB3">
          <w:pPr>
            <w:pStyle w:val="TOC3"/>
            <w:tabs>
              <w:tab w:val="right" w:leader="dot" w:pos="9016"/>
            </w:tabs>
            <w:rPr>
              <w:rFonts w:asciiTheme="majorHAnsi" w:hAnsiTheme="majorHAnsi" w:cstheme="majorHAnsi"/>
              <w:noProof/>
            </w:rPr>
          </w:pPr>
          <w:hyperlink w:anchor="_Toc241565727" w:history="1">
            <w:r w:rsidRPr="00B95EB3">
              <w:rPr>
                <w:rStyle w:val="Hyperlink"/>
                <w:rFonts w:asciiTheme="majorHAnsi" w:hAnsiTheme="majorHAnsi" w:cstheme="majorHAnsi"/>
                <w:noProof/>
              </w:rPr>
              <w:t>3.10.1 Fault Handling</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_Toc241565727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E7B08D6" w14:textId="77777777" w:rsidR="00B95EB3" w:rsidRPr="00B95EB3" w:rsidRDefault="00B95EB3">
          <w:pPr>
            <w:pStyle w:val="TOC3"/>
            <w:tabs>
              <w:tab w:val="right" w:leader="dot" w:pos="9016"/>
            </w:tabs>
            <w:rPr>
              <w:rFonts w:asciiTheme="majorHAnsi" w:hAnsiTheme="majorHAnsi" w:cstheme="majorHAnsi"/>
              <w:noProof/>
            </w:rPr>
          </w:pPr>
          <w:hyperlink w:anchor="_Toc241565728" w:history="1">
            <w:r w:rsidRPr="00B95EB3">
              <w:rPr>
                <w:rStyle w:val="Hyperlink"/>
                <w:rFonts w:asciiTheme="majorHAnsi" w:hAnsiTheme="majorHAnsi" w:cstheme="majorHAnsi"/>
                <w:noProof/>
              </w:rPr>
              <w:t>3.10.2 Outdoor Electrical Design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_Toc241565728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10EA504" w14:textId="77777777" w:rsidR="00B95EB3" w:rsidRPr="00B95EB3" w:rsidRDefault="00B95EB3">
          <w:pPr>
            <w:pStyle w:val="TOC3"/>
            <w:tabs>
              <w:tab w:val="right" w:leader="dot" w:pos="9016"/>
            </w:tabs>
            <w:rPr>
              <w:rFonts w:asciiTheme="majorHAnsi" w:hAnsiTheme="majorHAnsi" w:cstheme="majorHAnsi"/>
              <w:noProof/>
            </w:rPr>
          </w:pPr>
          <w:hyperlink w:anchor="_Toc241565729" w:history="1">
            <w:r w:rsidRPr="00B95EB3">
              <w:rPr>
                <w:rStyle w:val="Hyperlink"/>
                <w:rFonts w:asciiTheme="majorHAnsi" w:hAnsiTheme="majorHAnsi" w:cstheme="majorHAnsi"/>
                <w:noProof/>
              </w:rPr>
              <w:t>3.10.3 Battery State and Service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_Toc241565729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9DD4D2D" w14:textId="77777777" w:rsidR="00B95EB3" w:rsidRPr="00B95EB3" w:rsidRDefault="00B95EB3">
          <w:pPr>
            <w:pStyle w:val="TOC2"/>
            <w:tabs>
              <w:tab w:val="right" w:leader="dot" w:pos="9016"/>
            </w:tabs>
            <w:rPr>
              <w:rFonts w:asciiTheme="majorHAnsi" w:hAnsiTheme="majorHAnsi" w:cstheme="majorHAnsi"/>
              <w:noProof/>
            </w:rPr>
          </w:pPr>
          <w:hyperlink w:anchor="_Toc241565730" w:history="1">
            <w:r w:rsidRPr="00B95EB3">
              <w:rPr>
                <w:rStyle w:val="Hyperlink"/>
                <w:rFonts w:asciiTheme="majorHAnsi" w:hAnsiTheme="majorHAnsi" w:cstheme="majorHAnsi"/>
                <w:noProof/>
              </w:rPr>
              <w:t>3.11 System Requirements Specification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_Toc241565730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9E69AD1" w14:textId="77777777" w:rsidR="00B95EB3" w:rsidRPr="00B95EB3" w:rsidRDefault="00B95EB3">
          <w:pPr>
            <w:pStyle w:val="TOC2"/>
            <w:tabs>
              <w:tab w:val="right" w:leader="dot" w:pos="9016"/>
            </w:tabs>
            <w:rPr>
              <w:rFonts w:asciiTheme="majorHAnsi" w:hAnsiTheme="majorHAnsi" w:cstheme="majorHAnsi"/>
              <w:noProof/>
            </w:rPr>
          </w:pPr>
          <w:hyperlink w:anchor="_Toc241565731" w:history="1">
            <w:r w:rsidRPr="00B95EB3">
              <w:rPr>
                <w:rStyle w:val="Hyperlink"/>
                <w:rFonts w:asciiTheme="majorHAnsi" w:hAnsiTheme="majorHAnsi" w:cstheme="majorHAnsi"/>
                <w:noProof/>
              </w:rPr>
              <w:t>3.12 Application Layer and Mobile Client</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_Toc241565731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ECE0F74" w14:textId="77777777" w:rsidR="00B95EB3" w:rsidRPr="00B95EB3" w:rsidRDefault="00B95EB3">
          <w:pPr>
            <w:pStyle w:val="TOC3"/>
            <w:tabs>
              <w:tab w:val="right" w:leader="dot" w:pos="9016"/>
            </w:tabs>
            <w:rPr>
              <w:rFonts w:asciiTheme="majorHAnsi" w:hAnsiTheme="majorHAnsi" w:cstheme="majorHAnsi"/>
              <w:noProof/>
            </w:rPr>
          </w:pPr>
          <w:hyperlink w:anchor="_Toc241565732" w:history="1">
            <w:r w:rsidRPr="00B95EB3">
              <w:rPr>
                <w:rStyle w:val="Hyperlink"/>
                <w:rFonts w:asciiTheme="majorHAnsi" w:hAnsiTheme="majorHAnsi" w:cstheme="majorHAnsi"/>
                <w:noProof/>
              </w:rPr>
              <w:t>3.12.1 Context Prompts and User Effort</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_Toc241565732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3233B294" w14:textId="77777777" w:rsidR="00B95EB3" w:rsidRPr="00B95EB3" w:rsidRDefault="00B95EB3">
          <w:pPr>
            <w:pStyle w:val="TOC2"/>
            <w:tabs>
              <w:tab w:val="right" w:leader="dot" w:pos="9016"/>
            </w:tabs>
            <w:rPr>
              <w:rFonts w:asciiTheme="majorHAnsi" w:hAnsiTheme="majorHAnsi" w:cstheme="majorHAnsi"/>
              <w:noProof/>
            </w:rPr>
          </w:pPr>
          <w:hyperlink w:anchor="_Toc241565733" w:history="1">
            <w:r w:rsidRPr="00B95EB3">
              <w:rPr>
                <w:rStyle w:val="Hyperlink"/>
                <w:rFonts w:asciiTheme="majorHAnsi" w:hAnsiTheme="majorHAnsi" w:cstheme="majorHAnsi"/>
                <w:noProof/>
              </w:rPr>
              <w:t>3.13 Cost Summary and Budget Position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_Toc241565733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4569EA7" w14:textId="77777777" w:rsidR="00B95EB3" w:rsidRPr="00B95EB3" w:rsidRDefault="00B95EB3">
          <w:pPr>
            <w:pStyle w:val="TOC2"/>
            <w:tabs>
              <w:tab w:val="right" w:leader="dot" w:pos="9016"/>
            </w:tabs>
            <w:rPr>
              <w:rFonts w:asciiTheme="majorHAnsi" w:hAnsiTheme="majorHAnsi" w:cstheme="majorHAnsi"/>
              <w:noProof/>
            </w:rPr>
          </w:pPr>
          <w:hyperlink w:anchor="_Toc241565734" w:history="1">
            <w:r w:rsidRPr="00B95EB3">
              <w:rPr>
                <w:rStyle w:val="Hyperlink"/>
                <w:rFonts w:asciiTheme="majorHAnsi" w:hAnsiTheme="majorHAnsi" w:cstheme="majorHAnsi"/>
                <w:noProof/>
              </w:rPr>
              <w:t>3.14 Chapter Summary</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_Toc241565734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A1119B4" w14:textId="77777777" w:rsidR="00B95EB3" w:rsidRPr="00B95EB3" w:rsidRDefault="00B95EB3">
          <w:pPr>
            <w:pStyle w:val="TOC1"/>
            <w:tabs>
              <w:tab w:val="right" w:leader="dot" w:pos="9016"/>
            </w:tabs>
            <w:rPr>
              <w:rFonts w:asciiTheme="majorHAnsi" w:hAnsiTheme="majorHAnsi" w:cstheme="majorHAnsi"/>
              <w:noProof/>
            </w:rPr>
          </w:pPr>
          <w:hyperlink w:anchor="_Toc241565735" w:history="1">
            <w:r w:rsidRPr="00B95EB3">
              <w:rPr>
                <w:rStyle w:val="Hyperlink"/>
                <w:rFonts w:asciiTheme="majorHAnsi" w:hAnsiTheme="majorHAnsi" w:cstheme="majorHAnsi"/>
                <w:noProof/>
              </w:rPr>
              <w:t>Chapter 4: Experimental Framework</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_Toc241565735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D13C83C" w14:textId="77777777" w:rsidR="00B95EB3" w:rsidRPr="00B95EB3" w:rsidRDefault="00B95EB3">
          <w:pPr>
            <w:pStyle w:val="TOC2"/>
            <w:tabs>
              <w:tab w:val="right" w:leader="dot" w:pos="9016"/>
            </w:tabs>
            <w:rPr>
              <w:rFonts w:asciiTheme="majorHAnsi" w:hAnsiTheme="majorHAnsi" w:cstheme="majorHAnsi"/>
              <w:noProof/>
            </w:rPr>
          </w:pPr>
          <w:hyperlink w:anchor="_Toc241565736" w:history="1">
            <w:r w:rsidRPr="00B95EB3">
              <w:rPr>
                <w:rStyle w:val="Hyperlink"/>
                <w:rFonts w:asciiTheme="majorHAnsi" w:hAnsiTheme="majorHAnsi" w:cstheme="majorHAnsi"/>
                <w:noProof/>
              </w:rPr>
              <w:t>4.1 Purpose and Testing Philosophy</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_Toc241565736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AF58855" w14:textId="77777777" w:rsidR="00B95EB3" w:rsidRPr="00B95EB3" w:rsidRDefault="00B95EB3">
          <w:pPr>
            <w:pStyle w:val="TOC2"/>
            <w:tabs>
              <w:tab w:val="right" w:leader="dot" w:pos="9016"/>
            </w:tabs>
            <w:rPr>
              <w:rFonts w:asciiTheme="majorHAnsi" w:hAnsiTheme="majorHAnsi" w:cstheme="majorHAnsi"/>
              <w:noProof/>
            </w:rPr>
          </w:pPr>
          <w:hyperlink w:anchor="_Toc241565737" w:history="1">
            <w:r w:rsidRPr="00B95EB3">
              <w:rPr>
                <w:rStyle w:val="Hyperlink"/>
                <w:rFonts w:asciiTheme="majorHAnsi" w:hAnsiTheme="majorHAnsi" w:cstheme="majorHAnsi"/>
                <w:noProof/>
              </w:rPr>
              <w:t>4.2 Three Test Tiers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_Toc241565737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87BD2E3" w14:textId="77777777" w:rsidR="00B95EB3" w:rsidRPr="00B95EB3" w:rsidRDefault="00B95EB3">
          <w:pPr>
            <w:pStyle w:val="TOC2"/>
            <w:tabs>
              <w:tab w:val="right" w:leader="dot" w:pos="9016"/>
            </w:tabs>
            <w:rPr>
              <w:rFonts w:asciiTheme="majorHAnsi" w:hAnsiTheme="majorHAnsi" w:cstheme="majorHAnsi"/>
              <w:noProof/>
            </w:rPr>
          </w:pPr>
          <w:hyperlink w:anchor="_Toc241565738" w:history="1">
            <w:r w:rsidRPr="00B95EB3">
              <w:rPr>
                <w:rStyle w:val="Hyperlink"/>
                <w:rFonts w:asciiTheme="majorHAnsi" w:hAnsiTheme="majorHAnsi" w:cstheme="majorHAnsi"/>
                <w:noProof/>
              </w:rPr>
              <w:t>4.3 Equipment Protection Protocol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_Toc241565738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156162D" w14:textId="77777777" w:rsidR="00B95EB3" w:rsidRPr="00B95EB3" w:rsidRDefault="00B95EB3">
          <w:pPr>
            <w:pStyle w:val="TOC2"/>
            <w:tabs>
              <w:tab w:val="right" w:leader="dot" w:pos="9016"/>
            </w:tabs>
            <w:rPr>
              <w:rFonts w:asciiTheme="majorHAnsi" w:hAnsiTheme="majorHAnsi" w:cstheme="majorHAnsi"/>
              <w:noProof/>
            </w:rPr>
          </w:pPr>
          <w:hyperlink w:anchor="_Toc241565739" w:history="1">
            <w:r w:rsidRPr="00B95EB3">
              <w:rPr>
                <w:rStyle w:val="Hyperlink"/>
                <w:rFonts w:asciiTheme="majorHAnsi" w:hAnsiTheme="majorHAnsi" w:cstheme="majorHAnsi"/>
                <w:noProof/>
              </w:rPr>
              <w:t>4.4 Tier 1: Functional Subsystem Tests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_Toc241565739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E9D694E" w14:textId="77777777" w:rsidR="00B95EB3" w:rsidRPr="00B95EB3" w:rsidRDefault="00B95EB3">
          <w:pPr>
            <w:pStyle w:val="TOC3"/>
            <w:tabs>
              <w:tab w:val="right" w:leader="dot" w:pos="9016"/>
            </w:tabs>
            <w:rPr>
              <w:rFonts w:asciiTheme="majorHAnsi" w:hAnsiTheme="majorHAnsi" w:cstheme="majorHAnsi"/>
              <w:noProof/>
            </w:rPr>
          </w:pPr>
          <w:hyperlink w:anchor="_Toc241565740" w:history="1">
            <w:r w:rsidRPr="00B95EB3">
              <w:rPr>
                <w:rStyle w:val="Hyperlink"/>
                <w:rFonts w:asciiTheme="majorHAnsi" w:hAnsiTheme="majorHAnsi" w:cstheme="majorHAnsi"/>
                <w:noProof/>
              </w:rPr>
              <w:t>4.4.1 Temperature Channel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_Toc241565740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7DDAE93" w14:textId="77777777" w:rsidR="00B95EB3" w:rsidRPr="00B95EB3" w:rsidRDefault="00B95EB3">
          <w:pPr>
            <w:pStyle w:val="TOC3"/>
            <w:tabs>
              <w:tab w:val="right" w:leader="dot" w:pos="9016"/>
            </w:tabs>
            <w:rPr>
              <w:rFonts w:asciiTheme="majorHAnsi" w:hAnsiTheme="majorHAnsi" w:cstheme="majorHAnsi"/>
              <w:noProof/>
            </w:rPr>
          </w:pPr>
          <w:hyperlink w:anchor="_Toc241565741" w:history="1">
            <w:r w:rsidRPr="00B95EB3">
              <w:rPr>
                <w:rStyle w:val="Hyperlink"/>
                <w:rFonts w:asciiTheme="majorHAnsi" w:hAnsiTheme="majorHAnsi" w:cstheme="majorHAnsi"/>
                <w:noProof/>
              </w:rPr>
              <w:t>4.4.2 pH Channel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_Toc241565741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3E7F240E" w14:textId="77777777" w:rsidR="00B95EB3" w:rsidRPr="00B95EB3" w:rsidRDefault="00B95EB3">
          <w:pPr>
            <w:pStyle w:val="TOC3"/>
            <w:tabs>
              <w:tab w:val="right" w:leader="dot" w:pos="9016"/>
            </w:tabs>
            <w:rPr>
              <w:rFonts w:asciiTheme="majorHAnsi" w:hAnsiTheme="majorHAnsi" w:cstheme="majorHAnsi"/>
              <w:noProof/>
            </w:rPr>
          </w:pPr>
          <w:hyperlink w:anchor="_Toc241565742" w:history="1">
            <w:r w:rsidRPr="00B95EB3">
              <w:rPr>
                <w:rStyle w:val="Hyperlink"/>
                <w:rFonts w:asciiTheme="majorHAnsi" w:hAnsiTheme="majorHAnsi" w:cstheme="majorHAnsi"/>
                <w:noProof/>
              </w:rPr>
              <w:t>4.4.3 TDS Channel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_Toc241565742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E970115" w14:textId="77777777" w:rsidR="00B95EB3" w:rsidRPr="00B95EB3" w:rsidRDefault="00B95EB3">
          <w:pPr>
            <w:pStyle w:val="TOC3"/>
            <w:tabs>
              <w:tab w:val="right" w:leader="dot" w:pos="9016"/>
            </w:tabs>
            <w:rPr>
              <w:rFonts w:asciiTheme="majorHAnsi" w:hAnsiTheme="majorHAnsi" w:cstheme="majorHAnsi"/>
              <w:noProof/>
            </w:rPr>
          </w:pPr>
          <w:hyperlink w:anchor="_Toc241565743" w:history="1">
            <w:r w:rsidRPr="00B95EB3">
              <w:rPr>
                <w:rStyle w:val="Hyperlink"/>
                <w:rFonts w:asciiTheme="majorHAnsi" w:hAnsiTheme="majorHAnsi" w:cstheme="majorHAnsi"/>
                <w:noProof/>
              </w:rPr>
              <w:t>4.4.4 Light Channel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_Toc241565743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2114DDB" w14:textId="77777777" w:rsidR="00B95EB3" w:rsidRPr="00B95EB3" w:rsidRDefault="00B95EB3">
          <w:pPr>
            <w:pStyle w:val="TOC3"/>
            <w:tabs>
              <w:tab w:val="right" w:leader="dot" w:pos="9016"/>
            </w:tabs>
            <w:rPr>
              <w:rFonts w:asciiTheme="majorHAnsi" w:hAnsiTheme="majorHAnsi" w:cstheme="majorHAnsi"/>
              <w:noProof/>
            </w:rPr>
          </w:pPr>
          <w:hyperlink w:anchor="_Toc241565744" w:history="1">
            <w:r w:rsidRPr="00B95EB3">
              <w:rPr>
                <w:rStyle w:val="Hyperlink"/>
                <w:rFonts w:asciiTheme="majorHAnsi" w:hAnsiTheme="majorHAnsi" w:cstheme="majorHAnsi"/>
                <w:noProof/>
              </w:rPr>
              <w:t>4.4.5 Colour Sensor and Colorimetric Badge Channel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_Toc241565744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CE4B27D" w14:textId="77777777" w:rsidR="00B95EB3" w:rsidRPr="00B95EB3" w:rsidRDefault="00B95EB3">
          <w:pPr>
            <w:pStyle w:val="TOC3"/>
            <w:tabs>
              <w:tab w:val="right" w:leader="dot" w:pos="9016"/>
            </w:tabs>
            <w:rPr>
              <w:rFonts w:asciiTheme="majorHAnsi" w:hAnsiTheme="majorHAnsi" w:cstheme="majorHAnsi"/>
              <w:noProof/>
            </w:rPr>
          </w:pPr>
          <w:hyperlink w:anchor="_Toc241565745" w:history="1">
            <w:r w:rsidRPr="00B95EB3">
              <w:rPr>
                <w:rStyle w:val="Hyperlink"/>
                <w:rFonts w:asciiTheme="majorHAnsi" w:hAnsiTheme="majorHAnsi" w:cstheme="majorHAnsi"/>
                <w:noProof/>
              </w:rPr>
              <w:t>4.4.6 Camera and HSV Channel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_Toc241565745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CA0167E" w14:textId="77777777" w:rsidR="00B95EB3" w:rsidRPr="00B95EB3" w:rsidRDefault="00B95EB3">
          <w:pPr>
            <w:pStyle w:val="TOC3"/>
            <w:tabs>
              <w:tab w:val="right" w:leader="dot" w:pos="9016"/>
            </w:tabs>
            <w:rPr>
              <w:rFonts w:asciiTheme="majorHAnsi" w:hAnsiTheme="majorHAnsi" w:cstheme="majorHAnsi"/>
              <w:noProof/>
            </w:rPr>
          </w:pPr>
          <w:hyperlink w:anchor="_Toc241565746" w:history="1">
            <w:r w:rsidRPr="00B95EB3">
              <w:rPr>
                <w:rStyle w:val="Hyperlink"/>
                <w:rFonts w:asciiTheme="majorHAnsi" w:hAnsiTheme="majorHAnsi" w:cstheme="majorHAnsi"/>
                <w:noProof/>
              </w:rPr>
              <w:t>4.4.7 Power and Communication Path</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_Toc241565746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48B9246" w14:textId="77777777" w:rsidR="00B95EB3" w:rsidRPr="00B95EB3" w:rsidRDefault="00B95EB3">
          <w:pPr>
            <w:pStyle w:val="TOC2"/>
            <w:tabs>
              <w:tab w:val="right" w:leader="dot" w:pos="9016"/>
            </w:tabs>
            <w:rPr>
              <w:rFonts w:asciiTheme="majorHAnsi" w:hAnsiTheme="majorHAnsi" w:cstheme="majorHAnsi"/>
              <w:noProof/>
            </w:rPr>
          </w:pPr>
          <w:hyperlink w:anchor="_Toc241565747" w:history="1">
            <w:r w:rsidRPr="00B95EB3">
              <w:rPr>
                <w:rStyle w:val="Hyperlink"/>
                <w:rFonts w:asciiTheme="majorHAnsi" w:hAnsiTheme="majorHAnsi" w:cstheme="majorHAnsi"/>
                <w:noProof/>
              </w:rPr>
              <w:t>4.5 Tier 2: Operational Subsystem Tests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_Toc241565747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977719B" w14:textId="77777777" w:rsidR="00B95EB3" w:rsidRPr="00B95EB3" w:rsidRDefault="00B95EB3">
          <w:pPr>
            <w:pStyle w:val="TOC3"/>
            <w:tabs>
              <w:tab w:val="right" w:leader="dot" w:pos="9016"/>
            </w:tabs>
            <w:rPr>
              <w:rFonts w:asciiTheme="majorHAnsi" w:hAnsiTheme="majorHAnsi" w:cstheme="majorHAnsi"/>
              <w:noProof/>
            </w:rPr>
          </w:pPr>
          <w:hyperlink w:anchor="_Toc241565748" w:history="1">
            <w:r w:rsidRPr="00B95EB3">
              <w:rPr>
                <w:rStyle w:val="Hyperlink"/>
                <w:rFonts w:asciiTheme="majorHAnsi" w:hAnsiTheme="majorHAnsi" w:cstheme="majorHAnsi"/>
                <w:noProof/>
              </w:rPr>
              <w:t>4.5.1 Environmental Data and Measurement Variation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_Toc241565748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64E099E" w14:textId="77777777" w:rsidR="00B95EB3" w:rsidRPr="00B95EB3" w:rsidRDefault="00B95EB3">
          <w:pPr>
            <w:pStyle w:val="TOC3"/>
            <w:tabs>
              <w:tab w:val="right" w:leader="dot" w:pos="9016"/>
            </w:tabs>
            <w:rPr>
              <w:rFonts w:asciiTheme="majorHAnsi" w:hAnsiTheme="majorHAnsi" w:cstheme="majorHAnsi"/>
              <w:noProof/>
            </w:rPr>
          </w:pPr>
          <w:hyperlink w:anchor="_Toc241565749" w:history="1">
            <w:r w:rsidRPr="00B95EB3">
              <w:rPr>
                <w:rStyle w:val="Hyperlink"/>
                <w:rFonts w:asciiTheme="majorHAnsi" w:hAnsiTheme="majorHAnsi" w:cstheme="majorHAnsi"/>
                <w:noProof/>
              </w:rPr>
              <w:t>4.5.2 Deployment, Supply and Enclosure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_Toc241565749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AD3E915" w14:textId="77777777" w:rsidR="00B95EB3" w:rsidRPr="00B95EB3" w:rsidRDefault="00B95EB3">
          <w:pPr>
            <w:pStyle w:val="TOC3"/>
            <w:tabs>
              <w:tab w:val="right" w:leader="dot" w:pos="9016"/>
            </w:tabs>
            <w:rPr>
              <w:rFonts w:asciiTheme="majorHAnsi" w:hAnsiTheme="majorHAnsi" w:cstheme="majorHAnsi"/>
              <w:noProof/>
            </w:rPr>
          </w:pPr>
          <w:hyperlink w:anchor="_Toc241565750" w:history="1">
            <w:r w:rsidRPr="00B95EB3">
              <w:rPr>
                <w:rStyle w:val="Hyperlink"/>
                <w:rFonts w:asciiTheme="majorHAnsi" w:hAnsiTheme="majorHAnsi" w:cstheme="majorHAnsi"/>
                <w:noProof/>
              </w:rPr>
              <w:t>4.5.3 Camera Observation and Decision Record</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_Toc241565750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EA1C00B" w14:textId="77777777" w:rsidR="00B95EB3" w:rsidRPr="00B95EB3" w:rsidRDefault="00B95EB3">
          <w:pPr>
            <w:pStyle w:val="TOC3"/>
            <w:tabs>
              <w:tab w:val="right" w:leader="dot" w:pos="9016"/>
            </w:tabs>
            <w:rPr>
              <w:rFonts w:asciiTheme="majorHAnsi" w:hAnsiTheme="majorHAnsi" w:cstheme="majorHAnsi"/>
              <w:noProof/>
            </w:rPr>
          </w:pPr>
          <w:hyperlink w:anchor="_Toc241565751" w:history="1">
            <w:r w:rsidRPr="00B95EB3">
              <w:rPr>
                <w:rStyle w:val="Hyperlink"/>
                <w:rFonts w:asciiTheme="majorHAnsi" w:hAnsiTheme="majorHAnsi" w:cstheme="majorHAnsi"/>
                <w:noProof/>
              </w:rPr>
              <w:t>4.5.4 Field Run Records and Completion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_Toc241565751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E5131AC" w14:textId="77777777" w:rsidR="00B95EB3" w:rsidRPr="00B95EB3" w:rsidRDefault="00B95EB3">
          <w:pPr>
            <w:pStyle w:val="TOC3"/>
            <w:tabs>
              <w:tab w:val="right" w:leader="dot" w:pos="9016"/>
            </w:tabs>
            <w:rPr>
              <w:rFonts w:asciiTheme="majorHAnsi" w:hAnsiTheme="majorHAnsi" w:cstheme="majorHAnsi"/>
              <w:noProof/>
            </w:rPr>
          </w:pPr>
          <w:hyperlink w:anchor="_Toc241565752" w:history="1">
            <w:r w:rsidRPr="00B95EB3">
              <w:rPr>
                <w:rStyle w:val="Hyperlink"/>
                <w:rFonts w:asciiTheme="majorHAnsi" w:hAnsiTheme="majorHAnsi" w:cstheme="majorHAnsi"/>
                <w:noProof/>
              </w:rPr>
              <w:t>4.5.5 Record Design for the Field Experiment</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_Toc241565752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3BEB7EDB" w14:textId="77777777" w:rsidR="00B95EB3" w:rsidRPr="00B95EB3" w:rsidRDefault="00B95EB3">
          <w:pPr>
            <w:pStyle w:val="TOC3"/>
            <w:tabs>
              <w:tab w:val="right" w:leader="dot" w:pos="9016"/>
            </w:tabs>
            <w:rPr>
              <w:rFonts w:asciiTheme="majorHAnsi" w:hAnsiTheme="majorHAnsi" w:cstheme="majorHAnsi"/>
              <w:noProof/>
            </w:rPr>
          </w:pPr>
          <w:hyperlink w:anchor="_Toc241565753" w:history="1">
            <w:r w:rsidRPr="00B95EB3">
              <w:rPr>
                <w:rStyle w:val="Hyperlink"/>
                <w:rFonts w:asciiTheme="majorHAnsi" w:hAnsiTheme="majorHAnsi" w:cstheme="majorHAnsi"/>
                <w:noProof/>
              </w:rPr>
              <w:t>4.5.6 Server Processing During the Field Run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_Toc241565753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46E7CA3" w14:textId="77777777" w:rsidR="00B95EB3" w:rsidRPr="00B95EB3" w:rsidRDefault="00B95EB3">
          <w:pPr>
            <w:pStyle w:val="TOC3"/>
            <w:tabs>
              <w:tab w:val="right" w:leader="dot" w:pos="9016"/>
            </w:tabs>
            <w:rPr>
              <w:rFonts w:asciiTheme="majorHAnsi" w:hAnsiTheme="majorHAnsi" w:cstheme="majorHAnsi"/>
              <w:noProof/>
            </w:rPr>
          </w:pPr>
          <w:hyperlink w:anchor="_Toc241565754" w:history="1">
            <w:r w:rsidRPr="00B95EB3">
              <w:rPr>
                <w:rStyle w:val="Hyperlink"/>
                <w:rFonts w:asciiTheme="majorHAnsi" w:hAnsiTheme="majorHAnsi" w:cstheme="majorHAnsi"/>
                <w:noProof/>
              </w:rPr>
              <w:t>4.5.7 Mobile Presentation During the Field Run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_Toc241565754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DB05454" w14:textId="77777777" w:rsidR="00B95EB3" w:rsidRPr="00B95EB3" w:rsidRDefault="00B95EB3">
          <w:pPr>
            <w:pStyle w:val="TOC2"/>
            <w:tabs>
              <w:tab w:val="right" w:leader="dot" w:pos="9016"/>
            </w:tabs>
            <w:rPr>
              <w:rFonts w:asciiTheme="majorHAnsi" w:hAnsiTheme="majorHAnsi" w:cstheme="majorHAnsi"/>
              <w:noProof/>
            </w:rPr>
          </w:pPr>
          <w:hyperlink w:anchor="_Toc241565755" w:history="1">
            <w:r w:rsidRPr="00B95EB3">
              <w:rPr>
                <w:rStyle w:val="Hyperlink"/>
                <w:rFonts w:asciiTheme="majorHAnsi" w:hAnsiTheme="majorHAnsi" w:cstheme="majorHAnsi"/>
                <w:noProof/>
              </w:rPr>
              <w:t>4.6 Tier 3: Full System Tests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_Toc241565755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09FEF8F" w14:textId="77777777" w:rsidR="00B95EB3" w:rsidRPr="00B95EB3" w:rsidRDefault="00B95EB3">
          <w:pPr>
            <w:pStyle w:val="TOC3"/>
            <w:tabs>
              <w:tab w:val="right" w:leader="dot" w:pos="9016"/>
            </w:tabs>
            <w:rPr>
              <w:rFonts w:asciiTheme="majorHAnsi" w:hAnsiTheme="majorHAnsi" w:cstheme="majorHAnsi"/>
              <w:noProof/>
            </w:rPr>
          </w:pPr>
          <w:hyperlink w:anchor="_Toc241565756" w:history="1">
            <w:r w:rsidRPr="00B95EB3">
              <w:rPr>
                <w:rStyle w:val="Hyperlink"/>
                <w:rFonts w:asciiTheme="majorHAnsi" w:hAnsiTheme="majorHAnsi" w:cstheme="majorHAnsi"/>
                <w:noProof/>
              </w:rPr>
              <w:t>4.6.1 Indoor Endurance Session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_Toc241565756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2B62101" w14:textId="77777777" w:rsidR="00B95EB3" w:rsidRPr="00B95EB3" w:rsidRDefault="00B95EB3">
          <w:pPr>
            <w:pStyle w:val="TOC3"/>
            <w:tabs>
              <w:tab w:val="right" w:leader="dot" w:pos="9016"/>
            </w:tabs>
            <w:rPr>
              <w:rFonts w:asciiTheme="majorHAnsi" w:hAnsiTheme="majorHAnsi" w:cstheme="majorHAnsi"/>
              <w:noProof/>
            </w:rPr>
          </w:pPr>
          <w:hyperlink w:anchor="_Toc241565757" w:history="1">
            <w:r w:rsidRPr="00B95EB3">
              <w:rPr>
                <w:rStyle w:val="Hyperlink"/>
                <w:rFonts w:asciiTheme="majorHAnsi" w:hAnsiTheme="majorHAnsi" w:cstheme="majorHAnsi"/>
                <w:noProof/>
              </w:rPr>
              <w:t>4.6.2 Outdoor Integration Session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_Toc241565757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01D1E52" w14:textId="77777777" w:rsidR="00B95EB3" w:rsidRPr="00B95EB3" w:rsidRDefault="00B95EB3">
          <w:pPr>
            <w:pStyle w:val="TOC2"/>
            <w:tabs>
              <w:tab w:val="right" w:leader="dot" w:pos="9016"/>
            </w:tabs>
            <w:rPr>
              <w:rFonts w:asciiTheme="majorHAnsi" w:hAnsiTheme="majorHAnsi" w:cstheme="majorHAnsi"/>
              <w:noProof/>
            </w:rPr>
          </w:pPr>
          <w:hyperlink w:anchor="_Toc241565758" w:history="1">
            <w:r w:rsidRPr="00B95EB3">
              <w:rPr>
                <w:rStyle w:val="Hyperlink"/>
                <w:rFonts w:asciiTheme="majorHAnsi" w:hAnsiTheme="majorHAnsi" w:cstheme="majorHAnsi"/>
                <w:noProof/>
              </w:rPr>
              <w:t>4.7 Data Capture and Reporting Format</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_Toc241565758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8210C7B" w14:textId="77777777" w:rsidR="00B95EB3" w:rsidRPr="00B95EB3" w:rsidRDefault="00B95EB3">
          <w:pPr>
            <w:pStyle w:val="TOC2"/>
            <w:tabs>
              <w:tab w:val="right" w:leader="dot" w:pos="9016"/>
            </w:tabs>
            <w:rPr>
              <w:rFonts w:asciiTheme="majorHAnsi" w:hAnsiTheme="majorHAnsi" w:cstheme="majorHAnsi"/>
              <w:noProof/>
            </w:rPr>
          </w:pPr>
          <w:hyperlink w:anchor="_Toc241565759" w:history="1">
            <w:r w:rsidRPr="00B95EB3">
              <w:rPr>
                <w:rStyle w:val="Hyperlink"/>
                <w:rFonts w:asciiTheme="majorHAnsi" w:hAnsiTheme="majorHAnsi" w:cstheme="majorHAnsi"/>
                <w:noProof/>
              </w:rPr>
              <w:t>4.8 Iterative Development and Change Control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_Toc241565759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6E8723E" w14:textId="77777777" w:rsidR="00B95EB3" w:rsidRPr="00B95EB3" w:rsidRDefault="00B95EB3">
          <w:pPr>
            <w:pStyle w:val="TOC2"/>
            <w:tabs>
              <w:tab w:val="right" w:leader="dot" w:pos="9016"/>
            </w:tabs>
            <w:rPr>
              <w:rFonts w:asciiTheme="majorHAnsi" w:hAnsiTheme="majorHAnsi" w:cstheme="majorHAnsi"/>
              <w:noProof/>
            </w:rPr>
          </w:pPr>
          <w:hyperlink w:anchor="_Toc241565760" w:history="1">
            <w:r w:rsidRPr="00B95EB3">
              <w:rPr>
                <w:rStyle w:val="Hyperlink"/>
                <w:rFonts w:asciiTheme="majorHAnsi" w:hAnsiTheme="majorHAnsi" w:cstheme="majorHAnsi"/>
                <w:noProof/>
              </w:rPr>
              <w:t>4.9 Test Risks and Mitigations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_Toc241565760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E73B121" w14:textId="77777777" w:rsidR="00B95EB3" w:rsidRPr="00B95EB3" w:rsidRDefault="00B95EB3">
          <w:pPr>
            <w:pStyle w:val="TOC1"/>
            <w:tabs>
              <w:tab w:val="right" w:leader="dot" w:pos="9016"/>
            </w:tabs>
            <w:rPr>
              <w:rFonts w:asciiTheme="majorHAnsi" w:hAnsiTheme="majorHAnsi" w:cstheme="majorHAnsi"/>
              <w:noProof/>
            </w:rPr>
          </w:pPr>
          <w:hyperlink w:anchor="_Toc241565761" w:history="1">
            <w:r w:rsidRPr="00B95EB3">
              <w:rPr>
                <w:rStyle w:val="Hyperlink"/>
                <w:rFonts w:asciiTheme="majorHAnsi" w:hAnsiTheme="majorHAnsi" w:cstheme="majorHAnsi"/>
                <w:noProof/>
              </w:rPr>
              <w:t>Chapter 5: Software Implementation and Verification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_Toc241565761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75F1B86" w14:textId="77777777" w:rsidR="00B95EB3" w:rsidRPr="00B95EB3" w:rsidRDefault="00B95EB3">
          <w:pPr>
            <w:pStyle w:val="TOC2"/>
            <w:tabs>
              <w:tab w:val="right" w:leader="dot" w:pos="9016"/>
            </w:tabs>
            <w:rPr>
              <w:rFonts w:asciiTheme="majorHAnsi" w:hAnsiTheme="majorHAnsi" w:cstheme="majorHAnsi"/>
              <w:noProof/>
            </w:rPr>
          </w:pPr>
          <w:hyperlink w:anchor="_Toc241565762" w:history="1">
            <w:r w:rsidRPr="00B95EB3">
              <w:rPr>
                <w:rStyle w:val="Hyperlink"/>
                <w:rFonts w:asciiTheme="majorHAnsi" w:hAnsiTheme="majorHAnsi" w:cstheme="majorHAnsi"/>
                <w:noProof/>
              </w:rPr>
              <w:t>5.1 Repository and Development Approach</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_Toc241565762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6AFCA09" w14:textId="77777777" w:rsidR="00B95EB3" w:rsidRPr="00B95EB3" w:rsidRDefault="00B95EB3">
          <w:pPr>
            <w:pStyle w:val="TOC2"/>
            <w:tabs>
              <w:tab w:val="right" w:leader="dot" w:pos="9016"/>
            </w:tabs>
            <w:rPr>
              <w:rFonts w:asciiTheme="majorHAnsi" w:hAnsiTheme="majorHAnsi" w:cstheme="majorHAnsi"/>
              <w:noProof/>
            </w:rPr>
          </w:pPr>
          <w:hyperlink w:anchor="_Toc241565763" w:history="1">
            <w:r w:rsidRPr="00B95EB3">
              <w:rPr>
                <w:rStyle w:val="Hyperlink"/>
                <w:rFonts w:asciiTheme="majorHAnsi" w:hAnsiTheme="majorHAnsi" w:cstheme="majorHAnsi"/>
                <w:noProof/>
              </w:rPr>
              <w:t>5.2 Sensor Node Firmware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_Toc241565763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0E67364" w14:textId="77777777" w:rsidR="00B95EB3" w:rsidRPr="00B95EB3" w:rsidRDefault="00B95EB3">
          <w:pPr>
            <w:pStyle w:val="TOC3"/>
            <w:tabs>
              <w:tab w:val="right" w:leader="dot" w:pos="9016"/>
            </w:tabs>
            <w:rPr>
              <w:rFonts w:asciiTheme="majorHAnsi" w:hAnsiTheme="majorHAnsi" w:cstheme="majorHAnsi"/>
              <w:noProof/>
            </w:rPr>
          </w:pPr>
          <w:hyperlink w:anchor="_Toc241565764" w:history="1">
            <w:r w:rsidRPr="00B95EB3">
              <w:rPr>
                <w:rStyle w:val="Hyperlink"/>
                <w:rFonts w:asciiTheme="majorHAnsi" w:hAnsiTheme="majorHAnsi" w:cstheme="majorHAnsi"/>
                <w:noProof/>
              </w:rPr>
              <w:t>5.2.1 Structure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_Toc241565764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3E59F0A" w14:textId="77777777" w:rsidR="00B95EB3" w:rsidRPr="00B95EB3" w:rsidRDefault="00B95EB3">
          <w:pPr>
            <w:pStyle w:val="TOC3"/>
            <w:tabs>
              <w:tab w:val="right" w:leader="dot" w:pos="9016"/>
            </w:tabs>
            <w:rPr>
              <w:rFonts w:asciiTheme="majorHAnsi" w:hAnsiTheme="majorHAnsi" w:cstheme="majorHAnsi"/>
              <w:noProof/>
            </w:rPr>
          </w:pPr>
          <w:hyperlink w:anchor="_Toc241565765" w:history="1">
            <w:r w:rsidRPr="00B95EB3">
              <w:rPr>
                <w:rStyle w:val="Hyperlink"/>
                <w:rFonts w:asciiTheme="majorHAnsi" w:hAnsiTheme="majorHAnsi" w:cstheme="majorHAnsi"/>
                <w:noProof/>
              </w:rPr>
              <w:t>5.2.2 Changes Made in the Refactor</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_Toc241565765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B13290E" w14:textId="77777777" w:rsidR="00B95EB3" w:rsidRPr="00B95EB3" w:rsidRDefault="00B95EB3">
          <w:pPr>
            <w:pStyle w:val="TOC3"/>
            <w:tabs>
              <w:tab w:val="right" w:leader="dot" w:pos="9016"/>
            </w:tabs>
            <w:rPr>
              <w:rFonts w:asciiTheme="majorHAnsi" w:hAnsiTheme="majorHAnsi" w:cstheme="majorHAnsi"/>
              <w:noProof/>
            </w:rPr>
          </w:pPr>
          <w:hyperlink w:anchor="_Toc241565766" w:history="1">
            <w:r w:rsidRPr="00B95EB3">
              <w:rPr>
                <w:rStyle w:val="Hyperlink"/>
                <w:rFonts w:asciiTheme="majorHAnsi" w:hAnsiTheme="majorHAnsi" w:cstheme="majorHAnsi"/>
                <w:noProof/>
              </w:rPr>
              <w:t>5.2.3 Verification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_Toc241565766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91B09E7" w14:textId="77777777" w:rsidR="00B95EB3" w:rsidRPr="00B95EB3" w:rsidRDefault="00B95EB3">
          <w:pPr>
            <w:pStyle w:val="TOC2"/>
            <w:tabs>
              <w:tab w:val="right" w:leader="dot" w:pos="9016"/>
            </w:tabs>
            <w:rPr>
              <w:rFonts w:asciiTheme="majorHAnsi" w:hAnsiTheme="majorHAnsi" w:cstheme="majorHAnsi"/>
              <w:noProof/>
            </w:rPr>
          </w:pPr>
          <w:hyperlink w:anchor="_Toc241565767" w:history="1">
            <w:r w:rsidRPr="00B95EB3">
              <w:rPr>
                <w:rStyle w:val="Hyperlink"/>
                <w:rFonts w:asciiTheme="majorHAnsi" w:hAnsiTheme="majorHAnsi" w:cstheme="majorHAnsi"/>
                <w:noProof/>
              </w:rPr>
              <w:t>5.3 Camera Firmware and Analysis Service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_Toc241565767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D57BAAA" w14:textId="77777777" w:rsidR="00B95EB3" w:rsidRPr="00B95EB3" w:rsidRDefault="00B95EB3">
          <w:pPr>
            <w:pStyle w:val="TOC3"/>
            <w:tabs>
              <w:tab w:val="right" w:leader="dot" w:pos="9016"/>
            </w:tabs>
            <w:rPr>
              <w:rFonts w:asciiTheme="majorHAnsi" w:hAnsiTheme="majorHAnsi" w:cstheme="majorHAnsi"/>
              <w:noProof/>
            </w:rPr>
          </w:pPr>
          <w:hyperlink w:anchor="_Toc241565768" w:history="1">
            <w:r w:rsidRPr="00B95EB3">
              <w:rPr>
                <w:rStyle w:val="Hyperlink"/>
                <w:rFonts w:asciiTheme="majorHAnsi" w:hAnsiTheme="majorHAnsi" w:cstheme="majorHAnsi"/>
                <w:noProof/>
              </w:rPr>
              <w:t>5.3.1 Camera Firmware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_Toc241565768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9A0B3C4" w14:textId="77777777" w:rsidR="00B95EB3" w:rsidRPr="00B95EB3" w:rsidRDefault="00B95EB3">
          <w:pPr>
            <w:pStyle w:val="TOC3"/>
            <w:tabs>
              <w:tab w:val="right" w:leader="dot" w:pos="9016"/>
            </w:tabs>
            <w:rPr>
              <w:rFonts w:asciiTheme="majorHAnsi" w:hAnsiTheme="majorHAnsi" w:cstheme="majorHAnsi"/>
              <w:noProof/>
            </w:rPr>
          </w:pPr>
          <w:hyperlink w:anchor="_Toc241565769" w:history="1">
            <w:r w:rsidRPr="00B95EB3">
              <w:rPr>
                <w:rStyle w:val="Hyperlink"/>
                <w:rFonts w:asciiTheme="majorHAnsi" w:hAnsiTheme="majorHAnsi" w:cstheme="majorHAnsi"/>
                <w:noProof/>
              </w:rPr>
              <w:t>5.3.2 Corrections to the State Machine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_Toc241565769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51D6642" w14:textId="77777777" w:rsidR="00B95EB3" w:rsidRPr="00B95EB3" w:rsidRDefault="00B95EB3">
          <w:pPr>
            <w:pStyle w:val="TOC3"/>
            <w:tabs>
              <w:tab w:val="right" w:leader="dot" w:pos="9016"/>
            </w:tabs>
            <w:rPr>
              <w:rFonts w:asciiTheme="majorHAnsi" w:hAnsiTheme="majorHAnsi" w:cstheme="majorHAnsi"/>
              <w:noProof/>
            </w:rPr>
          </w:pPr>
          <w:hyperlink w:anchor="_Toc241565770" w:history="1">
            <w:r w:rsidRPr="00B95EB3">
              <w:rPr>
                <w:rStyle w:val="Hyperlink"/>
                <w:rFonts w:asciiTheme="majorHAnsi" w:hAnsiTheme="majorHAnsi" w:cstheme="majorHAnsi"/>
                <w:noProof/>
              </w:rPr>
              <w:t>5.3.3 Verification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_Toc241565770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3E8B5C9" w14:textId="77777777" w:rsidR="00B95EB3" w:rsidRPr="00B95EB3" w:rsidRDefault="00B95EB3">
          <w:pPr>
            <w:pStyle w:val="TOC2"/>
            <w:tabs>
              <w:tab w:val="right" w:leader="dot" w:pos="9016"/>
            </w:tabs>
            <w:rPr>
              <w:rFonts w:asciiTheme="majorHAnsi" w:hAnsiTheme="majorHAnsi" w:cstheme="majorHAnsi"/>
              <w:noProof/>
            </w:rPr>
          </w:pPr>
          <w:hyperlink w:anchor="_Toc241565771" w:history="1">
            <w:r w:rsidRPr="00B95EB3">
              <w:rPr>
                <w:rStyle w:val="Hyperlink"/>
                <w:rFonts w:asciiTheme="majorHAnsi" w:hAnsiTheme="majorHAnsi" w:cstheme="majorHAnsi"/>
                <w:noProof/>
              </w:rPr>
              <w:t>5.4 Digital Twin Service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_Toc241565771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192C89F" w14:textId="77777777" w:rsidR="00B95EB3" w:rsidRPr="00B95EB3" w:rsidRDefault="00B95EB3">
          <w:pPr>
            <w:pStyle w:val="TOC3"/>
            <w:tabs>
              <w:tab w:val="right" w:leader="dot" w:pos="9016"/>
            </w:tabs>
            <w:rPr>
              <w:rFonts w:asciiTheme="majorHAnsi" w:hAnsiTheme="majorHAnsi" w:cstheme="majorHAnsi"/>
              <w:noProof/>
            </w:rPr>
          </w:pPr>
          <w:hyperlink w:anchor="_Toc241565772" w:history="1">
            <w:r w:rsidRPr="00B95EB3">
              <w:rPr>
                <w:rStyle w:val="Hyperlink"/>
                <w:rFonts w:asciiTheme="majorHAnsi" w:hAnsiTheme="majorHAnsi" w:cstheme="majorHAnsi"/>
                <w:noProof/>
              </w:rPr>
              <w:t>5.4.1 From Client-Side Rules to a Server Model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_Toc241565772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3727451E" w14:textId="77777777" w:rsidR="00B95EB3" w:rsidRPr="00B95EB3" w:rsidRDefault="00B95EB3">
          <w:pPr>
            <w:pStyle w:val="TOC3"/>
            <w:tabs>
              <w:tab w:val="right" w:leader="dot" w:pos="9016"/>
            </w:tabs>
            <w:rPr>
              <w:rFonts w:asciiTheme="majorHAnsi" w:hAnsiTheme="majorHAnsi" w:cstheme="majorHAnsi"/>
              <w:noProof/>
            </w:rPr>
          </w:pPr>
          <w:hyperlink w:anchor="_Toc241565773" w:history="1">
            <w:r w:rsidRPr="00B95EB3">
              <w:rPr>
                <w:rStyle w:val="Hyperlink"/>
                <w:rFonts w:asciiTheme="majorHAnsi" w:hAnsiTheme="majorHAnsi" w:cstheme="majorHAnsi"/>
                <w:noProof/>
              </w:rPr>
              <w:t>5.4.2 Validation Gate</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_Toc241565773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8936311" w14:textId="77777777" w:rsidR="00B95EB3" w:rsidRPr="00B95EB3" w:rsidRDefault="00B95EB3">
          <w:pPr>
            <w:pStyle w:val="TOC3"/>
            <w:tabs>
              <w:tab w:val="right" w:leader="dot" w:pos="9016"/>
            </w:tabs>
            <w:rPr>
              <w:rFonts w:asciiTheme="majorHAnsi" w:hAnsiTheme="majorHAnsi" w:cstheme="majorHAnsi"/>
              <w:noProof/>
            </w:rPr>
          </w:pPr>
          <w:hyperlink w:anchor="_Toc241565774" w:history="1">
            <w:r w:rsidRPr="00B95EB3">
              <w:rPr>
                <w:rStyle w:val="Hyperlink"/>
                <w:rFonts w:asciiTheme="majorHAnsi" w:hAnsiTheme="majorHAnsi" w:cstheme="majorHAnsi"/>
                <w:noProof/>
              </w:rPr>
              <w:t>5.4.3 One Aggregate, One Lock, One Snapshot</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_Toc241565774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94C74D7" w14:textId="77777777" w:rsidR="00B95EB3" w:rsidRPr="00B95EB3" w:rsidRDefault="00B95EB3">
          <w:pPr>
            <w:pStyle w:val="TOC3"/>
            <w:tabs>
              <w:tab w:val="right" w:leader="dot" w:pos="9016"/>
            </w:tabs>
            <w:rPr>
              <w:rFonts w:asciiTheme="majorHAnsi" w:hAnsiTheme="majorHAnsi" w:cstheme="majorHAnsi"/>
              <w:noProof/>
            </w:rPr>
          </w:pPr>
          <w:hyperlink w:anchor="_Toc241565775" w:history="1">
            <w:r w:rsidRPr="00B95EB3">
              <w:rPr>
                <w:rStyle w:val="Hyperlink"/>
                <w:rFonts w:asciiTheme="majorHAnsi" w:hAnsiTheme="majorHAnsi" w:cstheme="majorHAnsi"/>
                <w:noProof/>
              </w:rPr>
              <w:t>5.4.4 Forward Projection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_Toc241565775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52B4B14" w14:textId="77777777" w:rsidR="00B95EB3" w:rsidRPr="00B95EB3" w:rsidRDefault="00B95EB3">
          <w:pPr>
            <w:pStyle w:val="TOC3"/>
            <w:tabs>
              <w:tab w:val="right" w:leader="dot" w:pos="9016"/>
            </w:tabs>
            <w:rPr>
              <w:rFonts w:asciiTheme="majorHAnsi" w:hAnsiTheme="majorHAnsi" w:cstheme="majorHAnsi"/>
              <w:noProof/>
            </w:rPr>
          </w:pPr>
          <w:hyperlink w:anchor="_Toc241565776" w:history="1">
            <w:r w:rsidRPr="00B95EB3">
              <w:rPr>
                <w:rStyle w:val="Hyperlink"/>
                <w:rFonts w:asciiTheme="majorHAnsi" w:hAnsiTheme="majorHAnsi" w:cstheme="majorHAnsi"/>
                <w:noProof/>
              </w:rPr>
              <w:t>5.4.5 Grounding the Algae Model</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_Toc241565776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38EBF21E" w14:textId="77777777" w:rsidR="00B95EB3" w:rsidRPr="00B95EB3" w:rsidRDefault="00B95EB3">
          <w:pPr>
            <w:pStyle w:val="TOC3"/>
            <w:tabs>
              <w:tab w:val="right" w:leader="dot" w:pos="9016"/>
            </w:tabs>
            <w:rPr>
              <w:rFonts w:asciiTheme="majorHAnsi" w:hAnsiTheme="majorHAnsi" w:cstheme="majorHAnsi"/>
              <w:noProof/>
            </w:rPr>
          </w:pPr>
          <w:hyperlink w:anchor="_Toc241565777" w:history="1">
            <w:r w:rsidRPr="00B95EB3">
              <w:rPr>
                <w:rStyle w:val="Hyperlink"/>
                <w:rFonts w:asciiTheme="majorHAnsi" w:hAnsiTheme="majorHAnsi" w:cstheme="majorHAnsi"/>
                <w:noProof/>
              </w:rPr>
              <w:t>5.4.6 Faults Found and Fixed in the Refactor</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_Toc241565777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EB4370C" w14:textId="77777777" w:rsidR="00B95EB3" w:rsidRPr="00B95EB3" w:rsidRDefault="00B95EB3">
          <w:pPr>
            <w:pStyle w:val="TOC2"/>
            <w:tabs>
              <w:tab w:val="right" w:leader="dot" w:pos="9016"/>
            </w:tabs>
            <w:rPr>
              <w:rFonts w:asciiTheme="majorHAnsi" w:hAnsiTheme="majorHAnsi" w:cstheme="majorHAnsi"/>
              <w:noProof/>
            </w:rPr>
          </w:pPr>
          <w:hyperlink w:anchor="_Toc241565778" w:history="1">
            <w:r w:rsidRPr="00B95EB3">
              <w:rPr>
                <w:rStyle w:val="Hyperlink"/>
                <w:rFonts w:asciiTheme="majorHAnsi" w:hAnsiTheme="majorHAnsi" w:cstheme="majorHAnsi"/>
                <w:noProof/>
              </w:rPr>
              <w:t>5.5 Data Pipeline and the Server–Client Contract</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_Toc241565778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2B0B281" w14:textId="77777777" w:rsidR="00B95EB3" w:rsidRPr="00B95EB3" w:rsidRDefault="00B95EB3">
          <w:pPr>
            <w:pStyle w:val="TOC2"/>
            <w:tabs>
              <w:tab w:val="right" w:leader="dot" w:pos="9016"/>
            </w:tabs>
            <w:rPr>
              <w:rFonts w:asciiTheme="majorHAnsi" w:hAnsiTheme="majorHAnsi" w:cstheme="majorHAnsi"/>
              <w:noProof/>
            </w:rPr>
          </w:pPr>
          <w:hyperlink w:anchor="_Toc241565779" w:history="1">
            <w:r w:rsidRPr="00B95EB3">
              <w:rPr>
                <w:rStyle w:val="Hyperlink"/>
                <w:rFonts w:asciiTheme="majorHAnsi" w:hAnsiTheme="majorHAnsi" w:cstheme="majorHAnsi"/>
                <w:noProof/>
              </w:rPr>
              <w:t>5.6 Mobile Application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_Toc241565779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FBCF552" w14:textId="77777777" w:rsidR="00B95EB3" w:rsidRPr="00B95EB3" w:rsidRDefault="00B95EB3">
          <w:pPr>
            <w:pStyle w:val="TOC3"/>
            <w:tabs>
              <w:tab w:val="right" w:leader="dot" w:pos="9016"/>
            </w:tabs>
            <w:rPr>
              <w:rFonts w:asciiTheme="majorHAnsi" w:hAnsiTheme="majorHAnsi" w:cstheme="majorHAnsi"/>
              <w:noProof/>
            </w:rPr>
          </w:pPr>
          <w:hyperlink w:anchor="_Toc241565780" w:history="1">
            <w:r w:rsidRPr="00B95EB3">
              <w:rPr>
                <w:rStyle w:val="Hyperlink"/>
                <w:rFonts w:asciiTheme="majorHAnsi" w:hAnsiTheme="majorHAnsi" w:cstheme="majorHAnsi"/>
                <w:noProof/>
              </w:rPr>
              <w:t>5.6.1 Screens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_Toc241565780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F1C51BD" w14:textId="77777777" w:rsidR="00B95EB3" w:rsidRPr="00B95EB3" w:rsidRDefault="00B95EB3">
          <w:pPr>
            <w:pStyle w:val="TOC3"/>
            <w:tabs>
              <w:tab w:val="right" w:leader="dot" w:pos="9016"/>
            </w:tabs>
            <w:rPr>
              <w:rFonts w:asciiTheme="majorHAnsi" w:hAnsiTheme="majorHAnsi" w:cstheme="majorHAnsi"/>
              <w:noProof/>
            </w:rPr>
          </w:pPr>
          <w:hyperlink w:anchor="_Toc241565781" w:history="1">
            <w:r w:rsidRPr="00B95EB3">
              <w:rPr>
                <w:rStyle w:val="Hyperlink"/>
                <w:rFonts w:asciiTheme="majorHAnsi" w:hAnsiTheme="majorHAnsi" w:cstheme="majorHAnsi"/>
                <w:noProof/>
              </w:rPr>
              <w:t>5.6.2 Changes Made in the Refactor</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_Toc241565781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C787861" w14:textId="77777777" w:rsidR="00B95EB3" w:rsidRPr="00B95EB3" w:rsidRDefault="00B95EB3">
          <w:pPr>
            <w:pStyle w:val="TOC3"/>
            <w:tabs>
              <w:tab w:val="right" w:leader="dot" w:pos="9016"/>
            </w:tabs>
            <w:rPr>
              <w:rFonts w:asciiTheme="majorHAnsi" w:hAnsiTheme="majorHAnsi" w:cstheme="majorHAnsi"/>
              <w:noProof/>
            </w:rPr>
          </w:pPr>
          <w:hyperlink w:anchor="_Toc241565782" w:history="1">
            <w:r w:rsidRPr="00B95EB3">
              <w:rPr>
                <w:rStyle w:val="Hyperlink"/>
                <w:rFonts w:asciiTheme="majorHAnsi" w:hAnsiTheme="majorHAnsi" w:cstheme="majorHAnsi"/>
                <w:noProof/>
              </w:rPr>
              <w:t>5.6.3 Verification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_Toc241565782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4AF0E55" w14:textId="77777777" w:rsidR="00B95EB3" w:rsidRPr="00B95EB3" w:rsidRDefault="00B95EB3">
          <w:pPr>
            <w:pStyle w:val="TOC2"/>
            <w:tabs>
              <w:tab w:val="right" w:leader="dot" w:pos="9016"/>
            </w:tabs>
            <w:rPr>
              <w:rFonts w:asciiTheme="majorHAnsi" w:hAnsiTheme="majorHAnsi" w:cstheme="majorHAnsi"/>
              <w:noProof/>
            </w:rPr>
          </w:pPr>
          <w:hyperlink w:anchor="_Toc241565783" w:history="1">
            <w:r w:rsidRPr="00B95EB3">
              <w:rPr>
                <w:rStyle w:val="Hyperlink"/>
                <w:rFonts w:asciiTheme="majorHAnsi" w:hAnsiTheme="majorHAnsi" w:cstheme="majorHAnsi"/>
                <w:noProof/>
              </w:rPr>
              <w:t>5.7 Verification Summary</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_Toc241565783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AC5BEB4" w14:textId="77777777" w:rsidR="00B95EB3" w:rsidRPr="00B95EB3" w:rsidRDefault="00B95EB3">
          <w:pPr>
            <w:pStyle w:val="TOC2"/>
            <w:tabs>
              <w:tab w:val="right" w:leader="dot" w:pos="9016"/>
            </w:tabs>
            <w:rPr>
              <w:rFonts w:asciiTheme="majorHAnsi" w:hAnsiTheme="majorHAnsi" w:cstheme="majorHAnsi"/>
              <w:noProof/>
            </w:rPr>
          </w:pPr>
          <w:hyperlink w:anchor="_Toc241565784" w:history="1">
            <w:r w:rsidRPr="00B95EB3">
              <w:rPr>
                <w:rStyle w:val="Hyperlink"/>
                <w:rFonts w:asciiTheme="majorHAnsi" w:hAnsiTheme="majorHAnsi" w:cstheme="majorHAnsi"/>
                <w:noProof/>
              </w:rPr>
              <w:t>5.8 Known Limitations of the Implementation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_Toc241565784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F31C17A" w14:textId="77777777" w:rsidR="00B95EB3" w:rsidRPr="00B95EB3" w:rsidRDefault="00B95EB3">
          <w:pPr>
            <w:pStyle w:val="TOC1"/>
            <w:tabs>
              <w:tab w:val="right" w:leader="dot" w:pos="9016"/>
            </w:tabs>
            <w:rPr>
              <w:rFonts w:asciiTheme="majorHAnsi" w:hAnsiTheme="majorHAnsi" w:cstheme="majorHAnsi"/>
              <w:noProof/>
            </w:rPr>
          </w:pPr>
          <w:hyperlink w:anchor="_Toc241565785" w:history="1">
            <w:r w:rsidRPr="00B95EB3">
              <w:rPr>
                <w:rStyle w:val="Hyperlink"/>
                <w:rFonts w:asciiTheme="majorHAnsi" w:hAnsiTheme="majorHAnsi" w:cstheme="majorHAnsi"/>
                <w:noProof/>
              </w:rPr>
              <w:t>Chapter 6: Results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_Toc241565785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2D8471B" w14:textId="77777777" w:rsidR="00B95EB3" w:rsidRPr="00B95EB3" w:rsidRDefault="00B95EB3">
          <w:pPr>
            <w:pStyle w:val="TOC2"/>
            <w:tabs>
              <w:tab w:val="right" w:leader="dot" w:pos="9016"/>
            </w:tabs>
            <w:rPr>
              <w:rFonts w:asciiTheme="majorHAnsi" w:hAnsiTheme="majorHAnsi" w:cstheme="majorHAnsi"/>
              <w:noProof/>
            </w:rPr>
          </w:pPr>
          <w:hyperlink w:anchor="_Toc241565786" w:history="1">
            <w:r w:rsidRPr="00B95EB3">
              <w:rPr>
                <w:rStyle w:val="Hyperlink"/>
                <w:rFonts w:asciiTheme="majorHAnsi" w:hAnsiTheme="majorHAnsi" w:cstheme="majorHAnsi"/>
                <w:noProof/>
              </w:rPr>
              <w:t>6.1 Status of the Results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_Toc241565786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E2C8BDC" w14:textId="77777777" w:rsidR="00B95EB3" w:rsidRPr="00B95EB3" w:rsidRDefault="00B95EB3">
          <w:pPr>
            <w:pStyle w:val="TOC2"/>
            <w:tabs>
              <w:tab w:val="right" w:leader="dot" w:pos="9016"/>
            </w:tabs>
            <w:rPr>
              <w:rFonts w:asciiTheme="majorHAnsi" w:hAnsiTheme="majorHAnsi" w:cstheme="majorHAnsi"/>
              <w:noProof/>
            </w:rPr>
          </w:pPr>
          <w:hyperlink w:anchor="_Toc241565787" w:history="1">
            <w:r w:rsidRPr="00B95EB3">
              <w:rPr>
                <w:rStyle w:val="Hyperlink"/>
                <w:rFonts w:asciiTheme="majorHAnsi" w:hAnsiTheme="majorHAnsi" w:cstheme="majorHAnsi"/>
                <w:noProof/>
              </w:rPr>
              <w:t>6.2 Historical Analysis of NEA Forecasts and Observations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_Toc241565787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DFE4179" w14:textId="77777777" w:rsidR="00B95EB3" w:rsidRPr="00B95EB3" w:rsidRDefault="00B95EB3">
          <w:pPr>
            <w:pStyle w:val="TOC3"/>
            <w:tabs>
              <w:tab w:val="right" w:leader="dot" w:pos="9016"/>
            </w:tabs>
            <w:rPr>
              <w:rFonts w:asciiTheme="majorHAnsi" w:hAnsiTheme="majorHAnsi" w:cstheme="majorHAnsi"/>
              <w:noProof/>
            </w:rPr>
          </w:pPr>
          <w:hyperlink w:anchor="_Toc241565788" w:history="1">
            <w:r w:rsidRPr="00B95EB3">
              <w:rPr>
                <w:rStyle w:val="Hyperlink"/>
                <w:rFonts w:asciiTheme="majorHAnsi" w:hAnsiTheme="majorHAnsi" w:cstheme="majorHAnsi"/>
                <w:noProof/>
              </w:rPr>
              <w:t>6.2.1 Purpose and Data</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_Toc241565788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E22B4E4" w14:textId="77777777" w:rsidR="00B95EB3" w:rsidRPr="00B95EB3" w:rsidRDefault="00B95EB3">
          <w:pPr>
            <w:pStyle w:val="TOC3"/>
            <w:tabs>
              <w:tab w:val="right" w:leader="dot" w:pos="9016"/>
            </w:tabs>
            <w:rPr>
              <w:rFonts w:asciiTheme="majorHAnsi" w:hAnsiTheme="majorHAnsi" w:cstheme="majorHAnsi"/>
              <w:noProof/>
            </w:rPr>
          </w:pPr>
          <w:hyperlink w:anchor="_Toc241565789" w:history="1">
            <w:r w:rsidRPr="00B95EB3">
              <w:rPr>
                <w:rStyle w:val="Hyperlink"/>
                <w:rFonts w:asciiTheme="majorHAnsi" w:hAnsiTheme="majorHAnsi" w:cstheme="majorHAnsi"/>
                <w:noProof/>
              </w:rPr>
              <w:t>6.2.2 Rainfall Magnitude and Its Effect on a Pond</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_Toc241565789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4828B49" w14:textId="77777777" w:rsidR="00B95EB3" w:rsidRPr="00B95EB3" w:rsidRDefault="00B95EB3">
          <w:pPr>
            <w:pStyle w:val="TOC3"/>
            <w:tabs>
              <w:tab w:val="right" w:leader="dot" w:pos="9016"/>
            </w:tabs>
            <w:rPr>
              <w:rFonts w:asciiTheme="majorHAnsi" w:hAnsiTheme="majorHAnsi" w:cstheme="majorHAnsi"/>
              <w:noProof/>
            </w:rPr>
          </w:pPr>
          <w:hyperlink w:anchor="_Toc241565790" w:history="1">
            <w:r w:rsidRPr="00B95EB3">
              <w:rPr>
                <w:rStyle w:val="Hyperlink"/>
                <w:rFonts w:asciiTheme="majorHAnsi" w:hAnsiTheme="majorHAnsi" w:cstheme="majorHAnsi"/>
                <w:noProof/>
              </w:rPr>
              <w:t>6.2.3 Reliability of the Forecast Wording</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_Toc241565790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6F263E1E" w14:textId="77777777" w:rsidR="00B95EB3" w:rsidRPr="00B95EB3" w:rsidRDefault="00B95EB3">
          <w:pPr>
            <w:pStyle w:val="TOC3"/>
            <w:tabs>
              <w:tab w:val="right" w:leader="dot" w:pos="9016"/>
            </w:tabs>
            <w:rPr>
              <w:rFonts w:asciiTheme="majorHAnsi" w:hAnsiTheme="majorHAnsi" w:cstheme="majorHAnsi"/>
              <w:noProof/>
            </w:rPr>
          </w:pPr>
          <w:hyperlink w:anchor="_Toc241565791" w:history="1">
            <w:r w:rsidRPr="00B95EB3">
              <w:rPr>
                <w:rStyle w:val="Hyperlink"/>
                <w:rFonts w:asciiTheme="majorHAnsi" w:hAnsiTheme="majorHAnsi" w:cstheme="majorHAnsi"/>
                <w:noProof/>
              </w:rPr>
              <w:t>6.2.4 Advisory Rules on Held-Out Data</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_Toc241565791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929F37F" w14:textId="77777777" w:rsidR="00B95EB3" w:rsidRPr="00B95EB3" w:rsidRDefault="00B95EB3">
          <w:pPr>
            <w:pStyle w:val="TOC3"/>
            <w:tabs>
              <w:tab w:val="right" w:leader="dot" w:pos="9016"/>
            </w:tabs>
            <w:rPr>
              <w:rFonts w:asciiTheme="majorHAnsi" w:hAnsiTheme="majorHAnsi" w:cstheme="majorHAnsi"/>
              <w:noProof/>
            </w:rPr>
          </w:pPr>
          <w:hyperlink w:anchor="_Toc241565792" w:history="1">
            <w:r w:rsidRPr="00B95EB3">
              <w:rPr>
                <w:rStyle w:val="Hyperlink"/>
                <w:rFonts w:asciiTheme="majorHAnsi" w:hAnsiTheme="majorHAnsi" w:cstheme="majorHAnsi"/>
                <w:noProof/>
              </w:rPr>
              <w:t>6.2.5 Does the Outlook Add Skill over the Thermometer?</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_Toc241565792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96F0682" w14:textId="77777777" w:rsidR="00B95EB3" w:rsidRPr="00B95EB3" w:rsidRDefault="00B95EB3">
          <w:pPr>
            <w:pStyle w:val="TOC3"/>
            <w:tabs>
              <w:tab w:val="right" w:leader="dot" w:pos="9016"/>
            </w:tabs>
            <w:rPr>
              <w:rFonts w:asciiTheme="majorHAnsi" w:hAnsiTheme="majorHAnsi" w:cstheme="majorHAnsi"/>
              <w:noProof/>
            </w:rPr>
          </w:pPr>
          <w:hyperlink w:anchor="_Toc241565793" w:history="1">
            <w:r w:rsidRPr="00B95EB3">
              <w:rPr>
                <w:rStyle w:val="Hyperlink"/>
                <w:rFonts w:asciiTheme="majorHAnsi" w:hAnsiTheme="majorHAnsi" w:cstheme="majorHAnsi"/>
                <w:noProof/>
              </w:rPr>
              <w:t>6.2.6 Summary of the Historical Findings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_Toc241565793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3598BFB" w14:textId="77777777" w:rsidR="00B95EB3" w:rsidRPr="00B95EB3" w:rsidRDefault="00B95EB3">
          <w:pPr>
            <w:pStyle w:val="TOC2"/>
            <w:tabs>
              <w:tab w:val="right" w:leader="dot" w:pos="9016"/>
            </w:tabs>
            <w:rPr>
              <w:rFonts w:asciiTheme="majorHAnsi" w:hAnsiTheme="majorHAnsi" w:cstheme="majorHAnsi"/>
              <w:noProof/>
            </w:rPr>
          </w:pPr>
          <w:hyperlink w:anchor="_Toc241565794" w:history="1">
            <w:r w:rsidRPr="00B95EB3">
              <w:rPr>
                <w:rStyle w:val="Hyperlink"/>
                <w:rFonts w:asciiTheme="majorHAnsi" w:hAnsiTheme="majorHAnsi" w:cstheme="majorHAnsi"/>
                <w:noProof/>
              </w:rPr>
              <w:t>6.3 Software Verification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_Toc241565794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D5C0575" w14:textId="77777777" w:rsidR="00B95EB3" w:rsidRPr="00B95EB3" w:rsidRDefault="00B95EB3">
          <w:pPr>
            <w:pStyle w:val="TOC2"/>
            <w:tabs>
              <w:tab w:val="right" w:leader="dot" w:pos="9016"/>
            </w:tabs>
            <w:rPr>
              <w:rFonts w:asciiTheme="majorHAnsi" w:hAnsiTheme="majorHAnsi" w:cstheme="majorHAnsi"/>
              <w:noProof/>
            </w:rPr>
          </w:pPr>
          <w:hyperlink w:anchor="_Toc241565795" w:history="1">
            <w:r w:rsidRPr="00B95EB3">
              <w:rPr>
                <w:rStyle w:val="Hyperlink"/>
                <w:rFonts w:asciiTheme="majorHAnsi" w:hAnsiTheme="majorHAnsi" w:cstheme="majorHAnsi"/>
                <w:noProof/>
              </w:rPr>
              <w:t>6.4 Bench, Field and Full-System Results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_Toc241565795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E4A3B36" w14:textId="77777777" w:rsidR="00B95EB3" w:rsidRPr="00B95EB3" w:rsidRDefault="00B95EB3">
          <w:pPr>
            <w:pStyle w:val="TOC3"/>
            <w:tabs>
              <w:tab w:val="right" w:leader="dot" w:pos="9016"/>
            </w:tabs>
            <w:rPr>
              <w:rFonts w:asciiTheme="majorHAnsi" w:hAnsiTheme="majorHAnsi" w:cstheme="majorHAnsi"/>
              <w:noProof/>
            </w:rPr>
          </w:pPr>
          <w:hyperlink w:anchor="_Toc241565796" w:history="1">
            <w:r w:rsidRPr="00B95EB3">
              <w:rPr>
                <w:rStyle w:val="Hyperlink"/>
                <w:rFonts w:asciiTheme="majorHAnsi" w:hAnsiTheme="majorHAnsi" w:cstheme="majorHAnsi"/>
                <w:noProof/>
              </w:rPr>
              <w:t>6.4.1 Tier 1 Functional Results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_Toc241565796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70CE5B0F" w14:textId="77777777" w:rsidR="00B95EB3" w:rsidRPr="00B95EB3" w:rsidRDefault="00B95EB3">
          <w:pPr>
            <w:pStyle w:val="TOC3"/>
            <w:tabs>
              <w:tab w:val="right" w:leader="dot" w:pos="9016"/>
            </w:tabs>
            <w:rPr>
              <w:rFonts w:asciiTheme="majorHAnsi" w:hAnsiTheme="majorHAnsi" w:cstheme="majorHAnsi"/>
              <w:noProof/>
            </w:rPr>
          </w:pPr>
          <w:hyperlink w:anchor="_Toc241565797" w:history="1">
            <w:r w:rsidRPr="00B95EB3">
              <w:rPr>
                <w:rStyle w:val="Hyperlink"/>
                <w:rFonts w:asciiTheme="majorHAnsi" w:hAnsiTheme="majorHAnsi" w:cstheme="majorHAnsi"/>
                <w:noProof/>
              </w:rPr>
              <w:t>6.4.2 TDS Context-Log Viability</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_Toc241565797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3788437D" w14:textId="77777777" w:rsidR="00B95EB3" w:rsidRPr="00B95EB3" w:rsidRDefault="00B95EB3">
          <w:pPr>
            <w:pStyle w:val="TOC3"/>
            <w:tabs>
              <w:tab w:val="right" w:leader="dot" w:pos="9016"/>
            </w:tabs>
            <w:rPr>
              <w:rFonts w:asciiTheme="majorHAnsi" w:hAnsiTheme="majorHAnsi" w:cstheme="majorHAnsi"/>
              <w:noProof/>
            </w:rPr>
          </w:pPr>
          <w:hyperlink w:anchor="_Toc241565798" w:history="1">
            <w:r w:rsidRPr="00B95EB3">
              <w:rPr>
                <w:rStyle w:val="Hyperlink"/>
                <w:rFonts w:asciiTheme="majorHAnsi" w:hAnsiTheme="majorHAnsi" w:cstheme="majorHAnsi"/>
                <w:noProof/>
              </w:rPr>
              <w:t>6.4.3 Tier 2 Field Run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_Toc241565798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191E1C3" w14:textId="77777777" w:rsidR="00B95EB3" w:rsidRPr="00B95EB3" w:rsidRDefault="00B95EB3">
          <w:pPr>
            <w:pStyle w:val="TOC3"/>
            <w:tabs>
              <w:tab w:val="right" w:leader="dot" w:pos="9016"/>
            </w:tabs>
            <w:rPr>
              <w:rFonts w:asciiTheme="majorHAnsi" w:hAnsiTheme="majorHAnsi" w:cstheme="majorHAnsi"/>
              <w:noProof/>
            </w:rPr>
          </w:pPr>
          <w:hyperlink w:anchor="_Toc241565799" w:history="1">
            <w:r w:rsidRPr="00B95EB3">
              <w:rPr>
                <w:rStyle w:val="Hyperlink"/>
                <w:rFonts w:asciiTheme="majorHAnsi" w:hAnsiTheme="majorHAnsi" w:cstheme="majorHAnsi"/>
                <w:noProof/>
              </w:rPr>
              <w:t>6.4.4 Tier 3 Full-System Results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_Toc241565799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48EB707" w14:textId="77777777" w:rsidR="00B95EB3" w:rsidRPr="00B95EB3" w:rsidRDefault="00B95EB3">
          <w:pPr>
            <w:pStyle w:val="TOC1"/>
            <w:tabs>
              <w:tab w:val="right" w:leader="dot" w:pos="9016"/>
            </w:tabs>
            <w:rPr>
              <w:rFonts w:asciiTheme="majorHAnsi" w:hAnsiTheme="majorHAnsi" w:cstheme="majorHAnsi"/>
              <w:noProof/>
            </w:rPr>
          </w:pPr>
          <w:hyperlink w:anchor="_Toc241565800" w:history="1">
            <w:r w:rsidRPr="00B95EB3">
              <w:rPr>
                <w:rStyle w:val="Hyperlink"/>
                <w:rFonts w:asciiTheme="majorHAnsi" w:hAnsiTheme="majorHAnsi" w:cstheme="majorHAnsi"/>
                <w:noProof/>
              </w:rPr>
              <w:t>Chapter 7: Discussion and Conclusion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_Toc241565800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2106270" w14:textId="77777777" w:rsidR="00B95EB3" w:rsidRPr="00B95EB3" w:rsidRDefault="00B95EB3">
          <w:pPr>
            <w:pStyle w:val="TOC2"/>
            <w:tabs>
              <w:tab w:val="right" w:leader="dot" w:pos="9016"/>
            </w:tabs>
            <w:rPr>
              <w:rFonts w:asciiTheme="majorHAnsi" w:hAnsiTheme="majorHAnsi" w:cstheme="majorHAnsi"/>
              <w:noProof/>
            </w:rPr>
          </w:pPr>
          <w:hyperlink w:anchor="_Toc241565801" w:history="1">
            <w:r w:rsidRPr="00B95EB3">
              <w:rPr>
                <w:rStyle w:val="Hyperlink"/>
                <w:rFonts w:asciiTheme="majorHAnsi" w:hAnsiTheme="majorHAnsi" w:cstheme="majorHAnsi"/>
                <w:noProof/>
              </w:rPr>
              <w:t>7.1 Progress Against the Aims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_Toc241565801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99D07ED" w14:textId="77777777" w:rsidR="00B95EB3" w:rsidRPr="00B95EB3" w:rsidRDefault="00B95EB3">
          <w:pPr>
            <w:pStyle w:val="TOC2"/>
            <w:tabs>
              <w:tab w:val="right" w:leader="dot" w:pos="9016"/>
            </w:tabs>
            <w:rPr>
              <w:rFonts w:asciiTheme="majorHAnsi" w:hAnsiTheme="majorHAnsi" w:cstheme="majorHAnsi"/>
              <w:noProof/>
            </w:rPr>
          </w:pPr>
          <w:hyperlink w:anchor="_Toc241565802" w:history="1">
            <w:r w:rsidRPr="00B95EB3">
              <w:rPr>
                <w:rStyle w:val="Hyperlink"/>
                <w:rFonts w:asciiTheme="majorHAnsi" w:hAnsiTheme="majorHAnsi" w:cstheme="majorHAnsi"/>
                <w:noProof/>
              </w:rPr>
              <w:t>7.2 What the Historical Analysis Means for the Design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_Toc241565802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2845F381" w14:textId="77777777" w:rsidR="00B95EB3" w:rsidRPr="00B95EB3" w:rsidRDefault="00B95EB3">
          <w:pPr>
            <w:pStyle w:val="TOC2"/>
            <w:tabs>
              <w:tab w:val="right" w:leader="dot" w:pos="9016"/>
            </w:tabs>
            <w:rPr>
              <w:rFonts w:asciiTheme="majorHAnsi" w:hAnsiTheme="majorHAnsi" w:cstheme="majorHAnsi"/>
              <w:noProof/>
            </w:rPr>
          </w:pPr>
          <w:hyperlink w:anchor="_Toc241565803" w:history="1">
            <w:r w:rsidRPr="00B95EB3">
              <w:rPr>
                <w:rStyle w:val="Hyperlink"/>
                <w:rFonts w:asciiTheme="majorHAnsi" w:hAnsiTheme="majorHAnsi" w:cstheme="majorHAnsi"/>
                <w:noProof/>
              </w:rPr>
              <w:t>7.3 Limitations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_Toc241565803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1E9B75A1" w14:textId="77777777" w:rsidR="00B95EB3" w:rsidRPr="00B95EB3" w:rsidRDefault="00B95EB3">
          <w:pPr>
            <w:pStyle w:val="TOC2"/>
            <w:tabs>
              <w:tab w:val="right" w:leader="dot" w:pos="9016"/>
            </w:tabs>
            <w:rPr>
              <w:rFonts w:asciiTheme="majorHAnsi" w:hAnsiTheme="majorHAnsi" w:cstheme="majorHAnsi"/>
              <w:noProof/>
            </w:rPr>
          </w:pPr>
          <w:hyperlink w:anchor="_Toc241565804" w:history="1">
            <w:r w:rsidRPr="00B95EB3">
              <w:rPr>
                <w:rStyle w:val="Hyperlink"/>
                <w:rFonts w:asciiTheme="majorHAnsi" w:hAnsiTheme="majorHAnsi" w:cstheme="majorHAnsi"/>
                <w:noProof/>
              </w:rPr>
              <w:t>7.4 Future Work</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_Toc241565804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4CFC6C31" w14:textId="77777777" w:rsidR="00B95EB3" w:rsidRPr="00B95EB3" w:rsidRDefault="00B95EB3">
          <w:pPr>
            <w:pStyle w:val="TOC2"/>
            <w:tabs>
              <w:tab w:val="right" w:leader="dot" w:pos="9016"/>
            </w:tabs>
            <w:rPr>
              <w:rFonts w:asciiTheme="majorHAnsi" w:hAnsiTheme="majorHAnsi" w:cstheme="majorHAnsi"/>
              <w:noProof/>
            </w:rPr>
          </w:pPr>
          <w:hyperlink w:anchor="_Toc241565805" w:history="1">
            <w:r w:rsidRPr="00B95EB3">
              <w:rPr>
                <w:rStyle w:val="Hyperlink"/>
                <w:rFonts w:asciiTheme="majorHAnsi" w:hAnsiTheme="majorHAnsi" w:cstheme="majorHAnsi"/>
                <w:noProof/>
              </w:rPr>
              <w:t>7.5 Conclusion</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_Toc241565805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0ACF7151" w14:textId="77777777" w:rsidR="00B95EB3" w:rsidRPr="00B95EB3" w:rsidRDefault="00B95EB3">
          <w:pPr>
            <w:pStyle w:val="TOC1"/>
            <w:tabs>
              <w:tab w:val="right" w:leader="dot" w:pos="9016"/>
            </w:tabs>
            <w:rPr>
              <w:rFonts w:asciiTheme="majorHAnsi" w:hAnsiTheme="majorHAnsi" w:cstheme="majorHAnsi"/>
              <w:noProof/>
            </w:rPr>
          </w:pPr>
          <w:hyperlink w:anchor="_Toc241565806" w:history="1">
            <w:r w:rsidRPr="00B95EB3">
              <w:rPr>
                <w:rStyle w:val="Hyperlink"/>
                <w:rFonts w:asciiTheme="majorHAnsi" w:hAnsiTheme="majorHAnsi" w:cstheme="majorHAnsi"/>
                <w:noProof/>
              </w:rPr>
              <w:t>References</w:t>
            </w:r>
            <w:r w:rsidRPr="00B95EB3">
              <w:rPr>
                <w:rFonts w:asciiTheme="majorHAnsi" w:hAnsiTheme="majorHAnsi" w:cstheme="majorHAnsi"/>
                <w:noProof/>
                <w:webHidden/>
              </w:rPr>
              <w:tab/>
            </w:r>
            <w:r w:rsidRPr="00B95EB3">
              <w:rPr>
                <w:rFonts w:asciiTheme="majorHAnsi" w:hAnsiTheme="majorHAnsi" w:cstheme="majorHAnsi"/>
                <w:noProof/>
                <w:webHidden/>
              </w:rPr>
              <w:fldChar w:fldCharType="begin"/>
            </w:r>
            <w:r w:rsidRPr="00B95EB3">
              <w:rPr>
                <w:rFonts w:asciiTheme="majorHAnsi" w:hAnsiTheme="majorHAnsi" w:cstheme="majorHAnsi"/>
                <w:noProof/>
                <w:webHidden/>
              </w:rPr>
              <w:instrText xml:space="preserve"> PAGEREF _Toc241565806 \h </w:instrText>
            </w:r>
            <w:r w:rsidRPr="00B95EB3">
              <w:rPr>
                <w:rFonts w:asciiTheme="majorHAnsi" w:hAnsiTheme="majorHAnsi" w:cstheme="majorHAnsi"/>
                <w:noProof/>
                <w:webHidden/>
              </w:rPr>
            </w:r>
            <w:r w:rsidRPr="00B95EB3">
              <w:rPr>
                <w:rFonts w:asciiTheme="majorHAnsi" w:hAnsiTheme="majorHAnsi" w:cstheme="majorHAnsi"/>
                <w:noProof/>
                <w:webHidden/>
              </w:rPr>
              <w:fldChar w:fldCharType="separate"/>
            </w:r>
            <w:r w:rsidRPr="00B95EB3">
              <w:rPr>
                <w:rFonts w:asciiTheme="majorHAnsi" w:hAnsiTheme="majorHAnsi" w:cstheme="majorHAnsi"/>
                <w:noProof/>
                <w:webHidden/>
              </w:rPr>
              <w:t>1</w:t>
            </w:r>
            <w:r w:rsidRPr="00B95EB3">
              <w:rPr>
                <w:rFonts w:asciiTheme="majorHAnsi" w:hAnsiTheme="majorHAnsi" w:cstheme="majorHAnsi"/>
                <w:noProof/>
                <w:webHidden/>
              </w:rPr>
              <w:fldChar w:fldCharType="end"/>
            </w:r>
          </w:hyperlink>
        </w:p>
        <w:p w14:paraId="533AD7EA" w14:textId="77777777" w:rsidR="00DB1607" w:rsidRPr="00B95EB3" w:rsidRDefault="00000000">
          <w:pPr>
            <w:rPr>
              <w:rFonts w:asciiTheme="majorHAnsi" w:hAnsiTheme="majorHAnsi" w:cstheme="majorHAnsi"/>
            </w:rPr>
          </w:pPr>
          <w:r w:rsidRPr="00B95EB3">
            <w:rPr>
              <w:rFonts w:asciiTheme="majorHAnsi" w:hAnsiTheme="majorHAnsi" w:cstheme="majorHAnsi"/>
            </w:rPr>
            <w:fldChar w:fldCharType="end"/>
          </w:r>
        </w:p>
      </w:sdtContent>
    </w:sdt>
    <w:p w14:paraId="1379FB49" w14:textId="77777777" w:rsidR="00DB1607" w:rsidRPr="00B95EB3" w:rsidRDefault="00000000">
      <w:pPr>
        <w:pStyle w:val="Heading1"/>
        <w:rPr>
          <w:rFonts w:asciiTheme="majorHAnsi" w:hAnsiTheme="majorHAnsi" w:cstheme="majorHAnsi"/>
        </w:rPr>
      </w:pPr>
      <w:bookmarkStart w:id="0" w:name="abstract"/>
      <w:bookmarkStart w:id="1" w:name="_Toc241565661"/>
      <w:r w:rsidRPr="00B95EB3">
        <w:rPr>
          <w:rFonts w:asciiTheme="majorHAnsi" w:hAnsiTheme="majorHAnsi" w:cstheme="majorHAnsi"/>
        </w:rPr>
        <w:lastRenderedPageBreak/>
        <w:t>Abstract</w:t>
      </w:r>
      <w:bookmarkEnd w:id="1"/>
    </w:p>
    <w:p w14:paraId="49A9D9BD"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Outdoor ornamental fish ponds in tropical climates face water quality risks that indoor tanks do not. Rainfall, strong sunlight and algal growth act on an outdoor pond in ways a closed indoor system never experiences. Current pond keeping relies on manual testing and frequent owner attention to stay ahead of these risks. This project develops a low-cost Internet of Things system that monitors an outdoor pond and gives the owner advance warning of developing problems, rather than only reporting the current state of the water.</w:t>
      </w:r>
    </w:p>
    <w:p w14:paraId="141306AC"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system combines direct sensing of temperature, pH and total dissolved solids with two further sources of information. The first is optical sensing: a camera that tracks surface algal coverage and a colour sensor that reads a colorimetric ammonia indicator. The second is external weather forecast data drawn from Singapore's National Environment Agency. Sensor readings and forecast data are combined in a digital twin model that estimates the chemical and biological state of the pond ahead of time, covering ammonia and nitrate buildup, algal growth risk, and evaporation. The system reports these estimates to the owner through a mobile application, with status alerts raised from forecast conditions as well as current readings.</w:t>
      </w:r>
    </w:p>
    <w:p w14:paraId="38F3B440"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system does not attempt to replace expensive direct sensors for every water parameter. Where a direct sensor is not viable on cost or reliability grounds, this project shows how the same information can be estimated from cheaper measurements and existing literature on pond chemistry. The result is intended to reduce the labour and guesswork currently required of pond owners while keeping hardware cost within reach of a home installation. This report documents the reasoning behind each design decision, the system built, and its remaining limitations.</w:t>
      </w:r>
    </w:p>
    <w:p w14:paraId="7856C4D4"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[Placeholder: add a closing sentence stating validated system performance once results are finalised.]</w:t>
      </w:r>
    </w:p>
    <w:p w14:paraId="33C9E118" w14:textId="77777777" w:rsidR="00DB1607" w:rsidRPr="00B95EB3" w:rsidRDefault="00000000">
      <w:pPr>
        <w:pStyle w:val="Heading1"/>
        <w:rPr>
          <w:rFonts w:asciiTheme="majorHAnsi" w:hAnsiTheme="majorHAnsi" w:cstheme="majorHAnsi"/>
        </w:rPr>
      </w:pPr>
      <w:bookmarkStart w:id="2" w:name="chapter-1-introduction"/>
      <w:bookmarkStart w:id="3" w:name="_Toc241565662"/>
      <w:bookmarkEnd w:id="0"/>
      <w:r w:rsidRPr="00B95EB3">
        <w:rPr>
          <w:rFonts w:asciiTheme="majorHAnsi" w:hAnsiTheme="majorHAnsi" w:cstheme="majorHAnsi"/>
        </w:rPr>
        <w:lastRenderedPageBreak/>
        <w:t>Chapter 1: Introduction</w:t>
      </w:r>
      <w:bookmarkEnd w:id="3"/>
    </w:p>
    <w:p w14:paraId="62CD14BB" w14:textId="77777777" w:rsidR="00DB1607" w:rsidRPr="00B95EB3" w:rsidRDefault="00000000">
      <w:pPr>
        <w:pStyle w:val="Heading2"/>
        <w:rPr>
          <w:rFonts w:asciiTheme="majorHAnsi" w:hAnsiTheme="majorHAnsi" w:cstheme="majorHAnsi"/>
        </w:rPr>
      </w:pPr>
      <w:bookmarkStart w:id="4" w:name="background-and-motivation"/>
      <w:bookmarkStart w:id="5" w:name="_Toc241565663"/>
      <w:r w:rsidRPr="00B95EB3">
        <w:rPr>
          <w:rFonts w:asciiTheme="majorHAnsi" w:hAnsiTheme="majorHAnsi" w:cstheme="majorHAnsi"/>
        </w:rPr>
        <w:t>1.1 Background and Motivation</w:t>
      </w:r>
      <w:bookmarkEnd w:id="5"/>
    </w:p>
    <w:p w14:paraId="70A140EB"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Fish are commonly kept as pets in tanks and ponds across Singapore and the wider region. An indoor tank is a largely closed system, while an outdoor pond is exposed directly to rain, sunlight, wind and ambient temperature, so its water chemistry can shift far faster. Left unmanaged, these shifts can stress or kill the fish. Pond owners today manage this risk mostly through manual water testing and habits built from experience. This works, but it demands regular attention and a level of knowledge that a new owner may not yet have.</w:t>
      </w:r>
    </w:p>
    <w:p w14:paraId="7544624A"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Internet of Things offers a way to reduce that demand. A network of low-cost sensors can measure water conditions continuously and alert an owner before a manual test would have caught a problem. However, several of the most important water quality parameters, in particular dissolved oxygen and nitrate, are either expensive or unreliable to sense directly at consumer scale. A system built for this setting must therefore decide, parameter by parameter, whether to sense directly, infer from other measurements, or estimate from a cheaper proxy.</w:t>
      </w:r>
    </w:p>
    <w:p w14:paraId="5B7BB8E0" w14:textId="77777777" w:rsidR="00DB1607" w:rsidRPr="00B95EB3" w:rsidRDefault="00000000">
      <w:pPr>
        <w:pStyle w:val="Heading2"/>
        <w:rPr>
          <w:rFonts w:asciiTheme="majorHAnsi" w:hAnsiTheme="majorHAnsi" w:cstheme="majorHAnsi"/>
        </w:rPr>
      </w:pPr>
      <w:bookmarkStart w:id="6" w:name="project-scope-evolution"/>
      <w:bookmarkStart w:id="7" w:name="_Toc241565664"/>
      <w:bookmarkEnd w:id="4"/>
      <w:r w:rsidRPr="00B95EB3">
        <w:rPr>
          <w:rFonts w:asciiTheme="majorHAnsi" w:hAnsiTheme="majorHAnsi" w:cstheme="majorHAnsi"/>
        </w:rPr>
        <w:t>1.2 Project Scope Evolution</w:t>
      </w:r>
      <w:bookmarkEnd w:id="7"/>
    </w:p>
    <w:p w14:paraId="34705D4A"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project began under a narrower brief, to build a microcontroller-based fish tank monitoring and control system measuring temperature, pH, turbidity, ammonia and nitrate, with alerts and a local display. Early research into that brief exposed two problems. First, ammonia and nitrate sensors within reach of a student budget did not offer reliable accuracy under the sustained chemical load a fed fish tank produces. Second, an indoor tank already sits inside a controlled environment. Its owner can respond to a problem within minutes because the tank is close at hand. An outdoor pond does not offer this convenience, and the environmental stressors acting on it are considerably more severe.</w:t>
      </w:r>
    </w:p>
    <w:p w14:paraId="55B7B9A5"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xml:space="preserve">The project was revised in consultation with the supervisor to target outdoor ponds specifically. Direct sensing was narrowed to temperature, pH and total dissolved solids, the water parameters that can be measured affordably at this scale, together with ambient light as a model input. The remaining chemical and biological quantities, namely ammonia, nitrate and algal growth, are estimated from logged feeding and maintenance events, </w:t>
      </w:r>
      <w:r w:rsidRPr="00B95EB3">
        <w:rPr>
          <w:rFonts w:asciiTheme="majorHAnsi" w:hAnsiTheme="majorHAnsi" w:cstheme="majorHAnsi"/>
        </w:rPr>
        <w:lastRenderedPageBreak/>
        <w:t>external weather forecasts and optical measurements. This shift moved the project from a monitoring and control system to a monitoring and advisory one. The system estimates risk and recommends action, and leaves chemical dosing and equipment control to the owner.</w:t>
      </w:r>
    </w:p>
    <w:p w14:paraId="0459E003" w14:textId="77777777" w:rsidR="00DB1607" w:rsidRPr="00B95EB3" w:rsidRDefault="00000000">
      <w:pPr>
        <w:pStyle w:val="Heading2"/>
        <w:rPr>
          <w:rFonts w:asciiTheme="majorHAnsi" w:hAnsiTheme="majorHAnsi" w:cstheme="majorHAnsi"/>
        </w:rPr>
      </w:pPr>
      <w:bookmarkStart w:id="8" w:name="problem-statement"/>
      <w:bookmarkStart w:id="9" w:name="_Toc241565665"/>
      <w:bookmarkEnd w:id="6"/>
      <w:r w:rsidRPr="00B95EB3">
        <w:rPr>
          <w:rFonts w:asciiTheme="majorHAnsi" w:hAnsiTheme="majorHAnsi" w:cstheme="majorHAnsi"/>
        </w:rPr>
        <w:t>1.3 Problem Statement</w:t>
      </w:r>
      <w:bookmarkEnd w:id="9"/>
    </w:p>
    <w:p w14:paraId="06F38A3E"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Outdoor pond owners face several categories of risk that current low-cost monitoring systems, largely designed for indoor tanks, do not address specifically. These include chemical loading from feeding, algal blooms, heavy rain and extreme heat, each reviewed in detail in Chapter 2. Existing budget Internet of Things systems for aquaculture typically either omit dissolved oxygen and nitrate entirely or fit sensors that the literature shows fail under the exact chemical conditions a fed outdoor pond produces. At the same time, no existing low-cost system uses weather forecast data to warn a pond owner of an approaching stressor ahead of time, rather than only reporting the present state of the water.</w:t>
      </w:r>
    </w:p>
    <w:p w14:paraId="480B1403" w14:textId="77777777" w:rsidR="00DB1607" w:rsidRPr="00B95EB3" w:rsidRDefault="00000000">
      <w:pPr>
        <w:pStyle w:val="Heading2"/>
        <w:rPr>
          <w:rFonts w:asciiTheme="majorHAnsi" w:hAnsiTheme="majorHAnsi" w:cstheme="majorHAnsi"/>
        </w:rPr>
      </w:pPr>
      <w:bookmarkStart w:id="10" w:name="aims-and-objectives"/>
      <w:bookmarkStart w:id="11" w:name="_Toc241565666"/>
      <w:bookmarkEnd w:id="8"/>
      <w:r w:rsidRPr="00B95EB3">
        <w:rPr>
          <w:rFonts w:asciiTheme="majorHAnsi" w:hAnsiTheme="majorHAnsi" w:cstheme="majorHAnsi"/>
        </w:rPr>
        <w:t>1.4 Aims and Objectives</w:t>
      </w:r>
      <w:bookmarkEnd w:id="11"/>
    </w:p>
    <w:p w14:paraId="6C0B865D"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aim of this project is to design and build a low-cost Internet of Things system for outdoor ornamental ponds that estimates water quality risk ahead of time and advises the owner, using a combination of direct sensing, camera based inference and external weather forecast data.</w:t>
      </w:r>
    </w:p>
    <w:p w14:paraId="112E7E5F"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This aim is pursued through the following objectives.</w:t>
      </w:r>
    </w:p>
    <w:p w14:paraId="3FB2BB3C"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Identify which water quality parameters most affect fish health in an outdoor tropical setting, and which of them can be sensed directly, affordably and reliably.</w:t>
      </w:r>
    </w:p>
    <w:p w14:paraId="46C5B387"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Design and build sensor hardware for the parameters that can be sensed affordably, namely temperature, pH and total dissolved solids, alongside a camera based subsystem for the remaining parameters.</w:t>
      </w:r>
    </w:p>
    <w:p w14:paraId="29852DD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Build a data pipeline that transmits sensor and camera data to a central database and combines it with external weather forecast data.</w:t>
      </w:r>
    </w:p>
    <w:p w14:paraId="753D5FB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Build a digital twin model that estimates ammonia, nitrate, algal risk and evaporation ahead of time from the combined data.</w:t>
      </w:r>
    </w:p>
    <w:p w14:paraId="4E8E9114"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lastRenderedPageBreak/>
        <w:t>·         Deliver the resulting risk information to the pond owner through a mobile application, with alerts issued before conditions become dangerous.</w:t>
      </w:r>
    </w:p>
    <w:p w14:paraId="4E6087C1"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Evaluate the system honestly and document its limitations, including cases where a modelled or inferred value cannot be checked against a reference instrument.</w:t>
      </w:r>
    </w:p>
    <w:p w14:paraId="6844C8A2" w14:textId="77777777" w:rsidR="00DB1607" w:rsidRPr="00B95EB3" w:rsidRDefault="00000000">
      <w:pPr>
        <w:pStyle w:val="Heading2"/>
        <w:rPr>
          <w:rFonts w:asciiTheme="majorHAnsi" w:hAnsiTheme="majorHAnsi" w:cstheme="majorHAnsi"/>
        </w:rPr>
      </w:pPr>
      <w:bookmarkStart w:id="12" w:name="scope-and-exclusions"/>
      <w:bookmarkStart w:id="13" w:name="_Toc241565667"/>
      <w:bookmarkEnd w:id="10"/>
      <w:r w:rsidRPr="00B95EB3">
        <w:rPr>
          <w:rFonts w:asciiTheme="majorHAnsi" w:hAnsiTheme="majorHAnsi" w:cstheme="majorHAnsi"/>
        </w:rPr>
        <w:t>1.5 Scope and Exclusions</w:t>
      </w:r>
      <w:bookmarkEnd w:id="13"/>
    </w:p>
    <w:p w14:paraId="31D1E0AB"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This project is advisory rather than actuating. Chemical loading and algal risk are addressed by informing the owner, not by acting on the pond directly. Automated dosing of chemicals, automated water changes and automated feeding all sit outside its scope. This decision follows directly from the revised project brief, which asks the system to help the owner take corrective action rather than take that action on the owner's behalf, and it is discussed further in Chapter 2.</w:t>
      </w:r>
    </w:p>
    <w:p w14:paraId="5BA4D696"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Direct sensing of dissolved oxygen and nitrate also sits outside scope, for cost and reliability reasons set out in Chapter 2. Both parameters are instead estimated, and every estimate presented later in this report should be read with that limitation in mind.</w:t>
      </w:r>
    </w:p>
    <w:p w14:paraId="5DC929DB" w14:textId="77777777" w:rsidR="00DB1607" w:rsidRPr="00B95EB3" w:rsidRDefault="00000000">
      <w:pPr>
        <w:pStyle w:val="Heading2"/>
        <w:rPr>
          <w:rFonts w:asciiTheme="majorHAnsi" w:hAnsiTheme="majorHAnsi" w:cstheme="majorHAnsi"/>
        </w:rPr>
      </w:pPr>
      <w:bookmarkStart w:id="14" w:name="report-structure"/>
      <w:bookmarkStart w:id="15" w:name="_Toc241565668"/>
      <w:bookmarkEnd w:id="12"/>
      <w:r w:rsidRPr="00B95EB3">
        <w:rPr>
          <w:rFonts w:asciiTheme="majorHAnsi" w:hAnsiTheme="majorHAnsi" w:cstheme="majorHAnsi"/>
        </w:rPr>
        <w:t>1.6 Report Structure</w:t>
      </w:r>
      <w:bookmarkEnd w:id="15"/>
    </w:p>
    <w:p w14:paraId="0957AFF2"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Chapter 2, Literature Review, sets out which water quality parameters matter for fish health, which stressors act on an outdoor pond, why some sensors were excluded, and how the excluded parameters can be estimated instead.</w:t>
      </w:r>
    </w:p>
    <w:p w14:paraId="04059449"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Chapter 3, Architecture and System Design, describes the hardware, power arrangement, sampling sequence, communication paths and server-side components, and the reasoning and tradeoffs behind each choice.</w:t>
      </w:r>
    </w:p>
    <w:p w14:paraId="65165EE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Chapter 4, Experimental Framework, defines the bench, outdoor and full-system tests, their acceptance limits and the records each test must produce. It includes the protocol for establishing whether the TDS channel is useful as a context log.</w:t>
      </w:r>
    </w:p>
    <w:p w14:paraId="2644A2F5"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Chapter 5, Software Implementation and Verification, describes how the firmware, camera service, digital twin and mobile application were built and refactored, and reports the automated tests that verify them.</w:t>
      </w:r>
    </w:p>
    <w:p w14:paraId="322C6A52"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Chapter 6, Exploiting NEA Telemetry and Forecasts for Preemptive Pond Management, reports the collection and analysis of 6 years of historical NEA forecast and observation data and sets out what each forecast lead time is validated to add.</w:t>
      </w:r>
    </w:p>
    <w:p w14:paraId="6CF7930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Chapter 7, Results, reports the automated software verification and provides the structure for the bench and field results. Chapter 8, Discussion and Conclusion, interprets the results against the aims in Section 1.4, states the project’s limitations and sets out future work.</w:t>
      </w:r>
    </w:p>
    <w:p w14:paraId="70D1033B" w14:textId="77777777" w:rsidR="00DB1607" w:rsidRPr="00B95EB3" w:rsidRDefault="00000000">
      <w:pPr>
        <w:pStyle w:val="Heading1"/>
        <w:rPr>
          <w:rFonts w:asciiTheme="majorHAnsi" w:hAnsiTheme="majorHAnsi" w:cstheme="majorHAnsi"/>
        </w:rPr>
      </w:pPr>
      <w:bookmarkStart w:id="16" w:name="chapter-2-literature-review"/>
      <w:bookmarkStart w:id="17" w:name="_Toc241565669"/>
      <w:bookmarkEnd w:id="2"/>
      <w:bookmarkEnd w:id="14"/>
      <w:r w:rsidRPr="00B95EB3">
        <w:rPr>
          <w:rFonts w:asciiTheme="majorHAnsi" w:hAnsiTheme="majorHAnsi" w:cstheme="majorHAnsi"/>
        </w:rPr>
        <w:lastRenderedPageBreak/>
        <w:t>Chapter 2: Literature Review</w:t>
      </w:r>
      <w:bookmarkEnd w:id="17"/>
    </w:p>
    <w:p w14:paraId="1D75E08D"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This chapter sets out the evidence behind the design decisions in Chapter 3. It first reviews existing low-cost IoT water quality systems and where they fall short. It then identifies the water quality parameters that determine fish health and the stressors that act on an outdoor pond specifically. Section 2.5 asks whether weather forecasts add value to such a system and how a forecast should be obtained. Section 2.6 compares the ways each parameter can be obtained, by direct sensing, by inference or by optical reading of a chemical indicator, and weighs their cost and maintenance burden. Section 2.7 states the gap that the project addresses.</w:t>
      </w:r>
    </w:p>
    <w:p w14:paraId="4E344D46" w14:textId="77777777" w:rsidR="00DB1607" w:rsidRPr="00B95EB3" w:rsidRDefault="00000000">
      <w:pPr>
        <w:pStyle w:val="Heading2"/>
        <w:rPr>
          <w:rFonts w:asciiTheme="majorHAnsi" w:hAnsiTheme="majorHAnsi" w:cstheme="majorHAnsi"/>
        </w:rPr>
      </w:pPr>
      <w:bookmarkStart w:id="18" w:name="Xfff7c55ce8777c2d8a3ae013fe09b4871f6db3c"/>
      <w:bookmarkStart w:id="19" w:name="_Toc241565670"/>
      <w:r w:rsidRPr="00B95EB3">
        <w:rPr>
          <w:rFonts w:asciiTheme="majorHAnsi" w:hAnsiTheme="majorHAnsi" w:cstheme="majorHAnsi"/>
        </w:rPr>
        <w:t>2.1 Existing Low-Cost IoT Water Quality Monitoring Approaches</w:t>
      </w:r>
      <w:bookmarkEnd w:id="19"/>
    </w:p>
    <w:p w14:paraId="47855E48"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Low-cost IoT monitoring of aquaculture water has been approached from several directions. One study kept hardware cost down by fitting affordable temperature and pH sensors and using manual test kits for dissolved oxygen (DO) and ammonia, with the owner entering the kit results into a mobile application (Taher Tamim et al., 2022). Another instrumented pH, DO, temperature and ammonia directly (Luo et al., 2015), but the DO and ammonia sensors it selected are expensive, and Zuhaer et al. (2025) suggest that such sensors are better suited to intermittent, experimental operation than to continuous deployment. Zuhaer et al. (2025) also addressed the gap in DO and ammonia coverage with a chemical-mechanical sampling mechanism. The approach is novel, but actuators add failure points, and an outdoor enclosure exposed to rain, heat and debris is a poor place for moving parts. A further paper claimed pH, DO, temperature and water level measurement for under USD 50 (Reddy et al., 2026), but it reached that figure by using an air temperature sensor, a soil pH probe and a blood oxygen sensor outside their intended operating conditions. Across these studies, full coverage of the chemical parameters at a low price has not been achieved without either manual labour or compromised sensing. Karim et al. (2021) and Suhaimi et al. (2021) both find that pH and temperature form the baseline of any such system.</w:t>
      </w:r>
    </w:p>
    <w:p w14:paraId="627EC08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However, the specific chemical parameters chosen and their justifications vary considerably in rigour. This raises a second, more fundamental question of what should be monitored, and why, to meaningfully protect fish health.</w:t>
      </w:r>
    </w:p>
    <w:p w14:paraId="33ADDD9B" w14:textId="77777777" w:rsidR="00DB1607" w:rsidRPr="00B95EB3" w:rsidRDefault="00000000">
      <w:pPr>
        <w:pStyle w:val="Heading2"/>
        <w:rPr>
          <w:rFonts w:asciiTheme="majorHAnsi" w:hAnsiTheme="majorHAnsi" w:cstheme="majorHAnsi"/>
        </w:rPr>
      </w:pPr>
      <w:bookmarkStart w:id="20" w:name="X4406611aa5bb76f4ae734c14b981236a6ef1b52"/>
      <w:bookmarkStart w:id="21" w:name="_Toc241565671"/>
      <w:bookmarkEnd w:id="18"/>
      <w:r w:rsidRPr="00B95EB3">
        <w:rPr>
          <w:rFonts w:asciiTheme="majorHAnsi" w:hAnsiTheme="majorHAnsi" w:cstheme="majorHAnsi"/>
        </w:rPr>
        <w:lastRenderedPageBreak/>
        <w:t>2.2 Water Quality Parameters and Fish Physiological Needs</w:t>
      </w:r>
      <w:bookmarkEnd w:id="21"/>
    </w:p>
    <w:p w14:paraId="301B4ADE"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literature converges strongly on a small set of parameters as determinative of fish welfare, with dissolved oxygen repeatedly identified as the single most critical and time-sensitive variable, given that "all physiological activities relate to fish which includes breathing, excretion of waste, feeding, maintaining salt balance and reproduction" depend on water as the medium through which oxygen, waste, and heat are exchanged (Boyd, 1998, as cited in Komal et al., 2021). Critically, the literature identifies photosynthesis, not atmospheric diffusion, as the dominant oxygen source in a still pond, "compared to photosynthesis, total oxygen gains and loss due to diffusion during daylight is minor" (Komal et al., 2021). This poses risks after dusk, when oxygen production ceases, and respiratory consumption by fish, plankton, and decomposing organic matter continues. This means "the level of DO should be maintained at almost 24 hours, but culture species respond immediately in the context to low DO levels especially at night" (Boyd &amp; Hanson, 2010, as cited in Komal et al., 2021). Water temperature also directly affects DO, since "the metabolic demand for oxygen uptake in aquatic organisms becoming double or triple with every 10°C increase" (Begum et al., 2004, as cited in Komal et al., 2021) compounds the effect of reduced oxygen solubility at higher temperatures. Temperature, photosynthesis and time of day therefore combine into a predictable pattern of night-time oxygen risk. This pattern could support an indirect hypoxia risk flag gated on water temperature and darkness. The present system does not implement such a flag. It addresses the temperature side through feeding guidance (Section 3.9.2), and a dedicated night-time hypoxia indicator is left as future work (Section 8.4).</w:t>
      </w:r>
    </w:p>
    <w:p w14:paraId="2213EC09"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nitrogenous waste pathway is similarly well characterised. Ammonia excreted by fish and released by decomposing uneaten feed is oxidised by nitrifying bacteria to nitrite and then to nitrate. Table 2.1 lists the toxicity thresholds used in this report (Stone &amp; Thomforde, 2004, as cited in Komal et al., 2021).</w:t>
      </w:r>
    </w:p>
    <w:p w14:paraId="7152D063"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2.1. Ammonia and nitrate toxicity thresholds (Stone &amp; Thomforde, 2004, as cited in Komal et al., 2021).</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2684"/>
        <w:gridCol w:w="4696"/>
        <w:gridCol w:w="1806"/>
      </w:tblGrid>
      <w:tr w:rsidR="00DB1607" w:rsidRPr="00B95EB3" w14:paraId="7724DB44"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11114BD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State</w:t>
            </w:r>
          </w:p>
        </w:tc>
        <w:tc>
          <w:tcPr>
            <w:tcW w:w="0" w:type="auto"/>
            <w:shd w:val="clear" w:color="auto" w:fill="EDEFF2"/>
          </w:tcPr>
          <w:p w14:paraId="5F985EA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Ammonia concentration</w:t>
            </w:r>
          </w:p>
        </w:tc>
        <w:tc>
          <w:tcPr>
            <w:tcW w:w="0" w:type="auto"/>
            <w:shd w:val="clear" w:color="auto" w:fill="EDEFF2"/>
          </w:tcPr>
          <w:p w14:paraId="7375540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Nitrate</w:t>
            </w:r>
          </w:p>
        </w:tc>
      </w:tr>
      <w:tr w:rsidR="00DB1607" w:rsidRPr="00B95EB3" w14:paraId="1E797605" w14:textId="77777777">
        <w:tc>
          <w:tcPr>
            <w:tcW w:w="0" w:type="auto"/>
          </w:tcPr>
          <w:p w14:paraId="5BFCBA5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Desirable</w:t>
            </w:r>
          </w:p>
        </w:tc>
        <w:tc>
          <w:tcPr>
            <w:tcW w:w="0" w:type="auto"/>
          </w:tcPr>
          <w:p w14:paraId="0986429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0-2mg/l</w:t>
            </w:r>
          </w:p>
        </w:tc>
        <w:tc>
          <w:tcPr>
            <w:tcW w:w="0" w:type="auto"/>
          </w:tcPr>
          <w:p w14:paraId="7EB5C5F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&lt;5ppm</w:t>
            </w:r>
          </w:p>
        </w:tc>
      </w:tr>
      <w:tr w:rsidR="00DB1607" w:rsidRPr="00B95EB3" w14:paraId="4CBD977C" w14:textId="77777777">
        <w:tc>
          <w:tcPr>
            <w:tcW w:w="0" w:type="auto"/>
          </w:tcPr>
          <w:p w14:paraId="34B1621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Severe Stress</w:t>
            </w:r>
          </w:p>
        </w:tc>
        <w:tc>
          <w:tcPr>
            <w:tcW w:w="0" w:type="auto"/>
          </w:tcPr>
          <w:p w14:paraId="140C5EF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&gt;4mg/l</w:t>
            </w:r>
          </w:p>
        </w:tc>
        <w:tc>
          <w:tcPr>
            <w:tcW w:w="0" w:type="auto"/>
          </w:tcPr>
          <w:p w14:paraId="39A3674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&gt;60ppm</w:t>
            </w:r>
          </w:p>
        </w:tc>
      </w:tr>
    </w:tbl>
    <w:p w14:paraId="20694C96"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lastRenderedPageBreak/>
        <w:t>These thresholds give a quantitative basis against which a monitoring system’s risk levels can be set. Because “ammonia is first converted into nitrite and then to nitrate”, the upstream ammonia load determines downstream nitrite and nitrate risk. This supports estimating nitrite risk from nitrification kinetics instead of sensing it independently. This chemical dependency is corroborated at pond scale by a controlled catfish-pond study, which found that despite a sixfold range in stocking density, total ammonia, unionized ammonia, and nitrite concentrations did not differ significantly across treatments, while feeding rate emerged as "consistently the most important predictor for multiple aspects of pond water quality" (Ott et al., n.d.). This finding strongly suggests that chemical modelling in a water quality monitoring system is tightly coupled with the feedstock introduction into the water body. Therefore, it is imperative for any water quality monitoring system to model feeding sessions which remain the dominant driver of chemical loading.</w:t>
      </w:r>
    </w:p>
    <w:p w14:paraId="02ABD67C" w14:textId="77777777" w:rsidR="00DB1607" w:rsidRPr="00B95EB3" w:rsidRDefault="00000000">
      <w:pPr>
        <w:pStyle w:val="Heading2"/>
        <w:rPr>
          <w:rFonts w:asciiTheme="majorHAnsi" w:hAnsiTheme="majorHAnsi" w:cstheme="majorHAnsi"/>
        </w:rPr>
      </w:pPr>
      <w:bookmarkStart w:id="22" w:name="outdoor-specific-stressor-classes"/>
      <w:bookmarkStart w:id="23" w:name="_Toc241565672"/>
      <w:bookmarkEnd w:id="20"/>
      <w:r w:rsidRPr="00B95EB3">
        <w:rPr>
          <w:rFonts w:asciiTheme="majorHAnsi" w:hAnsiTheme="majorHAnsi" w:cstheme="majorHAnsi"/>
        </w:rPr>
        <w:t>2.3 Outdoor-Specific Stressor Classes</w:t>
      </w:r>
      <w:bookmarkEnd w:id="23"/>
    </w:p>
    <w:p w14:paraId="15500B2C"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After establishing the important metrics of water quality assessment, it is necessary to scope these metrics to the environmental conditions specific to an outdoor deployment. Four distinct stressor classes are examined in detail in this section: fish metabolic loading, algal growth, extreme rainfall, and extreme heat.</w:t>
      </w:r>
    </w:p>
    <w:p w14:paraId="3AC94C56" w14:textId="77777777" w:rsidR="00DB1607" w:rsidRPr="00B95EB3" w:rsidRDefault="00000000">
      <w:pPr>
        <w:pStyle w:val="Heading3"/>
        <w:rPr>
          <w:rFonts w:asciiTheme="majorHAnsi" w:hAnsiTheme="majorHAnsi" w:cstheme="majorHAnsi"/>
        </w:rPr>
      </w:pPr>
      <w:bookmarkStart w:id="24" w:name="algal-growth"/>
      <w:bookmarkStart w:id="25" w:name="_Toc241565673"/>
      <w:r w:rsidRPr="00B95EB3">
        <w:rPr>
          <w:rFonts w:asciiTheme="majorHAnsi" w:hAnsiTheme="majorHAnsi" w:cstheme="majorHAnsi"/>
        </w:rPr>
        <w:t>2.3.1 Algal Growth</w:t>
      </w:r>
      <w:bookmarkEnd w:id="25"/>
    </w:p>
    <w:p w14:paraId="5782564F"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Algal growth is governed jointly by light and temperature, with optimum growth reported across species between 20–30°C and, in some species, 22–35°C (Singh &amp; Singh, n.d.), a range broadly consistent with tropical outdoor conditions. Light-driven bloom formation has been quantified directly, with a minimum daily light integral of approximately 13.2 mol m⁻² d⁻¹ identified as necessary for surface bloom formation in shallow freshwater systems (Kemp et al., n.d.), providing a citable numerical anchor for a light-driven algal risk model. However, it should be noted that the same study reported an optimal bloom-formation temperature of 16–22°C. This temperature is significantly lower than that faced annually by an outdoor pond setting in Singapore, limiting the applicability of that study in this context.  More recent work further complicates a simple light-times-temperature model, demonstrating that light itself induces localised photothermal heating distinct from bulk ambient warming, and that "photothermal fluctuations govern the timing of diurnal bloom peaks" (Lin et al., n.d.) . This mechanism is not captured by models, including this project's, that treat light and temperature as independent multiplicative factors. Finally, the relationship between fish and algae is not unidirectional. Fish waste supplies the nitrogen that fuels algal growth, and fish presence has also been shown to suppress harmful cyanobacterial dominance through grazing and competitive effects, with cyanobacteria comprising over 80% of phytoplankton in an unmanaged control pond compared to under 40% where fish were present (Wang et al., n.d.). This bidirectional relationship is a limitation of a model, including this project's where for simplicity fish are assumed not to influence algal population.</w:t>
      </w:r>
      <w:r w:rsidRPr="00B95EB3">
        <w:rPr>
          <w:rFonts w:asciiTheme="majorHAnsi" w:hAnsiTheme="majorHAnsi" w:cstheme="majorHAnsi"/>
        </w:rPr>
      </w:r>
    </w:p>
    <w:p w14:paraId="3E35F116" w14:textId="77777777" w:rsidR="00DB1607" w:rsidRPr="00B95EB3" w:rsidRDefault="00000000">
      <w:pPr>
        <w:pStyle w:val="Heading3"/>
        <w:rPr>
          <w:rFonts w:asciiTheme="majorHAnsi" w:hAnsiTheme="majorHAnsi" w:cstheme="majorHAnsi"/>
        </w:rPr>
      </w:pPr>
      <w:bookmarkStart w:id="26" w:name="extreme-rainfall"/>
      <w:bookmarkStart w:id="27" w:name="_Toc241565674"/>
      <w:bookmarkEnd w:id="24"/>
      <w:r w:rsidRPr="00B95EB3">
        <w:rPr>
          <w:rFonts w:asciiTheme="majorHAnsi" w:hAnsiTheme="majorHAnsi" w:cstheme="majorHAnsi"/>
        </w:rPr>
        <w:t>2.3.2 Extreme Rainfall</w:t>
      </w:r>
      <w:bookmarkEnd w:id="27"/>
    </w:p>
    <w:p w14:paraId="366EB169"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Extreme rainfall introduces risk through physical water-column disruption rather than gradual chemical accumulation. A reservoir study found that "moderate and heavy rainfall events could reduce the thermal stability of water column, deepen the mixing layer depth, and shape the thermocline," with "the hypoxia and anoxia initial depths increas[ing]... during rainfall events" (Zhang et al., 2020). While conducted at a larger scale than an ornamental pond, the underlying mechanism, inflow-driven cooling and mixing that destabilises stratification and displaces oxygen-depleted bottom water upward, is directly transferable, and trade literature corroborates real-world consequences, citing heavy shrimp and finfish mortality following extreme rainfall events attributed to disturbed pond-bottom sediment releasing accumulated hydrogen sulphide, ammonia, and nitrite. A separate study, by contrast, found "a noticeable increase... between summer season inflow and outflow event mean pond runoff temperatures, with a minimum difference of 4°C on August 15th and a maximum difference of 10°C on July 26th, 2011," and that this thermal enrichment was directly proportional to rain volume, pond inflow temperature and initial water temperature (Sabouri et al., 2016). This result, on first examination, sits in opposition to the finding of Zhang et al. (2020), which suggested that the likely impact in larger bodies of water was a severe plunge in temperature, driving oxygen-depleted water upwards rather than warming the pond. The two studies differ because they examined different settings: Zhang et al. (2020) examined hot bodies of water with direct rainfall input causing rapid cooling, while Sabouri et al. (2016) studied urban stormwater ponds warmed by hot impervious-surface runoff from roads and car parks. Both studies, despite differing in direction, agree that thermal destratification induced by severe rainfall causes temperature fluctuations that could stress fish in outdoor ponds. The typical outdoor ornamental pond in Singapore is likely closer to the reservoir case than to the stormwater case, since most such ponds sit in gardens with little or no exposure to the heated impervious surfaces that drive the stormwater result.</w:t>
      </w:r>
      <w:r w:rsidRPr="00B95EB3">
        <w:rPr>
          <w:rFonts w:asciiTheme="majorHAnsi" w:hAnsiTheme="majorHAnsi" w:cstheme="majorHAnsi"/>
        </w:rPr>
      </w:r>
    </w:p>
    <w:p w14:paraId="4F98C982"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This stressor class remains the least quantified in percentage or magnitude terms across the reviewed literature, a gap that likely reflects the practical difficulty of isolating rainfall as a single causal factor in field mortality events confounded by disease and other concurrent stressors, rather than an indication that the risk itself is minor.</w:t>
      </w:r>
    </w:p>
    <w:p w14:paraId="33775B31" w14:textId="77777777" w:rsidR="00DB1607" w:rsidRPr="00B95EB3" w:rsidRDefault="00000000">
      <w:pPr>
        <w:pStyle w:val="Heading3"/>
        <w:rPr>
          <w:rFonts w:asciiTheme="majorHAnsi" w:hAnsiTheme="majorHAnsi" w:cstheme="majorHAnsi"/>
        </w:rPr>
      </w:pPr>
      <w:bookmarkStart w:id="28" w:name="extreme-heat"/>
      <w:bookmarkStart w:id="29" w:name="_Toc241565675"/>
      <w:bookmarkEnd w:id="26"/>
      <w:r w:rsidRPr="00B95EB3">
        <w:rPr>
          <w:rFonts w:asciiTheme="majorHAnsi" w:hAnsiTheme="majorHAnsi" w:cstheme="majorHAnsi"/>
        </w:rPr>
        <w:t>2.3.3 Extreme Heat</w:t>
      </w:r>
      <w:bookmarkEnd w:id="29"/>
    </w:p>
    <w:p w14:paraId="04F22DE9"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Extreme heat presents the most severe documented outcomes of the four stressor classes reviewed. Beyond the doubling-to-tripling of metabolic oxygen demand per 10°C rise already noted, a recent review of heat-linked "summer mortality syndrome" in farmed fish reports mortality rates ranging from 30% to 100% during such events (Shafi, 2025). The foundational CRSP chapter provides direct equatorial-latitude field data corroborating this risk profile: Indonesia, "the site closest to the equator, has the warmest temperatures, with maxima at 30 to 41°C," with water temperature changing "as much as 10°C during one day" (Diana et al., 1997). This is indicative of the aggressive temperature swings possible in the tropical regions close to the equator.</w:t>
      </w:r>
    </w:p>
    <w:p w14:paraId="59D80595"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Outside of direct hypoxia risks, it is important to understand how thermodynamic transfer from the environment into the pond occurs. A study found that radiation rather than air convection dominates thermal loading of outdoor ponds, “The two most important energy vectors for unheated ponds were longwave pond radiation (39%) and longwave sky radiation (31%). At certain times, solar radiation accounted for as much as 49% of all energy transferred to unheated ponds.” (Lamoureux et al., 2006) This demonstrates why tropical pond temperatures can fluctuate dramatically beyond simply citing ambient air temperature.</w:t>
      </w:r>
    </w:p>
    <w:p w14:paraId="4F5AF8F9"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lastRenderedPageBreak/>
        <w:t>Practitioner guidance for koi encodes the temperature-oxygen coupling directly, recommending ration reduction from a peak of approximately 2.5% to as low as 0.5–0.75% body weight above roughly 28–30°C, reasoned explicitly as a response to reduced oxygen-holding capacity at elevated temperature rather than to reduced fish appetite. It indicates that the intervention the literature actually prescribes against thermal stress is a change to feeding, and that the variable which triggers that change is water temperature. The decision an owner faces is therefore already framed in terms of a quantity that is inexpensive to measure directly and will be explored more thoroughly in the instrumentation chapter.</w:t>
      </w:r>
    </w:p>
    <w:p w14:paraId="700E4C1C" w14:textId="77777777" w:rsidR="00DB1607" w:rsidRPr="00B95EB3" w:rsidRDefault="00000000">
      <w:pPr>
        <w:pStyle w:val="Heading2"/>
        <w:rPr>
          <w:rFonts w:asciiTheme="majorHAnsi" w:hAnsiTheme="majorHAnsi" w:cstheme="majorHAnsi"/>
        </w:rPr>
      </w:pPr>
      <w:bookmarkStart w:id="30" w:name="managing-risks-and-outcomes"/>
      <w:bookmarkStart w:id="31" w:name="_Toc241565676"/>
      <w:bookmarkEnd w:id="22"/>
      <w:bookmarkEnd w:id="28"/>
      <w:r w:rsidRPr="00B95EB3">
        <w:rPr>
          <w:rFonts w:asciiTheme="majorHAnsi" w:hAnsiTheme="majorHAnsi" w:cstheme="majorHAnsi"/>
        </w:rPr>
        <w:t>2.4 Managing Risks and Outcomes</w:t>
      </w:r>
      <w:bookmarkEnd w:id="31"/>
    </w:p>
    <w:p w14:paraId="6F8ABE56"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stressors previously reviewed all have substantial literature backing their ability to create fish loss, yet outdoor pond keeping is not considered a high risk activity nor is it particularly uncommon. The literature attributes this to the labour-intensive, vigilance-dependent way ponds are currently managed, rather than to the pond environment being benign. Precision aquaculture research explicitly frames existing manual approaches as effective but costly: "manual approaches are subjective and labour-intensive, which adversely affects fish health, welfare, yield, and management decisions," and the stated objectives of precision fish farming frameworks include reducing "dependencies on manual labor and subjective assessments" (Føre et al., 2018). This is particularly relevant for fish farming, "where water conditions can make observations difficult or risky for farmers." Good outcomes today therefore depend on sustained owner attention.</w:t>
      </w:r>
    </w:p>
    <w:p w14:paraId="38B4E64C"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Empirical evidence directly links management practice quality to water-quality and yield outcomes: a study of small-scale tilapia aquaculture found that "the source of water and management practises were linked to the parameters of the pond water," which were in turn "associated with fish yield and the likelihood of disease occurrence," and explicitly recommended "training farmers in good management practises... to ensure sustainable aquaculture development" (“Pond water quality and its relation to fish yield”, 2023). This establishes that management practice measurably determines water quality, and water quality measurably determines outcome. The absence of routine pond mortality in Singapore is therefore better read as evidence that owners manage the risks than as evidence that the stressors above are overstated.</w:t>
      </w:r>
    </w:p>
    <w:p w14:paraId="0EF3D199"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lastRenderedPageBreak/>
        <w:t>This manifests locally in concrete, Singapore-specific practitioner guidance: routine advice includes weekly 10–20% water changes, regular filter maintenance, and critically testing water quality increasing frequency after heavy rain. This reactive routine is the practice the project aims to make less labour-intensive.</w:t>
      </w:r>
    </w:p>
    <w:p w14:paraId="3ABC81D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project’s contribution is therefore to reduce the subjectivity, labour and reaction lag of a management practice that already works when performed consistently. This is a direct response to the project's stated aim of achieving "the optimal balance between maintaining ecosystem health whilst reducing unnecessary corrective actions."</w:t>
      </w:r>
    </w:p>
    <w:p w14:paraId="6CCE1C33" w14:textId="77777777" w:rsidR="00DB1607" w:rsidRPr="00B95EB3" w:rsidRDefault="00000000">
      <w:pPr>
        <w:pStyle w:val="Heading2"/>
        <w:rPr>
          <w:rFonts w:asciiTheme="majorHAnsi" w:hAnsiTheme="majorHAnsi" w:cstheme="majorHAnsi"/>
        </w:rPr>
      </w:pPr>
      <w:bookmarkStart w:id="32" w:name="X86950d51f101f90cb88b8958f3aa58320e58452"/>
      <w:bookmarkStart w:id="33" w:name="_Toc241565677"/>
      <w:bookmarkEnd w:id="30"/>
      <w:r w:rsidRPr="00B95EB3">
        <w:rPr>
          <w:rFonts w:asciiTheme="majorHAnsi" w:hAnsiTheme="majorHAnsi" w:cstheme="majorHAnsi"/>
        </w:rPr>
        <w:t>2.5 Forecasting Value-Add for Outdoor IoT Systems</w:t>
      </w:r>
      <w:bookmarkEnd w:id="33"/>
    </w:p>
    <w:p w14:paraId="3A1CBD79"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Having established the specific outdoor stressors a monitoring system must address, this section examines whether anticipating these stressors through forecast integration offers a meaningful advantage over reactive sensing alone, and if so, through what architecture that forecast should be obtained.</w:t>
      </w:r>
    </w:p>
    <w:p w14:paraId="7B9DA8F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general case for forecast-augmented decision support in outdoor IoT systems is established in the precision agriculture domain, where an IoT-based intelligent irrigation recommendation system demonstrated that gathering environmental sensor data and forwarding it to a cloud-based analysis layer to generate advisory recommendations, rather than directly actuating irrigation, could achieve efficient resource use "with the nominal intervention of farmers" (Bhoi et al., n.d.). A broader systematic review of low-cost agrometeorological IoT stations similarly concludes that such systems contribute meaningfully to "climate resilience" and "data-driven decision-making," and specifically that integrating external weather data alongside locally sensed data outperforms reliance on either source alone. This highlights that forecast integration, used in tandem with sensing, increases the marginal value of an IoT system. Lastly, the paper endorses a recommend-rather-than-actuate architecture as an effective pattern in this domain rather than a compromise.</w:t>
      </w:r>
    </w:p>
    <w:p w14:paraId="6A68F089"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This raises the more specific architectural question of how that forecast should be sourced. Should a system train its own short-horizon forecasting model from locally sensed data, or consume an existing, externally-maintained meteorological forecast? Two independent empirical studies argue against the former. A controlled study of short-horizon outdoor temperature forecasting found that even a purpose-built battery of models ranging from linear, adaptive to modern neural architectures achieved only modest gains over a naive persistence baseline at short horizons, and were outperformed by a simple daily-seasonal-naive reference at longer horizons. The best-performing adaptive model saturating in accuracy after only 2 to 3 days of training data (Hernández-Paredes et al., 2026). A directly analogous result was obtained in an aquaculture-specific context: a field evaluation of short-horizon dissolved oxygen forecasting in Nile Tilapia ponds found "only modest improvement over a persistence baseline" at 30 minutes, degrading further to "limited predictive value at the extended horizon" of 6 hours (Al-Khaldi et al., n.d.). Taken together, these two independently obtained, domain-varying empirical results place the burden of proof on in-house short-horizon modelling rather than against it. If a dedicated, well-resourced short-horizon forecasting study achieves only marginal gains over a naive baseline, a bucket-scale in-house model would be expected to fare no better, and very plausibly worse, given its far smaller training dataset. This is corroborated in a related agricultural context, where a purpose-built low-temperature forecasting model was deployed specifically "to help farmers activate anti-frost techniques to save the crop" (Guillén et al., n.d.) and an embedded air-temperature forecasting model was developed for greenhouse micro-climate management (Codeluppi et al., 2021), both establishing forecast-triggered pre-emptive action as a recognised pattern in outdoor agricultural IoT, while neither claiming forecasting accuracy gains beyond what the temperature-saturation and DO-forecasting studies above would predict.</w:t>
      </w:r>
      <w:r w:rsidRPr="00B95EB3">
        <w:rPr>
          <w:rFonts w:asciiTheme="majorHAnsi" w:hAnsiTheme="majorHAnsi" w:cstheme="majorHAnsi"/>
        </w:rPr>
      </w:r>
    </w:p>
    <w:p w14:paraId="56E0B712"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xml:space="preserve">Having established that consuming an external forecast is the better-evidenced route, it is necessary to characterise the limitations of the forecast source relevant to a Singapore deployment. Singapore's tropical, convectively-dominated climate presents documented and acknowledged challenges to numerical weather prediction. A convective-scale forecast model evaluated over Singapore found that while the diurnal cycle of temperature and relative humidity was "reasonably captured," rainfall prediction fared considerably worse, exhibiting a "delay in the onset of early morning rainfall" and persistence of "late evening rainfall... for too long" (Dipankar et al., 2020), establishing an asymmetry directly relevant to this project. Temperature and humidity forecasts, the primary drivers of evaporation and water temperature modelling, are meaningfully more reliable than rainfall forecasts, which drive dilution and water-chemistry risk. A locally-conducted, Singapore-specific rainfall </w:t>
      </w:r>
      <w:r w:rsidRPr="00B95EB3">
        <w:rPr>
          <w:rFonts w:asciiTheme="majorHAnsi" w:hAnsiTheme="majorHAnsi" w:cstheme="majorHAnsi"/>
        </w:rPr>
        <w:lastRenderedPageBreak/>
        <w:t>prediction study using ground-based GPS stations achieved a reported overall accuracy of 79.6%, but a false alarm rate of 20.3% even after explicitly working to reduce it relative to prior methods (Manandhar et al., n.d.), reinforcing that rainfall-specific forecasting remains meaningfully imperfect even under locally-tailored, dedicated modelling efforts. Finally, the Meteorological Service Singapore's own researchers have documented the structural sources of this limitation, noting that "existing global models struggle to capture the development and evolution of the small-scale and transient weather systems impacting the region," that satellite-derived land-use data quality is "often compromised by ubiquitous cloud cover in the deep tropics," and that large-scale weather systems such as Sumatra squall lines routinely exceed the spatial extent of Singapore's own urban modelling domain, causing truncation at the model boundary (Lee et al., n.d.). This finding establishes that treating NEA's rainfall forecast as a probabilistic risk modifier rather than a deterministic trigger for automated action is a direct reflection of limitations the provider's own scientists have documented, and is consistent with this project's explicitly non-actuating design philosophy.</w:t>
      </w:r>
    </w:p>
    <w:p w14:paraId="05DC1EAF" w14:textId="77777777" w:rsidR="00DB1607" w:rsidRPr="00B95EB3" w:rsidRDefault="00000000">
      <w:pPr>
        <w:pStyle w:val="Heading3"/>
        <w:rPr>
          <w:rFonts w:asciiTheme="majorHAnsi" w:hAnsiTheme="majorHAnsi" w:cstheme="majorHAnsi"/>
        </w:rPr>
      </w:pPr>
      <w:bookmarkStart w:id="34" w:name="X23f60ca1b02b85a926bb96b5651b97525bb702a"/>
      <w:bookmarkStart w:id="35" w:name="_Toc241565678"/>
      <w:r w:rsidRPr="00B95EB3">
        <w:rPr>
          <w:rFonts w:asciiTheme="majorHAnsi" w:hAnsiTheme="majorHAnsi" w:cstheme="majorHAnsi"/>
        </w:rPr>
        <w:t>2.5.1 Projecting Water Temperature Ahead of Time</w:t>
      </w:r>
      <w:bookmarkEnd w:id="35"/>
    </w:p>
    <w:p w14:paraId="6891DDB0"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Water temperature is directly instrumented and is essential in most outdoor IoT water quality monitoring deployments. Given the multi-domain importance of temperature established earlier, and energy transfer into ponds achieved via radiation from the atmosphere, it becomes tempting to ask whether water temperature could instead be forecast from air temperature.</w:t>
      </w:r>
    </w:p>
    <w:p w14:paraId="3EF2990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It is important to first address what water temperature forecasting offers that a current reading does not. Previous sections of this literature review have highlighted 2 main risks of thermal stress. The first is hypoxia: temperature reduces the supply of oxygen while increasing fish metabolism and, by proxy, oxygen demand. The second is the nitrification process, since nitrite, as previously noted, is a substantial chemical risk for fish, with an optimal nitrification temperature range of 25 to 30°C (Hossain et al., 2022). The intervention that current fish care literature prescribes against thermal stress is a reduction in feeding, notably ration reduction at temperatures above 28°C, which is achievable with current temperature sensors alone to address hypoxia risk. The limitation is that the time lag of nitrification means a temperature spike after a large feeding session poses a risk to fish and drastically shortens the safe interval before a change is needed. Using current temperature readings, while useful for hypoxia, is therefore markedly less useful for chemical loading. Knowing where water temperature is heading, not only where it currently sits, is consequently of direct operational value in a way a real-time reading alone is not, which is why the relevant literature relates water temperature to the ambient meteorological variables for which a forecast already exists.</w:t>
      </w:r>
      <w:r w:rsidRPr="00B95EB3">
        <w:rPr>
          <w:rFonts w:asciiTheme="majorHAnsi" w:hAnsiTheme="majorHAnsi" w:cstheme="majorHAnsi"/>
        </w:rPr>
      </w:r>
    </w:p>
    <w:p w14:paraId="7BE5978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 parametric statistical modelling study of a small aquatic pond found that simple linear regression against air temperature could be field-validated across daily, weekly, and monthly timescales in a semiarid climate (Ali et al., 2016), while high-resolution empirical studies of solar-driven pond thermal stratification independently corroborate the underlying physical mechanism linking ambient conditions to water-column response (Brownridge, 2015). However, this linear relationship does not hold across all regimes. A stream-temperature regression study observed that "air/stream temperature correlations... departed from linearity as air temperatures exceeded approximately 25 degrees C due to evaporative cooling" (Morrill et al., 2005). Singapore's air temperature sits well above this threshold for the majority of the year, indicating that a constant-offset or simple linear projection would operate in precisely the regime where such approaches have been documented elsewhere to lose reliability.</w:t>
      </w:r>
    </w:p>
    <w:p w14:paraId="31F3FFA6"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 dedicated pond energy-balance model, PHATR, characterises what a physically complete treatment requires and what it achieves. PHATR solves a 10-term energy balance (solar radiation, back radiation, sky radiation, evaporation, convection, soil conduction, seepage, rainfall, well-water input, and outflow) via a fourth-order Runge-Kutta numerical method, in which air temperature enters only indirectly, itself a function of dew point, and a separate convection term but never as a direct linear driver (Lamoureux et al., 2006). This is consistent with the radiation-dominant energy budget reported in the same work and reviewed earlier. Even this full model produced an average bias of 0.7°C for unheated ponds and 2.4°C for heated ponds relative to measured data, establishing a practical floor on the accuracy any simpler air-temperature-driven projection can expect to reach.</w:t>
      </w:r>
    </w:p>
    <w:p w14:paraId="78A34DD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More directly relevant to the look-ahead question, the same study demonstrated that model accuracy is strongly sensitive to temporal resolution, with the correlation coefficient falling from 0.92 at a 1-hour time step to 0.70 at 6 hours. This is the clearest quantitative statement identified in this review of how far ahead an ambient-driven water temperature projection remains useful, and it bounds the horizon over which any feeding look-ahead can claim meaningful accuracy. The literature thus supports the value of a short-horizon projection while placing a firm and citable limit on how far that horizon can be extended, and this limit is the constraint the architecture chapter must design within.</w:t>
      </w:r>
      <w:r w:rsidRPr="00B95EB3">
        <w:rPr>
          <w:rFonts w:asciiTheme="majorHAnsi" w:hAnsiTheme="majorHAnsi" w:cstheme="majorHAnsi"/>
        </w:rPr>
      </w:r>
    </w:p>
    <w:p w14:paraId="2BEEC07F"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For the evaporation component specifically, PHATR's own comparison of three evaporation formulas namely, Penman, Piedrahita, and Lake Hefner against measured aquaculture pond data found the Penman equation produced the lowest-magnitude bias in both heated and unheated conditions. This is the only head-to-head comparison of evaporation formulations identified in this review conducted in the aquaculture pond context, and it establishes Penman as the best-evidenced of the named alternatives at this scale.</w:t>
      </w:r>
    </w:p>
    <w:p w14:paraId="015B9E62" w14:textId="77777777" w:rsidR="00DB1607" w:rsidRPr="00B95EB3" w:rsidRDefault="00000000">
      <w:pPr>
        <w:pStyle w:val="Heading2"/>
        <w:rPr>
          <w:rFonts w:asciiTheme="majorHAnsi" w:hAnsiTheme="majorHAnsi" w:cstheme="majorHAnsi"/>
        </w:rPr>
      </w:pPr>
      <w:bookmarkStart w:id="36" w:name="X240ae13c6158485e45e5d1dfe33011c339e17d2"/>
      <w:bookmarkStart w:id="37" w:name="_Toc241565679"/>
      <w:bookmarkEnd w:id="32"/>
      <w:bookmarkEnd w:id="34"/>
      <w:r w:rsidRPr="00B95EB3">
        <w:rPr>
          <w:rFonts w:asciiTheme="majorHAnsi" w:hAnsiTheme="majorHAnsi" w:cstheme="majorHAnsi"/>
        </w:rPr>
        <w:t>2.6 Instrumentation and Inference Options for the Parameters Identified</w:t>
      </w:r>
      <w:bookmarkEnd w:id="37"/>
    </w:p>
    <w:p w14:paraId="32D7CBB3"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preceding sections established which parameters determine fish health, which environmental stressors act on them, and where anticipation adds value. What remains is the question of how each parameter is to be obtained. This section reviews the instrumentation documented for the parameters identified as consequential namely, dissolved oxygen, ammonia, nitrate, pH, algal biomass and ambient light. The section also analyses the inference methods the literature offers where direct instrumentation proves impractical, and reports the cost and reliability characteristics of each.</w:t>
      </w:r>
    </w:p>
    <w:p w14:paraId="1BAE716A" w14:textId="77777777" w:rsidR="00DB1607" w:rsidRPr="00B95EB3" w:rsidRDefault="00000000">
      <w:pPr>
        <w:pStyle w:val="Heading3"/>
        <w:rPr>
          <w:rFonts w:asciiTheme="majorHAnsi" w:hAnsiTheme="majorHAnsi" w:cstheme="majorHAnsi"/>
        </w:rPr>
      </w:pPr>
      <w:bookmarkStart w:id="38" w:name="X802080ffe33ffe5ff7b842189ce5df85949710e"/>
      <w:bookmarkStart w:id="39" w:name="_Toc241565680"/>
      <w:r w:rsidRPr="00B95EB3">
        <w:rPr>
          <w:rFonts w:asciiTheme="majorHAnsi" w:hAnsiTheme="majorHAnsi" w:cstheme="majorHAnsi"/>
        </w:rPr>
        <w:t>2.6.1 The Maintenance Gradient Between Sensor Classes</w:t>
      </w:r>
      <w:bookmarkEnd w:id="39"/>
    </w:p>
    <w:p w14:paraId="0E41B741"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Before considering individual parameters, the reviewed literature exposes a structural distinction between sensor classes that recurs across every parameter examined, invisible in purchase price alone.</w:t>
      </w:r>
    </w:p>
    <w:p w14:paraId="0A1FFC3D"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2.2. Sensor classes grouped by how they interact with the medium.</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00" w:firstRow="0" w:lastRow="0" w:firstColumn="0" w:lastColumn="0" w:noHBand="0" w:noVBand="0"/>
      </w:tblPr>
      <w:tblGrid>
        <w:gridCol w:w="2908"/>
        <w:gridCol w:w="6278"/>
      </w:tblGrid>
      <w:tr w:rsidR="00DB1607" w:rsidRPr="00B95EB3" w14:paraId="2AF153BF" w14:textId="77777777" w:rsidTr="00DB1607">
        <w:trPr>
          <w:tblHeader/>
        </w:trPr>
        <w:tc>
          <w:tcPr>
            <w:tcW w:w="0" w:type="auto"/>
            <w:shd w:val="clear" w:color="auto" w:fill="EDEFF2"/>
          </w:tcPr>
          <w:p w14:paraId="081C742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Sensor Class</w:t>
            </w:r>
          </w:p>
        </w:tc>
        <w:tc>
          <w:tcPr>
            <w:tcW w:w="0" w:type="auto"/>
            <w:shd w:val="clear" w:color="auto" w:fill="EDEFF2"/>
          </w:tcPr>
          <w:p w14:paraId="46A1095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Examples</w:t>
            </w:r>
          </w:p>
        </w:tc>
      </w:tr>
      <w:tr w:rsidR="00DB1607" w:rsidRPr="00B95EB3" w14:paraId="1733ACB7" w14:textId="77777777">
        <w:tc>
          <w:tcPr>
            <w:tcW w:w="0" w:type="auto"/>
          </w:tcPr>
          <w:p w14:paraId="07269A7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Physical sensors</w:t>
            </w:r>
          </w:p>
        </w:tc>
        <w:tc>
          <w:tcPr>
            <w:tcW w:w="0" w:type="auto"/>
          </w:tcPr>
          <w:p w14:paraId="6F004CB3" w14:textId="77777777" w:rsidR="00DB1607" w:rsidRPr="00B95EB3" w:rsidRDefault="00000000">
            <w:pPr>
              <w:spacing w:before="20" w:after="20" w:line="264" w:lineRule="auto"/>
              <w:rPr>
                <w:rFonts w:asciiTheme="majorHAnsi" w:hAnsiTheme="majorHAnsi" w:cstheme="majorHAnsi"/>
              </w:rPr>
            </w:pPr>
            <w:r w:rsidRPr="00B95EB3">
              <w:rPr>
                <w:rFonts w:asciiTheme="majorHAnsi" w:hAnsiTheme="majorHAnsi" w:cstheme="majorHAnsi"/>
                <w:sz w:val="19"/>
              </w:rPr>
              <w:t>DS18B20 temperature sensor,</w:t>
            </w:r>
          </w:p>
          <w:p w14:paraId="798B52D4" w14:textId="77777777" w:rsidR="00DB1607" w:rsidRPr="00B95EB3" w:rsidRDefault="00000000">
            <w:pPr>
              <w:spacing w:before="20" w:after="20" w:line="264" w:lineRule="auto"/>
              <w:rPr>
                <w:rFonts w:asciiTheme="majorHAnsi" w:hAnsiTheme="majorHAnsi" w:cstheme="majorHAnsi"/>
              </w:rPr>
            </w:pPr>
            <w:r w:rsidRPr="00B95EB3">
              <w:rPr>
                <w:rFonts w:asciiTheme="majorHAnsi" w:hAnsiTheme="majorHAnsi" w:cstheme="majorHAnsi"/>
                <w:sz w:val="19"/>
              </w:rPr>
              <w:t>MPU6050 Accelerometer/Gyro,</w:t>
            </w:r>
          </w:p>
          <w:p w14:paraId="70F58D1E" w14:textId="77777777" w:rsidR="00DB1607" w:rsidRPr="00B95EB3" w:rsidRDefault="00000000">
            <w:pPr>
              <w:spacing w:before="20" w:after="20" w:line="264" w:lineRule="auto"/>
              <w:rPr>
                <w:rFonts w:asciiTheme="majorHAnsi" w:hAnsiTheme="majorHAnsi" w:cstheme="majorHAnsi"/>
              </w:rPr>
            </w:pPr>
            <w:r w:rsidRPr="00B95EB3">
              <w:rPr>
                <w:rFonts w:asciiTheme="majorHAnsi" w:hAnsiTheme="majorHAnsi" w:cstheme="majorHAnsi"/>
                <w:sz w:val="19"/>
              </w:rPr>
              <w:t>HC-SR04 Ultrasonic sensor</w:t>
            </w:r>
          </w:p>
        </w:tc>
      </w:tr>
      <w:tr w:rsidR="00DB1607" w:rsidRPr="00B95EB3" w14:paraId="19059AAB" w14:textId="77777777">
        <w:tc>
          <w:tcPr>
            <w:tcW w:w="0" w:type="auto"/>
          </w:tcPr>
          <w:p w14:paraId="3475A2D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Electrochemical sensors</w:t>
            </w:r>
          </w:p>
        </w:tc>
        <w:tc>
          <w:tcPr>
            <w:tcW w:w="0" w:type="auto"/>
          </w:tcPr>
          <w:p w14:paraId="1FF54BC8" w14:textId="77777777" w:rsidR="00DB1607" w:rsidRPr="00B95EB3" w:rsidRDefault="00000000">
            <w:pPr>
              <w:spacing w:before="20" w:after="20" w:line="264" w:lineRule="auto"/>
              <w:rPr>
                <w:rFonts w:asciiTheme="majorHAnsi" w:hAnsiTheme="majorHAnsi" w:cstheme="majorHAnsi"/>
              </w:rPr>
            </w:pPr>
            <w:r w:rsidRPr="00B95EB3">
              <w:rPr>
                <w:rFonts w:asciiTheme="majorHAnsi" w:hAnsiTheme="majorHAnsi" w:cstheme="majorHAnsi"/>
                <w:sz w:val="19"/>
              </w:rPr>
              <w:t>Gravity Analog Dissolved Oxygen Sensor, DFRobot Lab Grade pH Sensor,</w:t>
            </w:r>
          </w:p>
          <w:p w14:paraId="2068EF2E" w14:textId="77777777" w:rsidR="00DB1607" w:rsidRPr="00B95EB3" w:rsidRDefault="00000000">
            <w:pPr>
              <w:spacing w:before="20" w:after="20" w:line="264" w:lineRule="auto"/>
              <w:rPr>
                <w:rFonts w:asciiTheme="majorHAnsi" w:hAnsiTheme="majorHAnsi" w:cstheme="majorHAnsi"/>
              </w:rPr>
            </w:pPr>
            <w:r w:rsidRPr="00B95EB3">
              <w:rPr>
                <w:rFonts w:asciiTheme="majorHAnsi" w:hAnsiTheme="majorHAnsi" w:cstheme="majorHAnsi"/>
                <w:sz w:val="19"/>
              </w:rPr>
              <w:t>Mini Nitrate ISE Electrode,</w:t>
            </w:r>
          </w:p>
          <w:p w14:paraId="74AC8209" w14:textId="77777777" w:rsidR="00DB1607" w:rsidRPr="00B95EB3" w:rsidRDefault="00000000">
            <w:pPr>
              <w:spacing w:before="20" w:after="20" w:line="264" w:lineRule="auto"/>
              <w:rPr>
                <w:rFonts w:asciiTheme="majorHAnsi" w:hAnsiTheme="majorHAnsi" w:cstheme="majorHAnsi"/>
              </w:rPr>
            </w:pPr>
            <w:r w:rsidRPr="00B95EB3">
              <w:rPr>
                <w:rFonts w:asciiTheme="majorHAnsi" w:hAnsiTheme="majorHAnsi" w:cstheme="majorHAnsi"/>
                <w:sz w:val="19"/>
              </w:rPr>
              <w:lastRenderedPageBreak/>
              <w:t>Nitrite Ion Selective Electrode</w:t>
            </w:r>
          </w:p>
        </w:tc>
      </w:tr>
      <w:tr w:rsidR="00DB1607" w:rsidRPr="00B95EB3" w14:paraId="121F2253" w14:textId="77777777">
        <w:tc>
          <w:tcPr>
            <w:tcW w:w="0" w:type="auto"/>
          </w:tcPr>
          <w:p w14:paraId="070B4E4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lastRenderedPageBreak/>
              <w:t>Optical sensors</w:t>
            </w:r>
          </w:p>
        </w:tc>
        <w:tc>
          <w:tcPr>
            <w:tcW w:w="0" w:type="auto"/>
          </w:tcPr>
          <w:p w14:paraId="57C7414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ESP32 CAM ,GY33 RGB colour sensor, TSL2591 ambient light sensor</w:t>
            </w:r>
          </w:p>
        </w:tc>
      </w:tr>
      <w:tr w:rsidR="00DB1607" w:rsidRPr="00B95EB3" w14:paraId="2223C232" w14:textId="77777777">
        <w:tc>
          <w:tcPr>
            <w:tcW w:w="0" w:type="auto"/>
          </w:tcPr>
          <w:p w14:paraId="4F74771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Chemical colorimetric indicators</w:t>
            </w:r>
          </w:p>
        </w:tc>
        <w:tc>
          <w:tcPr>
            <w:tcW w:w="0" w:type="auto"/>
          </w:tcPr>
          <w:p w14:paraId="420A4669" w14:textId="77777777" w:rsidR="00DB1607" w:rsidRPr="00B95EB3" w:rsidRDefault="00000000">
            <w:pPr>
              <w:spacing w:before="20" w:after="20" w:line="264" w:lineRule="auto"/>
              <w:rPr>
                <w:rFonts w:asciiTheme="majorHAnsi" w:hAnsiTheme="majorHAnsi" w:cstheme="majorHAnsi"/>
              </w:rPr>
            </w:pPr>
            <w:r w:rsidRPr="00B95EB3">
              <w:rPr>
                <w:rFonts w:asciiTheme="majorHAnsi" w:hAnsiTheme="majorHAnsi" w:cstheme="majorHAnsi"/>
                <w:sz w:val="19"/>
              </w:rPr>
              <w:t>Seachem Ammonia Alert,</w:t>
            </w:r>
          </w:p>
          <w:p w14:paraId="1F3C10CC" w14:textId="77777777" w:rsidR="00DB1607" w:rsidRPr="00B95EB3" w:rsidRDefault="00000000">
            <w:pPr>
              <w:spacing w:before="20" w:after="20" w:line="264" w:lineRule="auto"/>
              <w:rPr>
                <w:rFonts w:asciiTheme="majorHAnsi" w:hAnsiTheme="majorHAnsi" w:cstheme="majorHAnsi"/>
              </w:rPr>
            </w:pPr>
            <w:r w:rsidRPr="00B95EB3">
              <w:rPr>
                <w:rFonts w:asciiTheme="majorHAnsi" w:hAnsiTheme="majorHAnsi" w:cstheme="majorHAnsi"/>
                <w:sz w:val="19"/>
              </w:rPr>
              <w:t>API pH Test Kit,</w:t>
            </w:r>
          </w:p>
          <w:p w14:paraId="5E5D361A" w14:textId="77777777" w:rsidR="00DB1607" w:rsidRPr="00B95EB3" w:rsidRDefault="00000000">
            <w:pPr>
              <w:spacing w:before="20" w:after="20" w:line="264" w:lineRule="auto"/>
              <w:rPr>
                <w:rFonts w:asciiTheme="majorHAnsi" w:hAnsiTheme="majorHAnsi" w:cstheme="majorHAnsi"/>
              </w:rPr>
            </w:pPr>
            <w:r w:rsidRPr="00B95EB3">
              <w:rPr>
                <w:rFonts w:asciiTheme="majorHAnsi" w:hAnsiTheme="majorHAnsi" w:cstheme="majorHAnsi"/>
                <w:sz w:val="19"/>
              </w:rPr>
              <w:t>API Nitrate Test Kit,</w:t>
            </w:r>
          </w:p>
          <w:p w14:paraId="38F1750A" w14:textId="77777777" w:rsidR="00DB1607" w:rsidRPr="00B95EB3" w:rsidRDefault="00000000">
            <w:pPr>
              <w:spacing w:before="20" w:after="20" w:line="264" w:lineRule="auto"/>
              <w:rPr>
                <w:rFonts w:asciiTheme="majorHAnsi" w:hAnsiTheme="majorHAnsi" w:cstheme="majorHAnsi"/>
              </w:rPr>
            </w:pPr>
            <w:r w:rsidRPr="00B95EB3">
              <w:rPr>
                <w:rFonts w:asciiTheme="majorHAnsi" w:hAnsiTheme="majorHAnsi" w:cstheme="majorHAnsi"/>
                <w:sz w:val="19"/>
              </w:rPr>
              <w:t>reagent test strips and colorimetric badges</w:t>
            </w:r>
          </w:p>
        </w:tc>
      </w:tr>
    </w:tbl>
    <w:p w14:paraId="50DDCF88"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Examining sensors by the way they interact with the medium gives a clearer view of reliability and maintenance cost than purchase price does. The more useful axis is how a sensor converts what it detects into a reading.</w:t>
      </w:r>
    </w:p>
    <w:p w14:paraId="686F664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Physical and optical sensors transduce through a solid-state element, a semiconductor junction, thermistor or photodiode, which responds to a physical quantity without exchanging anything with the medium. They consume only the power required to operate, and the sensing element itself has no mechanism of chemical drift. Their characteristic failure is typically external rather than internal, such as an occluded optical path or a biofilm on the housing, which attenuates the reading without altering the calibration of the element behind it. Correction is therefore simple, typically involving cleaning rather than recalibration.</w:t>
      </w:r>
    </w:p>
    <w:p w14:paraId="14B48645"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Wet electrochemical sensors convert a chemical condition directly into an electrical signal through an interface in continuous contact with the sample. That coupling is the source of both their selectivity and their shared failure modes: baseline drift requiring periodic recalibration, membrane or junction fouling, ionic interference from non-target species, and consumable elements with a finite service life.</w:t>
      </w:r>
    </w:p>
    <w:p w14:paraId="6C8FC6E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Chemical colorimetric indicators occupy a third position that a two-way split obscures. They are chemical sensors, deriving selectivity from a reagent that reacts with the target analyte, but they do not generate an electrical signal. This sensor class still remains the most commonly employed class in the fish hobbyist domain. The reagent changes colour and the reading is taken optically, typically by the fish owner’s eyes. Removing the electrode removes the failure modes that belong to the electrode. There is no reference junction to foul, no electrolyte to exhaust, and no calibration against buffer standards, because the quantity being read is a visible colour change rather than a millivolt offset requiring a reference point. However, the main drawback of this sensor class is that it requires a human in the loop to conduct tests manually, and its consumable test kits mean sensing cost rises directly with test frequency. Largely for this reason, colorimetric indicators remain, with some exceptions, underused in IoT deployments despite their low unit cost.</w:t>
      </w:r>
      <w:r w:rsidRPr="00B95EB3">
        <w:rPr>
          <w:rFonts w:asciiTheme="majorHAnsi" w:hAnsiTheme="majorHAnsi" w:cstheme="majorHAnsi"/>
        </w:rPr>
      </w:r>
    </w:p>
    <w:p w14:paraId="62CF6556"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 3-month laboratory and field stability study of a low-cost multiparameter IoT station quantifies this gradient within a single deployment. Naloufi et al. found that "weekly calibration and cleaning were required" to compensate for drift across the instrumented parameters, with the temperature sensor demonstrating good stability and minimal drift, the pH sensors showing acceptable stability under that weekly maintenance regime, and the dissolved oxygen sensor requiring monthly membrane cap replacement, with a 6-month-old membrane exhibiting visibly degraded performance (Naloufi et al., 2024). The gradient is therefore not merely conceptual: within one study, on one water body, the maintenance interval ranged from effectively none to monthly consumable replacement depending on the sensing principle.</w:t>
      </w:r>
    </w:p>
    <w:p w14:paraId="496F7C2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adoption pattern across the wider literature tracks this gradient closely. A systematic review of 142 low-cost water quality sensing papers found pH instrumented in 90% of studies, temperature in 80%, and turbidity in 59%, but dissolved oxygen in only 38%, attributing the last figure explicitly to "the difficulty of performing reliable DO measurements in real conditions" (Martins et al., 2023). The same review reports fouling, water ingress and component degradation as recurring field failures, and notes that only 18 of the 142 studies performed the expected comparison against reference instrumentation, plausibly indicating that low-cost sensor accuracy is thinner than the volume of publication suggests.</w:t>
      </w:r>
    </w:p>
    <w:p w14:paraId="54FB54F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xml:space="preserve">Two evaluation criteria follow from this outcome. The first is that in an unattended domestic deployment the relevant cost includes recurring calibration labour as well as purchase price, and that labour falls on the owner whose workload the system exists to reduce. A drifting sensor is additionally worse than an absent one in an advisory context, because it produces a confidently wrong reading where an absent sensor produces an acknowledged gap. The second is that this burden must be weighed against breadth of use. </w:t>
      </w:r>
      <w:r w:rsidRPr="00B95EB3">
        <w:rPr>
          <w:rFonts w:asciiTheme="majorHAnsi" w:hAnsiTheme="majorHAnsi" w:cstheme="majorHAnsi"/>
        </w:rPr>
        <w:lastRenderedPageBreak/>
        <w:t>Maintenance is incurred per sensor, but benefit accrues per derived quantity, so a parameter feeding several downstream calculations amortises its upkeep in a way that a parameter feeding one does not. The gradient is consequently a criterion for weighing instruments against each other, not a direct rule precluding employment of any sensor class.</w:t>
      </w:r>
    </w:p>
    <w:p w14:paraId="48F83FCE" w14:textId="77777777" w:rsidR="00DB1607" w:rsidRPr="00B95EB3" w:rsidRDefault="00000000">
      <w:pPr>
        <w:pStyle w:val="Heading3"/>
        <w:rPr>
          <w:rFonts w:asciiTheme="majorHAnsi" w:hAnsiTheme="majorHAnsi" w:cstheme="majorHAnsi"/>
        </w:rPr>
      </w:pPr>
      <w:bookmarkStart w:id="40" w:name="X0f23e04e26df5a980de80d8acaeffd1edb736f4"/>
      <w:bookmarkStart w:id="41" w:name="_Toc241565681"/>
      <w:bookmarkEnd w:id="38"/>
      <w:r w:rsidRPr="00B95EB3">
        <w:rPr>
          <w:rFonts w:asciiTheme="majorHAnsi" w:hAnsiTheme="majorHAnsi" w:cstheme="majorHAnsi"/>
        </w:rPr>
        <w:t>2.6.2 pH: Maintenance Cost Against Breadth of Use</w:t>
      </w:r>
      <w:bookmarkEnd w:id="41"/>
    </w:p>
    <w:p w14:paraId="76B4B021"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pH is measured by a glass electrode and carries the electrochemical class's weaknesses in full. It drifts and requires recalibration against reference buffers, its junction fouls, and the hydrated gel layer that gives the glass membrane its response degrades with time in service regardless of care, so the electrode has a finite life measured in months to roughly a year rather than an indefinite one. It appears in the stability study above among the sensors needing weekly attention (Naloufi et al., 2024). By the first criterion alone it is an unattractive instrument for an unattended deployment.</w:t>
      </w:r>
    </w:p>
    <w:p w14:paraId="0CD5CA3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second criterion reverses that assessment, because three findings established earlier in this chapter each independently require pH, and none of them can be satisfied by any other sensor in a low-cost suite.</w:t>
      </w:r>
    </w:p>
    <w:p w14:paraId="00BB6CF0"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first is toxicity resolution. The nitrogen literature reviewed above establishes that it is un-ionised NH₃ rather than total ammonia nitrogen that is acutely toxic, and that the equilibrium between NH₃ and NH₄⁺ is a strong function of pH. RAS modelling literature identifies omission of this pH-dependent split as an acknowledged simplification even within dedicated research. Without pH, a total ammonia figure whether sensed or modelled has no defined biological meaning, since the same concentration may be harmless or dangerous depending on where the equilibrium sits. The second is that pH is the parameter on which the rainfall stressor class acts most directly, making it the measurement through which an acid-loading event becomes observable at all. The third is that the diurnal photosynthesis-respiration cycle established in the algal literature expresses itself as a pH oscillation, so pH carries an independent signal of algal activity that can be cross-checked against an optical proxy derived from entirely different hardware.</w:t>
      </w:r>
    </w:p>
    <w:p w14:paraId="314ED535"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xml:space="preserve">The adoption evidence is consistent with this breadth: pH was the single most commonly instrumented parameter in the systematic review above, present in 90% of studies (Martins </w:t>
      </w:r>
      <w:r w:rsidRPr="00B95EB3">
        <w:rPr>
          <w:rFonts w:asciiTheme="majorHAnsi" w:hAnsiTheme="majorHAnsi" w:cstheme="majorHAnsi"/>
        </w:rPr>
        <w:lastRenderedPageBreak/>
        <w:t>et al., 2023), reflecting both a mature technology available at multiple price points and a parameter whose utility is widely recognised. Replacement elements are correspondingly inexpensive relative to the electrode classes reviewed for dissolved oxygen and nitrate, so the annual service cost is small in absolute terms even though the service interval is short.</w:t>
      </w:r>
    </w:p>
    <w:p w14:paraId="38561791"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What the literature therefore describes for pH is a sensor sitting on the unfavourable side of the maintenance gradient whose upkeep is amortised across three distinct derived quantities, at a replacement cost an order of magnitude below the electrochemical instruments assessed below. This is a materially different trade from the ones examined in the following subsections, and it illustrates why the gradient must be applied as a weighing criterion rather than as a class exclusion.</w:t>
      </w:r>
    </w:p>
    <w:p w14:paraId="59D2D553"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One consequence of that concentration of dependency deserves recording, because it is a cost rather than a benefit. A pH channel serving three derived quantities means a drifted or expired electrode degrades all three simultaneously and silently. The literature's finding that only 18 of 142 reviewed studies validated against reference instrumentation (Martins et al., 2023) suggests this failure mode is under-examined in practice. Any system depending on pH this heavily therefore needs to treat electrode age and calibration state as first-class information, and needs a grounding mechanism capable of declaring when its own reading should no longer be trusted.</w:t>
      </w:r>
    </w:p>
    <w:p w14:paraId="084EC9CA" w14:textId="77777777" w:rsidR="00DB1607" w:rsidRPr="00B95EB3" w:rsidRDefault="00000000">
      <w:pPr>
        <w:pStyle w:val="Heading3"/>
        <w:rPr>
          <w:rFonts w:asciiTheme="majorHAnsi" w:hAnsiTheme="majorHAnsi" w:cstheme="majorHAnsi"/>
        </w:rPr>
      </w:pPr>
      <w:bookmarkStart w:id="42" w:name="dissolved-oxygen-instrumentation"/>
      <w:bookmarkStart w:id="43" w:name="_Toc241565682"/>
      <w:bookmarkEnd w:id="40"/>
      <w:r w:rsidRPr="00B95EB3">
        <w:rPr>
          <w:rFonts w:asciiTheme="majorHAnsi" w:hAnsiTheme="majorHAnsi" w:cstheme="majorHAnsi"/>
        </w:rPr>
        <w:t>2.6.3 Dissolved Oxygen Instrumentation</w:t>
      </w:r>
      <w:bookmarkEnd w:id="43"/>
    </w:p>
    <w:p w14:paraId="51A00ECB"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Dissolved oxygen sits at the unfavourable extreme of the gradient on both of its axes. Conventional electrochemical DO sensors rely on platinum electrodes, which are costly, and are additionally documented to suffer biofouling in natural water that "leads to reduced sensitivity and variable performance" (Hsu et al., n.d.). More specifically, experimental characterisation of a low-cost DO sensor found that the addition of nitrate and phosphate compounds caused approximately 30% and 70% current variation respectively in sensor response (Hsu et al., n.d.). Nitrate and phosphate are routine constituents of a fed outdoor pond, so the chemistry the pond generates is documented to corrupt the readings of affordable DO sensors. This is corroborated in deployment: the stability study reviewed above required monthly membrane cap replacement for its DO channel and observed degraded performance from a 6-month-old membrane (Naloufi et al., 2024), and the systematic review found DO instrumented in only 38% of low-cost studies against pH's 90%, attributing the shortfall to the difficulty of reliable DO measurement in real conditions (Martins et al., 2023). Unlike pH, the parameter also feeds no other derived quantity, so its maintenance burden is amortised across nothing.</w:t>
      </w:r>
      <w:r w:rsidRPr="00B95EB3">
        <w:rPr>
          <w:rFonts w:asciiTheme="majorHAnsi" w:hAnsiTheme="majorHAnsi" w:cstheme="majorHAnsi"/>
        </w:rPr>
      </w:r>
    </w:p>
    <w:p w14:paraId="0464555F"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 4-year field comparison did report strong performance from low-cost DO sensors, with mean absolute errors below 1 mg/L against reference stations and little drift even without recalibration (Leischner et al., 2026). Those deployments were in flowing streams, where continuous movement resists both biofouling and the build-up of interfering nutrients.</w:t>
      </w:r>
    </w:p>
    <w:p w14:paraId="182BC5E7"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This partly restores the case for DO sensing, because ponds in Singapore commonly run aeration for much of the day to reduce heat stress and hypoxia risk. Aeration creates surface agitation and circulation that resemble the flowing conditions in which those sensors performed well, so fouling may build up more slowly than in a still pond. The catch is that a probe sited in well-aerated water mostly reports water near saturation. The information it returns shrinks while the effort to keep it accurate stays the same. The physiological importance of DO is unchanged, but the marginal value of instrumenting it in an aerated pond is low.</w:t>
      </w:r>
    </w:p>
    <w:p w14:paraId="6253DEB8" w14:textId="77777777" w:rsidR="00DB1607" w:rsidRPr="00B95EB3" w:rsidRDefault="00000000">
      <w:pPr>
        <w:pStyle w:val="Heading3"/>
        <w:rPr>
          <w:rFonts w:asciiTheme="majorHAnsi" w:hAnsiTheme="majorHAnsi" w:cstheme="majorHAnsi"/>
        </w:rPr>
      </w:pPr>
      <w:bookmarkStart w:id="44" w:name="nitrate-instrumentation"/>
      <w:bookmarkStart w:id="45" w:name="_Toc241565683"/>
      <w:bookmarkEnd w:id="42"/>
      <w:r w:rsidRPr="00B95EB3">
        <w:rPr>
          <w:rFonts w:asciiTheme="majorHAnsi" w:hAnsiTheme="majorHAnsi" w:cstheme="majorHAnsi"/>
        </w:rPr>
        <w:t>2.6.4 Nitrate Instrumentation</w:t>
      </w:r>
      <w:bookmarkEnd w:id="45"/>
    </w:p>
    <w:p w14:paraId="469434B3"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Nitrate instrumentation presents a similar structure. The established continuous-monitoring standard, ultraviolet absorption spectroscopy, is reported to cost between $15,000 and $25,000 per unit while remaining vulnerable to organic-matter interference. Such sensors are accordingly out of contention for an IoT project with a tight budget as one of its core constraints. The more affordable alternative, the ion-selective electrode, shares the electrochemical class’s fouling and drift and adds interference from other ions. Capella et al. (2015) identify chloride and bicarbonate as the major interferents for nitrate electrodes, and both are present in any pond that receives tap-water top-ups. Emerging low-cost optical prototypes exist, with one recent design achieving a sub-$800 unit cost, but as of publication remained a research prototype requiring "further calibration work to address challenges with matrix effects in dirty water" rather than a commercially mature solution (Furuta et al., 2026).</w:t>
      </w:r>
    </w:p>
    <w:p w14:paraId="3EB69A8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lastRenderedPageBreak/>
        <w:t>What the literature describes for both dissolved oxygen and nitrate is therefore a cost-reliability frontier rather than a simple price barrier. The methods with documented accuracy sit one to three orders of magnitude above a domestic instrumentation budget, while the affordable alternatives carry quantified failure modes that manifest specifically under the chemical conditions an outdoor pond produces, and both sit on the recurring-calibration side of the maintenance gradient without the breadth of use that offsets the same burden for pH. Neither finding rules direct sensing out in principle. Together they establish that a system adopting it at this scale would commit a large share of both its budget and its owner's recurring attention in exchange for a measurement of uncertain accuracy, and would do so for parameters that feed no further calculation. Whether other routes to the same information exist at acceptable cost is the question the following subsections examine.</w:t>
      </w:r>
    </w:p>
    <w:p w14:paraId="7E5335A2" w14:textId="77777777" w:rsidR="00DB1607" w:rsidRPr="00B95EB3" w:rsidRDefault="00000000">
      <w:pPr>
        <w:pStyle w:val="Heading3"/>
        <w:rPr>
          <w:rFonts w:asciiTheme="majorHAnsi" w:hAnsiTheme="majorHAnsi" w:cstheme="majorHAnsi"/>
        </w:rPr>
      </w:pPr>
      <w:bookmarkStart w:id="46" w:name="tds-as-a-non-specific-context-signal"/>
      <w:bookmarkStart w:id="47" w:name="_Toc241565684"/>
      <w:bookmarkEnd w:id="44"/>
      <w:r w:rsidRPr="00B95EB3">
        <w:rPr>
          <w:rFonts w:asciiTheme="majorHAnsi" w:hAnsiTheme="majorHAnsi" w:cstheme="majorHAnsi"/>
        </w:rPr>
        <w:t>2.6.5 TDS as a Non-Specific Context Signal</w:t>
      </w:r>
      <w:bookmarkEnd w:id="47"/>
    </w:p>
    <w:p w14:paraId="593D8D13"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Low-cost TDS boards normally measure electrical conductivity and then convert that result into a TDS estimate. Conductivity responds to all mobile ions in the water rather than one named compound. The United States Environmental Protection Agency also requires conductivity results to be corrected to 25 degrees Celsius, which shows that temperature is part of the measurement rather than a minor detail (United States Environmental Protection Agency, 1982).</w:t>
      </w:r>
    </w:p>
    <w:p w14:paraId="2959EA3F"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conversion from conductivity to TDS is not universal. Hubert and Wolkersdorfer (2015) reported conversion factors from 0.25 to 1.34 across 45 water samples. They concluded that accurate conversion needs a factor suited to the site and noted that the factor can also change over time. The water type in that study differs from a koi pond, but the measurement limit is general. One conductivity value can be produced by different mixes of ions. A low-cost TDS channel therefore cannot identify which dissolved substance changed.</w:t>
      </w:r>
    </w:p>
    <w:p w14:paraId="797C2C47"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xml:space="preserve">This is especially important for ammonia. Ammonia and ammonium form only part of the pond's ionic mixture, while source-water minerals, salt additions, feed residues, waste products and nitrification products also affect that mixture. Aquaculture literature identifies feed, intake water, nutrients and biological activity as joint drivers of water quality, and lists conductivity beside pH, temperature and other separate measurements rather than as a </w:t>
      </w:r>
      <w:r w:rsidRPr="00B95EB3">
        <w:rPr>
          <w:rFonts w:asciiTheme="majorHAnsi" w:hAnsiTheme="majorHAnsi" w:cstheme="majorHAnsi"/>
        </w:rPr>
        <w:lastRenderedPageBreak/>
        <w:t>replacement for them (Yusoff et al., 2024). A TDS rise can occur while ammonia is stable, and an ammonia rise can be too small beside the background ionic load to create a useful TDS change. TDS is therefore a poor ammonia analogue.</w:t>
      </w:r>
    </w:p>
    <w:p w14:paraId="2BBBA53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literature still supports keeping the sensor. Its useful output is a time series showing that the combined dissolved load has changed. A site-specific baseline can show gradual concentration, dilution, or a step after pond maintenance. Interpretation needs other context because evaporation, rainfall, top-up water, water changes, feeding, cleaning and salt treatment can move the reading in different directions. This places TDS in the system as a supporting log and change signal. It must not be given a universal safe band or converted into an ammonia value.</w:t>
      </w:r>
    </w:p>
    <w:p w14:paraId="58BF0254" w14:textId="77777777" w:rsidR="00DB1607" w:rsidRPr="00B95EB3" w:rsidRDefault="00000000">
      <w:pPr>
        <w:pStyle w:val="Heading3"/>
        <w:rPr>
          <w:rFonts w:asciiTheme="majorHAnsi" w:hAnsiTheme="majorHAnsi" w:cstheme="majorHAnsi"/>
        </w:rPr>
      </w:pPr>
      <w:bookmarkStart w:id="48" w:name="X2fc9b5d911b7fb46886a1b83fda1e433ae966cc"/>
      <w:bookmarkStart w:id="49" w:name="_Toc241565685"/>
      <w:bookmarkEnd w:id="46"/>
      <w:r w:rsidRPr="00B95EB3">
        <w:rPr>
          <w:rFonts w:asciiTheme="majorHAnsi" w:hAnsiTheme="majorHAnsi" w:cstheme="majorHAnsi"/>
        </w:rPr>
        <w:t>2.6.6 Inferring Nitrogenous Loading from Feeding Events</w:t>
      </w:r>
      <w:bookmarkEnd w:id="49"/>
    </w:p>
    <w:p w14:paraId="32C9434F"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literature offers a second route to the nitrogen species: modelling ammonia-to-nitrate conversion kinetically from feeding events, which the Ott et al. result identified earlier as the dominant driver of chemical loading. This approach has meaningful, if imperfect, precedent, drawn primarily from indoor and recirculating aquaculture system (RAS) studies.</w:t>
      </w:r>
    </w:p>
    <w:p w14:paraId="6E27EBAA"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 spreadsheet-based mass-balance model of total ammonia nitrogen dynamics in semi-intensive earthen ponds achieved a reported model efficiency exceeding 90% against 3 years of field data. However this outcome required 13 manually calibrated parameters standardised against site-specific observations (Ray et al., 2017). A validated pond-scale kinetic model of this type required extensive site-specific calibration rather than universally transferable coefficients. Any implementation adopting published rate constants without equivalent local calibration is therefore operating with placeholders pending experimental identification.</w:t>
      </w:r>
    </w:p>
    <w:p w14:paraId="0C88BAE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 recent RAS study explicitly decomposed ammonia nitrogen generation into digestion-excretion kinetics and a separate, delayed contribution from the decomposition of uneaten feed and faeces, finding this dual-pathway structure necessary to capture observed feeding-induced fluctuations accurately (Song et al., 2026). A single-multiplier excretion fraction which constitutes the simplest available formulation, collapses two physically and temporally distinct processes into one, and would not be expected to reproduce the delayed component that study found necessary.</w:t>
      </w:r>
    </w:p>
    <w:p w14:paraId="74777B0C"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lastRenderedPageBreak/>
        <w:t>A separate RAS study measured trickling-filter nitrification kinetics fitting a ½-order/0-order model, and noted ammonia nitrification rates in saline conditions running approximately 37% lower than in freshwater (Díaz et al., n.d.). Although the specific rate constants and functional form are not directly transferable to an unfiltered pond volume, the finding independently corroborates the qualitative pattern of feeding-driven TAN pulses decaying overnight. Another RAS study explicitly incorporated pH-dependent ammonium dissociation into its nitrification model, describing this as a refinement "not... implemented as such in previous RAS models" (Montjourides et al., 2025). This identifies a refinement available at no additional instrumentation cost to any system already measuring pH: modelling raw TAN without the pH-dependent NH₃/NH₄⁺ split is an acknowledged simplification even within dedicated RAS modelling research.</w:t>
      </w:r>
    </w:p>
    <w:p w14:paraId="26B8659C"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One limitation applies to the whole of this precedent. All the kinetic modelling studies reviewed here were conducted either in flow-through recirculating systems or in managed earthen ponds without significant uncontrolled external biological input. An outdoor deployment differs materially, since wind and rain introduce allochthonous organic matter, airborne debris, and biological material such as pollen, insects, and bird waste. This constitutes an explicit limitation on transferring these otherwise well-precedented kinetic approaches to an uncontrolled outdoor environment. It is also a limitation the approach cannot detect in itself, so its error under such conditions is silent. This is the strongest argument identified in this review for obtaining some chemical observation independent of the model, and it motivates examining a third route.</w:t>
      </w:r>
    </w:p>
    <w:p w14:paraId="0B1EDB08" w14:textId="77777777" w:rsidR="00DB1607" w:rsidRPr="00B95EB3" w:rsidRDefault="00000000">
      <w:pPr>
        <w:pStyle w:val="Heading3"/>
        <w:rPr>
          <w:rFonts w:asciiTheme="majorHAnsi" w:hAnsiTheme="majorHAnsi" w:cstheme="majorHAnsi"/>
        </w:rPr>
      </w:pPr>
      <w:bookmarkStart w:id="50" w:name="X1d80102def426413025e5b672579e5f5fba4328"/>
      <w:bookmarkStart w:id="51" w:name="_Toc241565686"/>
      <w:bookmarkEnd w:id="48"/>
      <w:r w:rsidRPr="00B95EB3">
        <w:rPr>
          <w:rFonts w:asciiTheme="majorHAnsi" w:hAnsiTheme="majorHAnsi" w:cstheme="majorHAnsi"/>
        </w:rPr>
        <w:t>2.6.7 Colorimetric Ammonia Indication Read Optically</w:t>
      </w:r>
      <w:bookmarkEnd w:id="51"/>
    </w:p>
    <w:p w14:paraId="39C56EB7"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third route the literature offers is neither electrochemical sensing nor pure inference. This approach typically involves a colorimetric reagent whose colour varies with analyte concentration, read by a camera rather than by an electrode.</w:t>
      </w:r>
    </w:p>
    <w:p w14:paraId="66352DC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academic precedent is direct and recent. An image processing system for total ammonia nitrogen monitoring in aquaculture, built on a Raspberry Pi, extracted RGB channel values from images of standard TAN solutions across 0–5 mg/L and fitted regression models to predict concentration, the green channel model achieved a coefficient of determination of 0.969, mean absolute error of 0.535 mg/L, root mean squared error of 0.805 mg/L, and a limit of detection of 0.215 mg/L, with an optimal working range of 0.2–2.0 mg/L (Puangsuwan et al., 2026). Notably, the red channel model achieved higher numerical accuracy but "exhibited greater drift at higher TAN concentrations, reducing its reliability in operational settings." This result is consistent with the channel-selection findings in the algal colour literature reviewed later, where specific colour-space channels rather than raw RGB proved most stable. Related work has demonstrated quantitative colorimetric detection of dissolved ammonia using polydiacetylene sensors with machine-learning classifiers, and smartphone-based colorimetric determination of ammonium and nitrite using reference calibration to correct for illumination variation. Camera-read colorimetry for nitrogen species is therefore a validated class of technique rather than an improvisation, though every study in it reports the same dependence on controlled or corrected illumination that the algal imaging literature reports independently.</w:t>
      </w:r>
      <w:r w:rsidRPr="00B95EB3">
        <w:rPr>
          <w:rFonts w:asciiTheme="majorHAnsi" w:hAnsiTheme="majorHAnsi" w:cstheme="majorHAnsi"/>
        </w:rPr>
      </w:r>
    </w:p>
    <w:p w14:paraId="212A408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Two instances of this sensor class exist in the ornamental aquarium trade, and provide off the shelf solutions for several of the questions this section raises. A study of these two products allows a better understanding for plausible colorimetric ammonia sensing applications for the purposes of this project.</w:t>
      </w:r>
    </w:p>
    <w:p w14:paraId="6CFB3477" w14:textId="77777777" w:rsidR="00DB1607" w:rsidRPr="00B95EB3" w:rsidRDefault="00000000">
      <w:pPr>
        <w:pStyle w:val="Heading4"/>
        <w:rPr>
          <w:rFonts w:asciiTheme="majorHAnsi" w:hAnsiTheme="majorHAnsi" w:cstheme="majorHAnsi"/>
        </w:rPr>
      </w:pPr>
      <w:bookmarkStart w:id="52" w:name="seneye-ammonia-monitoring"/>
      <w:r w:rsidRPr="00B95EB3">
        <w:rPr>
          <w:rFonts w:asciiTheme="majorHAnsi" w:hAnsiTheme="majorHAnsi" w:cstheme="majorHAnsi"/>
        </w:rPr>
        <w:t>Seneye Ammonia Monitoring</w:t>
      </w:r>
    </w:p>
    <w:p w14:paraId="7C18B1DD"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Seneye monitor reads a colorimetric chemical slide optically, using light-emitting diodes housed behind the slide within the instrument, and reports free ammonia (NH₃) alongside pH (Seneye, n.d.-a).</w:t>
      </w:r>
    </w:p>
    <w:p w14:paraId="5A6C5635"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This commercial product's existence validates the class within a domain that has otherwise been dominated by direct sensing. Colorimetric chemical sensing is second-order by nature, since the instrument reads the output of a separate sensing element rather than transducing the analyte itself. This approach explores chemical sensing in unattended consumer instruments rather than only as laboratory apparatus or in manual water testing. An interesting takeaway from the Seneye Ammonia monitoring system is that the light required for reading the colorimetric data is supplied rather than using the ambient environment. The instrument carries its own light source behind the sensing element, which converts the illumination variance that the imaging literature identifies as the principal confound into a fixed property of the optical design. Lastly, the system combines two properties that the sensor classes above hold separately, taking the calibration-free operation of the chemical class and the automation of the electrochemical class. The manufacturer states that the disposable slide removes the need for device calibration and that fitting a new slide re-establishes the reference condition (Seneye, n.d.-a). Like other chemical sensors, this system requires consumables. This is, however, a domain-wide constraint affecting electrodes as well, not one specific to this system.</w:t>
      </w:r>
      <w:r w:rsidRPr="00B95EB3">
        <w:rPr>
          <w:rFonts w:asciiTheme="majorHAnsi" w:hAnsiTheme="majorHAnsi" w:cstheme="majorHAnsi"/>
        </w:rPr>
      </w:r>
    </w:p>
    <w:p w14:paraId="093410E4"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manufacturer's operating instructions record two further constraints that follow from the physics rather than from the product. The slide must be fitted with no air trapped between it and the instrument, a step the guide advises performing underwater, since an air gap in the optical path introduces a refractive discontinuity and a specular return. The slide must also not be allowed to dry out after its initial soaking, as the hydrated state of the reagent forms part of its calibrated response (Seneye, n.d.-b). Both are requirements for any implementation of this sensing principle rather than idiosyncrasies of one product.</w:t>
      </w:r>
    </w:p>
    <w:p w14:paraId="2D78A1F1" w14:textId="77777777" w:rsidR="00DB1607" w:rsidRPr="00B95EB3" w:rsidRDefault="00000000">
      <w:pPr>
        <w:pStyle w:val="Heading4"/>
        <w:rPr>
          <w:rFonts w:asciiTheme="majorHAnsi" w:hAnsiTheme="majorHAnsi" w:cstheme="majorHAnsi"/>
        </w:rPr>
      </w:pPr>
      <w:bookmarkStart w:id="53" w:name="seachem-ammonia-alert"/>
      <w:bookmarkEnd w:id="52"/>
      <w:r w:rsidRPr="00B95EB3">
        <w:rPr>
          <w:rFonts w:asciiTheme="majorHAnsi" w:hAnsiTheme="majorHAnsi" w:cstheme="majorHAnsi"/>
        </w:rPr>
        <w:t>SeaChem Ammonia Alert</w:t>
      </w:r>
    </w:p>
    <w:p w14:paraId="07E96D5A"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SeaChem Ammonia Alert is a hobbyist-tier indicator of the same general class. By contrast to the Seneye monitor, it changes colour reversibly through stated bands of below 0.02 mg/L (safe), 0.05 mg/L (alert), 0.2 mg/L (alarm) and 0.5 mg/L (toxic), requires no calibration, and carries a stated service life of approximately 1 year (Seachem Laboratories, n.d.). Its approximate colour bands do not match the Seneye kit’s precision, but it similarly provides long operation windows without replacement, in fact outperforming Seneye’s own monthly-replacement requirement. This could reasonably be attributed to Seneye’s higher-fidelity slide being more susceptible to drift than SeaChem’s coarser safety bands.</w:t>
      </w:r>
    </w:p>
    <w:p w14:paraId="2114BE29"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Both products also report free NH₃ rather than total ammonia nitrogen, the SeaChem product stating plainly that its indicator "only measure[s] free ammonia because that is the harmful form" (Seachem Laboratories, n.d.). Since the toxicology literature reviewed above identifies un-ionised NH₃ as the acutely toxic species, this reads the biologically meaningful quantity directly and bypasses the pH- and temperature-dependent speciation conversion that the RAS modelling literature identified as commonly omitted. A measurement that is intrinsically pH-weighted requires no pH correction to be interpreted as a hazard. This output, expressed as free NH₃, is also limiting, and for a more consequential reason than incomparability with the total-ammonia thresholds tabulated earlier (Stone &amp; Thomforde, 2004, as cited in Komal et al., 2021). Free NH₃ is a pH-dependent slice of the total ammonia pool rather than the pool itself, and at typical pond pH it is a small slice, on the order of 1 percent at pH 7.0 rising to roughly 20 percent at pH 8.5 at tropical temperatures. The indicator therefore reports the fraction of the load that is currently toxic, not the size of the load. Those two quantities diverge, and the divergence matters twice over. A pond can hold a large nitrogenous load at low pH while the indicator reads safe, and that same load becomes hazardous when photosynthesis raises pH through the afternoon without any nitrogen having been added. Separately, nitrite production draws on the whole ammonia pool rather than on the free fraction alone, since ammonium and free ammonia remain in rapid equilibrium as nitrifying bacteria consume the latter, so an indicator reading free NH₃ carries no information about downstream nitrite risk. An optical ammonia channel, a modelled total ammonia figure and a pH sensor are therefore complementary rather than redundant. The model supplies the load that nitrification kinetics require, pH and temperature convert that modelled load into a predicted hazard, and the indicator measures the hazard independently and validates the prediction.</w:t>
      </w:r>
      <w:r w:rsidRPr="00B95EB3">
        <w:rPr>
          <w:rFonts w:asciiTheme="majorHAnsi" w:hAnsiTheme="majorHAnsi" w:cstheme="majorHAnsi"/>
        </w:rPr>
      </w:r>
    </w:p>
    <w:p w14:paraId="33CFE1A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However, it should be noted that SeaChem is not a full IoT implementation, only the chemical sensing portion equivalent to the Seneye system. The reason for the exploration of an independent solution away from direct Seneye system is twofold. The Seneye pond monitoring suite is extremely costly, more than $230 SGD and is against the direct budgetary constraints of the project. Secondly, Seneye is a full suite IoT system not intended to be a subsystem integrated into larger monitoring suites. This creates challenges later when trying to ingest Seneye’s data into the system this project proposes. SeaChem’s chemical sensor therefore provides the crucial building block to reproduce a system directionally comparable if less precise than the Seneye system. A full system buildup involving an enclosure, Seachem sensor, LEDs and photodiodes will still be necessary to reproduce the Seneye system baseline capability. Given the availability of cheap electronic modules with decent operating parameters, an independently developed system leveraging SeaChem sensors should cost a fraction of the $230 SGD figure, better aligning with the project goals.</w:t>
      </w:r>
      <w:r w:rsidRPr="00B95EB3">
        <w:rPr>
          <w:rFonts w:asciiTheme="majorHAnsi" w:hAnsiTheme="majorHAnsi" w:cstheme="majorHAnsi"/>
        </w:rPr>
      </w:r>
    </w:p>
    <w:p w14:paraId="49112E7E" w14:textId="77777777" w:rsidR="00DB1607" w:rsidRPr="00B95EB3" w:rsidRDefault="00000000">
      <w:pPr>
        <w:pStyle w:val="Heading3"/>
        <w:rPr>
          <w:rFonts w:asciiTheme="majorHAnsi" w:hAnsiTheme="majorHAnsi" w:cstheme="majorHAnsi"/>
        </w:rPr>
      </w:pPr>
      <w:bookmarkStart w:id="54" w:name="optical-proxying-of-algal-biomass"/>
      <w:bookmarkStart w:id="55" w:name="_Toc241565687"/>
      <w:bookmarkEnd w:id="50"/>
      <w:bookmarkEnd w:id="53"/>
      <w:r w:rsidRPr="00B95EB3">
        <w:rPr>
          <w:rFonts w:asciiTheme="majorHAnsi" w:hAnsiTheme="majorHAnsi" w:cstheme="majorHAnsi"/>
        </w:rPr>
        <w:t>2.6.8 Optical Proxying of Algal Biomass</w:t>
      </w:r>
      <w:bookmarkEnd w:id="55"/>
    </w:p>
    <w:p w14:paraId="33317BA7"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Direct chlorophyll or turbidity instrumentation for algal biomass carries the same cost and fouling characteristics as the chemical sensors examined above. Operating in a relatively similar vein to the SeaChem Ammonia sensor, colour-space analysis of ordinary camera imagery is the documented low-cost alternative, and the precedent for it is substantial and increasingly direct.</w:t>
      </w:r>
    </w:p>
    <w:p w14:paraId="0C619461"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 laboratory study across eight microalgae species found that HSV colour-space channels were among the most effective indicators for identifying non-homogeneously distributed algal species, and that a single vegetation index (VEG) consistently provided the best-fit growth kinetic model across all species tested, achieving RMSE of 0.2–0.4 (Sunoj et al., 2021). Importantly, this study also found that colour intensity tracks chlorophyll content specifically, which "grows unsteadily and then decays," while biomass grows more steadily. A colour-derived green ratio should be used as a tracking optical signal rather than a full proxy for standing biomass, especially as the two are liable to diverge across an algal life cycle.</w:t>
      </w:r>
    </w:p>
    <w:p w14:paraId="1686177F"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This laboratory-scale validation is reinforced by a real-world, production-scale deployment. A 2024 study developed a four-step HSV-thresholding pipeline for real-time cyanobacterial bloom detection on live 24-hour cameras at Dianchi Lake, China, computing an algae-pixel-to-water-pixel area ratio and reporting bloom-area ratios of 33–66% across real deployed frames (Gong et al., 2024). Both this study and an earlier laboratory-based colour-concentration regression study (Ngo et al.) similarly arrived at the same conclusion. HSV colour thresholds "vary according to different devices and locations" and must be calibrated per deployment rather than treated as universal constants. These two independent confirmations establish this as a calibration requirement rather than an optional refinement. Thresholds must be resolved per installation, and any fixed universal cutoff should be expected to fail on transfer. A separate HSI-based threshold-segmentation method for algae counting achieved greater than 90% agreement with manual recognition conducted via microorganism object detection survey, offering further independent corroboration that colour-space-based algal quantification constitutes a validated class of technique rather than an obscure unsubstantiated result.</w:t>
      </w:r>
      <w:r w:rsidRPr="00B95EB3">
        <w:rPr>
          <w:rFonts w:asciiTheme="majorHAnsi" w:hAnsiTheme="majorHAnsi" w:cstheme="majorHAnsi"/>
        </w:rPr>
      </w:r>
    </w:p>
    <w:p w14:paraId="314016D7"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Notably, the 2024 lake-deployment study's own stated future-work direction is "more comprehensive detection methods, incorporating images, environmental parameters, and other multi-factor approaches to enhance algal bloom detection and forecasting" (Gong et al., 2024). Multi-factor fusion of imagery with environmental parameters is therefore identified by current work as an open gap rather than settled practice, leaving headroom in exactly the direction a system already sensing light and temperature alongside imagery would occupy.</w:t>
      </w:r>
    </w:p>
    <w:p w14:paraId="02B8F653"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One methodological caveat from the same study should be highlighted. HSV thresholding was applied only after a separate water-body segmentation step excluded land, boats, and vegetation from the frame, since a naive whole-frame threshold would otherwise misclassify non-water green objects as algae. This is a direct constraint on camera framing and region-of-interest definition for any pond deployment, and is expanded upon in the methodology chapter.</w:t>
      </w:r>
    </w:p>
    <w:p w14:paraId="0CCE74D2" w14:textId="77777777" w:rsidR="00DB1607" w:rsidRPr="00B95EB3" w:rsidRDefault="00000000">
      <w:pPr>
        <w:pStyle w:val="Heading3"/>
        <w:rPr>
          <w:rFonts w:asciiTheme="majorHAnsi" w:hAnsiTheme="majorHAnsi" w:cstheme="majorHAnsi"/>
        </w:rPr>
      </w:pPr>
      <w:bookmarkStart w:id="56" w:name="ambient-light-measurement"/>
      <w:bookmarkStart w:id="57" w:name="_Toc241565688"/>
      <w:bookmarkEnd w:id="54"/>
      <w:r w:rsidRPr="00B95EB3">
        <w:rPr>
          <w:rFonts w:asciiTheme="majorHAnsi" w:hAnsiTheme="majorHAnsi" w:cstheme="majorHAnsi"/>
        </w:rPr>
        <w:t>2.6.9 Ambient Light Measurement</w:t>
      </w:r>
      <w:bookmarkEnd w:id="57"/>
    </w:p>
    <w:p w14:paraId="67644546"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Light differs from the parameters reviewed above in that its case does not rest on a single application. By this point in the chapter, established findings have already made light a required input rather than an optional addition.</w:t>
      </w:r>
    </w:p>
    <w:p w14:paraId="0CC28CFA"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algal literature supplies a numerical bloom threshold, a minimum daily light integral of approximately 13.2 mol m⁻² d⁻¹ for surface bloom formation (Kemp et al., n.d.), which cannot be evaluated without a light measurement. The growth kinetics reviewed require a saturating light term, since growth rate depends on irradiance and temperature jointly rather than on temperature alone. The photothermal work establishes light as the driver of localised heating governing diurnal bloom timing (Lin et al., n.d.). The pond energy balance reports solar radiation accounting for as much as 49% of all energy transferred to unheated ponds, with longwave sky radiation a further 31% (Lamoureux et al., 2006), making radiation the dominant thermal input rather than a secondary one. Finally, the HSV imaging literature identifies illumination as the principal confound on colour-derived algal proxies (Gong et al., 2024, Ngo et al., n.d.).</w:t>
      </w:r>
    </w:p>
    <w:p w14:paraId="1EA7155C"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Before assessing additional instrumentation it is necessary to check whether an external source could supply this quantity, as the forecasting section established it could for temperature, humidity, wind and rainfall. The NEA realtime weather collection provides air temperature, relative humidity, rainfall, wind speed and wind direction (National Environment Agency, n.d.-a). A separate feed publishes an ultraviolet index at 30-minute intervals with a historical archive extending to 2016 (National Environment Agency, n.d.-b). A radiation-related parameter is therefore available, and should be evaluated if this reading is a sufficient substitute. The index is derived from ultraviolet A (315 to 400 nm) and ultraviolet B (280 to 315 nm), weighted to approximate the erythemal response of human skin (National Environment Agency, n.d.-c). Photosynthetically active radiation is defined over 400 to 700 nm, so the published index and the quantity algal growth kinetics require occupy separate regions of the spectrum. The Penman combination equation requires net radiation across the broadband shortwave range, of which the ultraviolet component carries only a few percent of the energy. The index measures a band that is either adjacent to or a small fraction of what each model needs. Furthermore, the relationship between the two is not fixed. Ultraviolet is attenuated differently from visible radiation by solar elevation, cloud, aerosol and ozone column, and the erythemal weighting emphasises the shorter ultraviolet B wavelengths, which are the most atmospherically variable part of the spectrum. A conversion from index to broadband irradiance would therefore be neither constant nor calibratable without the instrument it was intended to replace. Lastly, the index is reported as a dimensionless value from 0 to 11 and above, grouped into exposure bands, as a single island-wide figure. Neither its quantisation nor its spatial resolution suits it to use as a continuous model input.</w:t>
      </w:r>
    </w:p>
    <w:p w14:paraId="0AEB294A"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What the index does support is a coarse assessment of sky clearness, which makes it a useful corroborating signal against a locally sensed value rather than a substitute for one. A local light measurement is therefore the only route to a required model input, and the published index can serve as an independent check on it.</w:t>
      </w:r>
    </w:p>
    <w:p w14:paraId="7A9BBE91"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instrumentation question is whether an inexpensive photometric sensor measures the right physical quantity. Lux is a photometric unit weighted by the human photopic response, which peaks near 555 nm and falls to zero outside the visible band. Photosynthesis requires photosynthetically active radiation in quantum units and the energy balance requires irradiance in W m⁻², neither of which a lux sensor reports. Conversion factors exist but are source-dependent. An instrument manufacturer tabulates PPFD-to-lux factors of 54 for sunlight, 65 to 74 for various fluorescent and ceramic metal halide sources, and 82 for high-pressure sodium, a spread of roughly 52%, and cautions that applying the wrong factor introduces errors exceeding 50% (Apogee Instruments, n.d.). However, that 52% range is concentrated across artificial illuminants specifically. Meanwhile, the outdoor pond is lit by daylight and nothing else, so the applicable factor is the sunlight value alone, and the residual uncertainty is the narrower question of how the daylight spectrum shifts with solar elevation and cloud cover. The generic objection to lux-to-PAR conversion is largely an indoor objection and does not transfer at full strength to this deployment.</w:t>
      </w:r>
      <w:r w:rsidRPr="00B95EB3">
        <w:rPr>
          <w:rFonts w:asciiTheme="majorHAnsi" w:hAnsiTheme="majorHAnsi" w:cstheme="majorHAnsi"/>
        </w:rPr>
      </w:r>
    </w:p>
    <w:p w14:paraId="43EAB3D7"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Empirical validation supports the substitution directly. A recent study evaluated two low-cost ambient light sensors, the BH1750 and the VEML7700, against a Davis Instruments pyranometer and obtained solar radiation estimates with a coefficient of determination of 0.9922, a root mean squared error of 44.46 W m⁻² and a mean absolute error of 27.12 W m⁻² using a random forest model, concluding that low-cost light sensors combined with data-driven models offer a viable alternative to professional pyranometers (Luque-Vega et al., 2025). However, that result was obtained by training against a reference pyranometer, so a deployment without access to one relies on published conversion factors and should expect wider error than the cited figures.</w:t>
      </w:r>
    </w:p>
    <w:p w14:paraId="1E021FF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xml:space="preserve">There are some caveats to employment of cheap sensors to evaluate solar radiation. Vegetation absorbs strongly in the red and blue while transmitting and reflecting green, precisely where the photopic weighting peaks, so a lux sensor placed beneath a plant canopy over-reads relative to true PAR. The bias is largest at exactly the shaded sites. This argues for siting the sensor in open view of the same sky the pond sees rather than beneath foliage, and for treating heavily overhung installations as a known weak case. Another limitation is the optical analogue of the fouling that afflicts electrochemical sensors. Dust, pollen, rain spotting and bird waste accumulate on the sensor window and attenuate the reading, which places light on the maintenance gradient rather than exempting it from it. Two properties nonetheless keep it on the favourable side. The sensor is digital and factory calibrated, reporting over a serial bus with no drift mechanism analogous to a degrading gel layer or a spent membrane, so the electronics require no recalibration against a reference </w:t>
      </w:r>
      <w:r w:rsidRPr="00B95EB3">
        <w:rPr>
          <w:rFonts w:asciiTheme="majorHAnsi" w:hAnsiTheme="majorHAnsi" w:cstheme="majorHAnsi"/>
        </w:rPr>
        <w:lastRenderedPageBreak/>
        <w:t>standard. The soiling failure is also self-diagnosing without any reference at all. At a latitude of 1.35 degrees north the photoperiod is near-constant year round, with computed daylength varying only between approximately 11.92 and 12.08 hours between solstices, and the solar geometry is exactly known from date, time and latitude, so the clear-sky irradiance profile is highly predictable. Soiling is monotonic and always reduces the reading, so persistent under-reading against the expected clear-sky maximum at solar noon identifies a dirty window using nothing but the astronomical calendar. This is a materially better maintenance position than the pH electrode, which cannot be validated without buffer solutions.</w:t>
      </w:r>
    </w:p>
    <w:p w14:paraId="5292016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Assessed against the two criteria established at the head of this section, ambient light performs well on both. Its maintenance burden is low and its one degradation mode is self-detecting. Its breadth of use is relatively wide. It supplies the radiation term the evaporation model requires and the meteorological feed cannot provide, the light term in algal growth kinetics, the threshold test the bloom literature defines, a driver of the thermal model and a measurement of true local dusk. Given that the physiology literature places oxygen risk at its highest after photosynthesis ceases, that last use is more relevant to nocturnal risk timing than astronomical sunset would be at a shaded site.</w:t>
      </w:r>
    </w:p>
    <w:p w14:paraId="464DAE9B" w14:textId="77777777" w:rsidR="00DB1607" w:rsidRPr="00B95EB3" w:rsidRDefault="00000000">
      <w:pPr>
        <w:pStyle w:val="Heading2"/>
        <w:rPr>
          <w:rFonts w:asciiTheme="majorHAnsi" w:hAnsiTheme="majorHAnsi" w:cstheme="majorHAnsi"/>
        </w:rPr>
      </w:pPr>
      <w:bookmarkStart w:id="58" w:name="chapter-synthesis-and-gap-statement"/>
      <w:bookmarkStart w:id="59" w:name="_Toc241565689"/>
      <w:bookmarkEnd w:id="36"/>
      <w:bookmarkEnd w:id="56"/>
      <w:r w:rsidRPr="00B95EB3">
        <w:rPr>
          <w:rFonts w:asciiTheme="majorHAnsi" w:hAnsiTheme="majorHAnsi" w:cstheme="majorHAnsi"/>
        </w:rPr>
        <w:t>2.7 Chapter Synthesis and Gap Statement</w:t>
      </w:r>
      <w:bookmarkEnd w:id="59"/>
    </w:p>
    <w:p w14:paraId="2D303B63"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Taken together, the reviewed literature leaves a compound gap. The parameters that determine fish welfare are well characterised and converge on a small set. Similarly, the environmental stressors acting on an outdoor tropical pond are documented, though unevenly quantified, with rainfall the least well characterised of the four.</w:t>
      </w:r>
    </w:p>
    <w:p w14:paraId="2E631EF5"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On instrumentation, the review establishes a maintenance gradient that operates independently of purchase price and that the published adoption pattern already tracks, and it establishes that the gradient must be weighed against breadth of use rather than applied as a class exclusion. The same electrochemical weaknesses that make dissolved oxygen and nitrate instrumentation unattractive apply in full to pH, but pH feeds three separately established derived quantities, namely ammonia toxicity resolution, rainfall acid loading, and an independent signal of algal activity. pH sensors also arrive at a replacement cost an order of magnitude lower, which is a materially different trade rather than the same one. The review further identifies a third sensing class, colorimetric indication read optically, that is calibration-free and provides a coarse but chemically independent check on the feed-driven inference route.</w:t>
      </w:r>
      <w:r w:rsidRPr="00B95EB3">
        <w:rPr>
          <w:rFonts w:asciiTheme="majorHAnsi" w:hAnsiTheme="majorHAnsi" w:cstheme="majorHAnsi"/>
        </w:rPr>
      </w:r>
    </w:p>
    <w:p w14:paraId="2BA75640"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Where anticipation is concerned, the literature establishes both that forecast-informed advisory systems outperform reactive sensing in analogous domains and that locally trained short-horizon models offer little over naive baselines, while the forecast source available in this jurisdiction is documented by its own producers as structurally limited for rainfall specifically. For water temperature, which is directly and cheaply instrumented, the open question is projection rather than measurement, and the literature bounds the useful look-ahead horizon at hours rather than days.</w:t>
      </w:r>
    </w:p>
    <w:p w14:paraId="4DA4A666"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Against that evidence base, no reviewed system combines:</w:t>
      </w:r>
    </w:p>
    <w:p w14:paraId="40906608" w14:textId="77777777" w:rsidR="00DB1607" w:rsidRPr="00B95EB3" w:rsidRDefault="00000000">
      <w:pPr>
        <w:pStyle w:val="Compact"/>
        <w:numPr>
          <w:ilvl w:val="0"/>
          <w:numId w:val="2"/>
        </w:numPr>
        <w:rPr>
          <w:rFonts w:asciiTheme="majorHAnsi" w:hAnsiTheme="majorHAnsi" w:cstheme="majorHAnsi"/>
        </w:rPr>
      </w:pPr>
      <w:r w:rsidRPr="00B95EB3">
        <w:rPr>
          <w:rFonts w:asciiTheme="majorHAnsi" w:hAnsiTheme="majorHAnsi" w:cstheme="majorHAnsi"/>
        </w:rPr>
        <w:t>Budget IoT sensing targeted at outdoor ponds specifically, distinct from indoor tanks and production aquaculture</w:t>
      </w:r>
    </w:p>
    <w:p w14:paraId="7EA7059D" w14:textId="77777777" w:rsidR="00DB1607" w:rsidRPr="00B95EB3" w:rsidRDefault="00000000">
      <w:pPr>
        <w:pStyle w:val="Compact"/>
        <w:numPr>
          <w:ilvl w:val="0"/>
          <w:numId w:val="2"/>
        </w:numPr>
        <w:rPr>
          <w:rFonts w:asciiTheme="majorHAnsi" w:hAnsiTheme="majorHAnsi" w:cstheme="majorHAnsi"/>
        </w:rPr>
      </w:pPr>
      <w:r w:rsidRPr="00B95EB3">
        <w:rPr>
          <w:rFonts w:asciiTheme="majorHAnsi" w:hAnsiTheme="majorHAnsi" w:cstheme="majorHAnsi"/>
        </w:rPr>
        <w:t>Forecast-augmented rather than purely reactive advisory logic</w:t>
      </w:r>
    </w:p>
    <w:p w14:paraId="688F4787" w14:textId="77777777" w:rsidR="00DB1607" w:rsidRPr="00B95EB3" w:rsidRDefault="00000000">
      <w:pPr>
        <w:pStyle w:val="Compact"/>
        <w:numPr>
          <w:ilvl w:val="0"/>
          <w:numId w:val="2"/>
        </w:numPr>
        <w:rPr>
          <w:rFonts w:asciiTheme="majorHAnsi" w:hAnsiTheme="majorHAnsi" w:cstheme="majorHAnsi"/>
        </w:rPr>
      </w:pPr>
      <w:r w:rsidRPr="00B95EB3">
        <w:rPr>
          <w:rFonts w:asciiTheme="majorHAnsi" w:hAnsiTheme="majorHAnsi" w:cstheme="majorHAnsi"/>
        </w:rPr>
        <w:t>Explicitly advisory rather than actuating output</w:t>
      </w:r>
    </w:p>
    <w:p w14:paraId="5BB7EAAC" w14:textId="77777777" w:rsidR="00DB1607" w:rsidRPr="00B95EB3" w:rsidRDefault="00000000">
      <w:pPr>
        <w:pStyle w:val="Compact"/>
        <w:numPr>
          <w:ilvl w:val="0"/>
          <w:numId w:val="2"/>
        </w:numPr>
        <w:rPr>
          <w:rFonts w:asciiTheme="majorHAnsi" w:hAnsiTheme="majorHAnsi" w:cstheme="majorHAnsi"/>
        </w:rPr>
      </w:pPr>
      <w:r w:rsidRPr="00B95EB3">
        <w:rPr>
          <w:rFonts w:asciiTheme="majorHAnsi" w:hAnsiTheme="majorHAnsi" w:cstheme="majorHAnsi"/>
        </w:rPr>
        <w:t>A sensor suite selected on maintenance burden weighed against breadth of use rather than on unit cost alone. Uninstrumented parameters are obtained by inference and cross-checked against an independent observation.</w:t>
      </w:r>
    </w:p>
    <w:p w14:paraId="39B2A027"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following system architecture chapter sets out the design that these findings produced, and states where the design departs from what the literature would ideally support and why.</w:t>
      </w:r>
    </w:p>
    <w:p w14:paraId="14B6BF94" w14:textId="77777777" w:rsidR="00DB1607" w:rsidRPr="00B95EB3" w:rsidRDefault="00000000">
      <w:pPr>
        <w:pStyle w:val="Heading1"/>
        <w:rPr>
          <w:rFonts w:asciiTheme="majorHAnsi" w:hAnsiTheme="majorHAnsi" w:cstheme="majorHAnsi"/>
        </w:rPr>
      </w:pPr>
      <w:bookmarkStart w:id="60" w:name="chapter-3-architecture-and-system-design"/>
      <w:bookmarkStart w:id="61" w:name="_Toc241565690"/>
      <w:bookmarkEnd w:id="16"/>
      <w:bookmarkEnd w:id="58"/>
      <w:r w:rsidRPr="00B95EB3">
        <w:rPr>
          <w:rFonts w:asciiTheme="majorHAnsi" w:hAnsiTheme="majorHAnsi" w:cstheme="majorHAnsi"/>
        </w:rPr>
        <w:lastRenderedPageBreak/>
        <w:t>Chapter 3: Architecture and System Design</w:t>
      </w:r>
      <w:bookmarkEnd w:id="61"/>
    </w:p>
    <w:p w14:paraId="41E04836" w14:textId="77777777" w:rsidR="00DB1607" w:rsidRPr="00B95EB3" w:rsidRDefault="00000000">
      <w:pPr>
        <w:pStyle w:val="Heading2"/>
        <w:rPr>
          <w:rFonts w:asciiTheme="majorHAnsi" w:hAnsiTheme="majorHAnsi" w:cstheme="majorHAnsi"/>
        </w:rPr>
      </w:pPr>
      <w:bookmarkStart w:id="62" w:name="architecture-overview"/>
      <w:bookmarkStart w:id="63" w:name="_Toc241565691"/>
      <w:r w:rsidRPr="00B95EB3">
        <w:rPr>
          <w:rFonts w:asciiTheme="majorHAnsi" w:hAnsiTheme="majorHAnsi" w:cstheme="majorHAnsi"/>
        </w:rPr>
        <w:t>3.1 Architecture Overview</w:t>
      </w:r>
      <w:bookmarkEnd w:id="63"/>
    </w:p>
    <w:p w14:paraId="543F2957"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system has two pond-side nodes and three server-side components (Figure 3.1). The sensor node is an ESP32 development board that reads total dissolved solids (TDS), ambient light, a colour sensor, water temperature and pH in a fixed order, uploads one batch of readings and returns to deep sleep. The camera node is an ESP32-CAM that wakes, captures one JPEG frame, uploads it and sleeps for an interval chosen by the server. Each node has its own supply and its own schedule, so a fault on one does not stop the other.</w:t>
      </w:r>
    </w:p>
    <w:p w14:paraId="1621D3C3"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server side is split by the kind of work each part does. Supabase holds all persistent data: sensor rows, image records, weather observations and forecasts, owner events, model state and model outputs, and it stores the image files. A camera analysis service, written in Flask and hosted on PythonAnywhere, receives each frame, computes a green coverage ratio, stores the result and replies with the camera’s next wake interval. A digital twin service, also written in Flask, holds the per-pond chemistry, evaporation and algae models, advances them from stored data on a fixed poll and applies owner events as they are logged. The Flutter mobile application reads the dashboard data from Supabase and the model assessments from the digital twin, and it is where the owner logs feeding, water changes, top-ups, algae scrubs and visual algae ratings.</w:t>
      </w:r>
    </w:p>
    <w:p w14:paraId="2AC59B8F" w14:textId="77777777" w:rsidR="00DB1607" w:rsidRPr="00B95EB3" w:rsidRDefault="00000000">
      <w:pPr>
        <w:pStyle w:val="CaptionedFigure"/>
        <w:jc w:val="center"/>
        <w:rPr>
          <w:rFonts w:asciiTheme="majorHAnsi" w:hAnsiTheme="majorHAnsi" w:cstheme="majorHAnsi"/>
        </w:rPr>
      </w:pPr>
      <w:r w:rsidRPr="00B95EB3">
        <w:rPr>
          <w:rFonts w:asciiTheme="majorHAnsi" w:hAnsiTheme="majorHAnsi" w:cstheme="majorHAnsi"/>
          <w:noProof/>
        </w:rPr>
        <w:lastRenderedPageBreak/>
        <w:drawing>
          <wp:inline distT="0" distB="0" distL="0" distR="0" wp14:anchorId="5E91F616" wp14:editId="209A900C">
            <wp:extent cx="5727700" cy="3696135"/>
            <wp:effectExtent l="0" t="0" r="0" b="0"/>
            <wp:docPr id="52" name="Picture" descr="Figure 3.1. System architecture. Numbers in the sensor node give the order in which the firmware powers and reads each sensor."/>
            <wp:cNvGraphicFramePr/>
            <a:graphic xmlns:a="http://schemas.openxmlformats.org/drawingml/2006/main">
              <a:graphicData uri="http://schemas.openxmlformats.org/drawingml/2006/picture">
                <pic:pic xmlns:pic="http://schemas.openxmlformats.org/drawingml/2006/picture">
                  <pic:nvPicPr>
                    <pic:cNvPr id="53" name="Picture" descr="figs/architecture.png"/>
                    <pic:cNvPicPr>
                      <a:picLocks noChangeAspect="1" noChangeArrowheads="1"/>
                    </pic:cNvPicPr>
                  </pic:nvPicPr>
                  <pic:blipFill>
                    <a:blip r:embed="rId7"/>
                    <a:stretch>
                      <a:fillRect/>
                    </a:stretch>
                  </pic:blipFill>
                  <pic:spPr bwMode="auto">
                    <a:xfrm>
                      <a:off x="0" y="0"/>
                      <a:ext cx="5727700" cy="3696135"/>
                    </a:xfrm>
                    <a:prstGeom prst="rect">
                      <a:avLst/>
                    </a:prstGeom>
                    <a:noFill/>
                    <a:ln w="9525">
                      <a:noFill/>
                      <a:headEnd/>
                      <a:tailEnd/>
                    </a:ln>
                  </pic:spPr>
                </pic:pic>
              </a:graphicData>
            </a:graphic>
          </wp:inline>
        </w:drawing>
      </w:r>
    </w:p>
    <w:p w14:paraId="79ED8DDE" w14:textId="77777777" w:rsidR="00DB1607" w:rsidRPr="00B95EB3" w:rsidRDefault="00000000">
      <w:pPr>
        <w:pStyle w:val="ImageCaption"/>
        <w:rPr>
          <w:rFonts w:asciiTheme="majorHAnsi" w:hAnsiTheme="majorHAnsi" w:cstheme="majorHAnsi"/>
        </w:rPr>
      </w:pPr>
      <w:r w:rsidRPr="00B95EB3">
        <w:rPr>
          <w:rFonts w:asciiTheme="majorHAnsi" w:hAnsiTheme="majorHAnsi" w:cstheme="majorHAnsi"/>
        </w:rPr>
        <w:t>Figure 3.1. System architecture. Numbers in the sensor node give the order in which the firmware powers and reads each sensor.</w:t>
      </w:r>
    </w:p>
    <w:p w14:paraId="29688472"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split between services follows three differences in their work. Image analysis handles large requests and fails in its own ways, such as an undecodable frame, so it is kept away from numeric telemetry. The camera service is stateless between requests, since its only state (the previous smoothed green ratio) lives in Supabase, and this makes it a good fit for a hosted request-driven platform. The digital twin is stateful, keeps each pond’s models in memory, and runs a background scheduler, so it needs a single long-running process. Section 3.9.5 discusses what this means for hosting.</w:t>
      </w:r>
    </w:p>
    <w:p w14:paraId="29ADDA90" w14:textId="77777777" w:rsidR="00DB1607" w:rsidRPr="00B95EB3" w:rsidRDefault="00000000">
      <w:pPr>
        <w:pStyle w:val="Heading2"/>
        <w:rPr>
          <w:rFonts w:asciiTheme="majorHAnsi" w:hAnsiTheme="majorHAnsi" w:cstheme="majorHAnsi"/>
        </w:rPr>
      </w:pPr>
      <w:bookmarkStart w:id="64" w:name="hardware-selection"/>
      <w:bookmarkStart w:id="65" w:name="_Toc241565692"/>
      <w:bookmarkEnd w:id="62"/>
      <w:r w:rsidRPr="00B95EB3">
        <w:rPr>
          <w:rFonts w:asciiTheme="majorHAnsi" w:hAnsiTheme="majorHAnsi" w:cstheme="majorHAnsi"/>
        </w:rPr>
        <w:t>3.2 Hardware Selection</w:t>
      </w:r>
      <w:bookmarkEnd w:id="65"/>
    </w:p>
    <w:p w14:paraId="0DA6954A" w14:textId="77777777" w:rsidR="00DB1607" w:rsidRPr="00B95EB3" w:rsidRDefault="00000000">
      <w:pPr>
        <w:pStyle w:val="Heading3"/>
        <w:rPr>
          <w:rFonts w:asciiTheme="majorHAnsi" w:hAnsiTheme="majorHAnsi" w:cstheme="majorHAnsi"/>
        </w:rPr>
      </w:pPr>
      <w:bookmarkStart w:id="66" w:name="esp32-main-microcontroller"/>
      <w:bookmarkStart w:id="67" w:name="_Toc241565693"/>
      <w:r w:rsidRPr="00B95EB3">
        <w:rPr>
          <w:rFonts w:asciiTheme="majorHAnsi" w:hAnsiTheme="majorHAnsi" w:cstheme="majorHAnsi"/>
        </w:rPr>
        <w:t>3.2.1 ESP32 Main Microcontroller</w:t>
      </w:r>
      <w:bookmarkEnd w:id="67"/>
    </w:p>
    <w:p w14:paraId="4AB9FC97"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sensor node uses an ESP32-WROOM-32 on a DevKitC board. The ESP32 combines Wi-Fi, two analogue-to-digital converter (ADC) blocks, two I2C controllers and enough processing capacity for the full sensor cycle, which removes the need for a separate radio module. Its main electrical drawback is the gap between deep sleep current and transmit current, which is several orders of magnitude (Table 3.1). The supply must be sized for short radio peaks, while the firmware must keep the active period short.</w:t>
      </w:r>
    </w:p>
    <w:p w14:paraId="5C1C1C59"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lastRenderedPageBreak/>
        <w:t>Table 3.1. ESP32 figures used for the electrical design (Espressif Systems, 2026a).</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2679"/>
        <w:gridCol w:w="878"/>
        <w:gridCol w:w="1420"/>
        <w:gridCol w:w="516"/>
        <w:gridCol w:w="3693"/>
      </w:tblGrid>
      <w:tr w:rsidR="00DB1607" w:rsidRPr="00B95EB3" w14:paraId="34E73C58"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3D7866F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Parameter</w:t>
            </w:r>
          </w:p>
        </w:tc>
        <w:tc>
          <w:tcPr>
            <w:tcW w:w="0" w:type="auto"/>
            <w:shd w:val="clear" w:color="auto" w:fill="EDEFF2"/>
          </w:tcPr>
          <w:p w14:paraId="4F12C30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Typical</w:t>
            </w:r>
          </w:p>
        </w:tc>
        <w:tc>
          <w:tcPr>
            <w:tcW w:w="0" w:type="auto"/>
            <w:shd w:val="clear" w:color="auto" w:fill="EDEFF2"/>
          </w:tcPr>
          <w:p w14:paraId="1DD0F7A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Maximum</w:t>
            </w:r>
          </w:p>
        </w:tc>
        <w:tc>
          <w:tcPr>
            <w:tcW w:w="0" w:type="auto"/>
            <w:shd w:val="clear" w:color="auto" w:fill="EDEFF2"/>
          </w:tcPr>
          <w:p w14:paraId="74BA85A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Unit</w:t>
            </w:r>
          </w:p>
        </w:tc>
        <w:tc>
          <w:tcPr>
            <w:tcW w:w="0" w:type="auto"/>
            <w:shd w:val="clear" w:color="auto" w:fill="EDEFF2"/>
          </w:tcPr>
          <w:p w14:paraId="32A667C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Design meaning</w:t>
            </w:r>
          </w:p>
        </w:tc>
      </w:tr>
      <w:tr w:rsidR="00DB1607" w:rsidRPr="00B95EB3" w14:paraId="2143278E" w14:textId="77777777">
        <w:tc>
          <w:tcPr>
            <w:tcW w:w="0" w:type="auto"/>
          </w:tcPr>
          <w:p w14:paraId="2602BEA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Core supply</w:t>
            </w:r>
          </w:p>
        </w:tc>
        <w:tc>
          <w:tcPr>
            <w:tcW w:w="0" w:type="auto"/>
          </w:tcPr>
          <w:p w14:paraId="5258FFD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3.3</w:t>
            </w:r>
          </w:p>
        </w:tc>
        <w:tc>
          <w:tcPr>
            <w:tcW w:w="0" w:type="auto"/>
          </w:tcPr>
          <w:p w14:paraId="3B5B6F3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3.6</w:t>
            </w:r>
          </w:p>
        </w:tc>
        <w:tc>
          <w:tcPr>
            <w:tcW w:w="0" w:type="auto"/>
          </w:tcPr>
          <w:p w14:paraId="3DC551F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V</w:t>
            </w:r>
          </w:p>
        </w:tc>
        <w:tc>
          <w:tcPr>
            <w:tcW w:w="0" w:type="auto"/>
          </w:tcPr>
          <w:p w14:paraId="55E730A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Use regulated board input and 3.3 V logic</w:t>
            </w:r>
          </w:p>
        </w:tc>
      </w:tr>
      <w:tr w:rsidR="00DB1607" w:rsidRPr="00B95EB3" w14:paraId="12E2C03C" w14:textId="77777777">
        <w:tc>
          <w:tcPr>
            <w:tcW w:w="0" w:type="auto"/>
          </w:tcPr>
          <w:p w14:paraId="285129B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Deep sleep, ESP32 chip</w:t>
            </w:r>
          </w:p>
        </w:tc>
        <w:tc>
          <w:tcPr>
            <w:tcW w:w="0" w:type="auto"/>
          </w:tcPr>
          <w:p w14:paraId="4CBADF2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6 to 10</w:t>
            </w:r>
          </w:p>
        </w:tc>
        <w:tc>
          <w:tcPr>
            <w:tcW w:w="0" w:type="auto"/>
          </w:tcPr>
          <w:p w14:paraId="380F841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Not a board value</w:t>
            </w:r>
          </w:p>
        </w:tc>
        <w:tc>
          <w:tcPr>
            <w:tcW w:w="0" w:type="auto"/>
          </w:tcPr>
          <w:p w14:paraId="464AD3D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uA</w:t>
            </w:r>
          </w:p>
        </w:tc>
        <w:tc>
          <w:tcPr>
            <w:tcW w:w="0" w:type="auto"/>
          </w:tcPr>
          <w:p w14:paraId="3FAE0AD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External board parts can raise the real sleep current</w:t>
            </w:r>
          </w:p>
        </w:tc>
      </w:tr>
      <w:tr w:rsidR="00DB1607" w:rsidRPr="00B95EB3" w14:paraId="64305435" w14:textId="77777777">
        <w:tc>
          <w:tcPr>
            <w:tcW w:w="0" w:type="auto"/>
          </w:tcPr>
          <w:p w14:paraId="1FF5876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Wi-Fi receive</w:t>
            </w:r>
          </w:p>
        </w:tc>
        <w:tc>
          <w:tcPr>
            <w:tcW w:w="0" w:type="auto"/>
          </w:tcPr>
          <w:p w14:paraId="295755F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95 to 100</w:t>
            </w:r>
          </w:p>
        </w:tc>
        <w:tc>
          <w:tcPr>
            <w:tcW w:w="0" w:type="auto"/>
          </w:tcPr>
          <w:p w14:paraId="1689309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Not stated</w:t>
            </w:r>
          </w:p>
        </w:tc>
        <w:tc>
          <w:tcPr>
            <w:tcW w:w="0" w:type="auto"/>
          </w:tcPr>
          <w:p w14:paraId="28198DC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mA</w:t>
            </w:r>
          </w:p>
        </w:tc>
        <w:tc>
          <w:tcPr>
            <w:tcW w:w="0" w:type="auto"/>
          </w:tcPr>
          <w:p w14:paraId="776120B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Connection time should be kept short</w:t>
            </w:r>
          </w:p>
        </w:tc>
      </w:tr>
      <w:tr w:rsidR="00DB1607" w:rsidRPr="00B95EB3" w14:paraId="70B27BB5" w14:textId="77777777">
        <w:tc>
          <w:tcPr>
            <w:tcW w:w="0" w:type="auto"/>
          </w:tcPr>
          <w:p w14:paraId="2D1B65B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Wi-Fi transmit, 802.11b at high output</w:t>
            </w:r>
          </w:p>
        </w:tc>
        <w:tc>
          <w:tcPr>
            <w:tcW w:w="0" w:type="auto"/>
          </w:tcPr>
          <w:p w14:paraId="0F1A365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240</w:t>
            </w:r>
          </w:p>
        </w:tc>
        <w:tc>
          <w:tcPr>
            <w:tcW w:w="0" w:type="auto"/>
          </w:tcPr>
          <w:p w14:paraId="7BA349B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379 design case</w:t>
            </w:r>
          </w:p>
        </w:tc>
        <w:tc>
          <w:tcPr>
            <w:tcW w:w="0" w:type="auto"/>
          </w:tcPr>
          <w:p w14:paraId="424F244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mA</w:t>
            </w:r>
          </w:p>
        </w:tc>
        <w:tc>
          <w:tcPr>
            <w:tcW w:w="0" w:type="auto"/>
          </w:tcPr>
          <w:p w14:paraId="71309AE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Sets the short 3.3 V rail peak</w:t>
            </w:r>
          </w:p>
        </w:tc>
      </w:tr>
      <w:tr w:rsidR="00DB1607" w:rsidRPr="00B95EB3" w14:paraId="7C858271" w14:textId="77777777">
        <w:tc>
          <w:tcPr>
            <w:tcW w:w="0" w:type="auto"/>
          </w:tcPr>
          <w:p w14:paraId="0A40C42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ADC resolution</w:t>
            </w:r>
          </w:p>
        </w:tc>
        <w:tc>
          <w:tcPr>
            <w:tcW w:w="0" w:type="auto"/>
          </w:tcPr>
          <w:p w14:paraId="71B2715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12</w:t>
            </w:r>
          </w:p>
        </w:tc>
        <w:tc>
          <w:tcPr>
            <w:tcW w:w="0" w:type="auto"/>
          </w:tcPr>
          <w:p w14:paraId="65B43BD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12</w:t>
            </w:r>
          </w:p>
        </w:tc>
        <w:tc>
          <w:tcPr>
            <w:tcW w:w="0" w:type="auto"/>
          </w:tcPr>
          <w:p w14:paraId="4E68FB3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bit</w:t>
            </w:r>
          </w:p>
        </w:tc>
        <w:tc>
          <w:tcPr>
            <w:tcW w:w="0" w:type="auto"/>
          </w:tcPr>
          <w:p w14:paraId="2C7AC28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Analogue readings still need calibration and filtering</w:t>
            </w:r>
          </w:p>
        </w:tc>
      </w:tr>
      <w:tr w:rsidR="00DB1607" w:rsidRPr="00B95EB3" w14:paraId="5CEB02AD" w14:textId="77777777">
        <w:tc>
          <w:tcPr>
            <w:tcW w:w="0" w:type="auto"/>
          </w:tcPr>
          <w:p w14:paraId="28EA1B3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CPU clock</w:t>
            </w:r>
          </w:p>
        </w:tc>
        <w:tc>
          <w:tcPr>
            <w:tcW w:w="0" w:type="auto"/>
          </w:tcPr>
          <w:p w14:paraId="3823EC7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Up to 240</w:t>
            </w:r>
          </w:p>
        </w:tc>
        <w:tc>
          <w:tcPr>
            <w:tcW w:w="0" w:type="auto"/>
          </w:tcPr>
          <w:p w14:paraId="5533945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240</w:t>
            </w:r>
          </w:p>
        </w:tc>
        <w:tc>
          <w:tcPr>
            <w:tcW w:w="0" w:type="auto"/>
          </w:tcPr>
          <w:p w14:paraId="36CF3BF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MHz</w:t>
            </w:r>
          </w:p>
        </w:tc>
        <w:tc>
          <w:tcPr>
            <w:tcW w:w="0" w:type="auto"/>
          </w:tcPr>
          <w:p w14:paraId="473BD1C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Lower clock settings can be used during sensor settling</w:t>
            </w:r>
          </w:p>
        </w:tc>
      </w:tr>
    </w:tbl>
    <w:p w14:paraId="3ED282B6"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The microamp sleep figure applies to the ESP32 chip alone. A development board adds a linear regulator, a USB-to-serial bridge and a power LED, and these can draw more in sleep than the chip itself. This matters more than any other single factor in the node’s battery life (Section 3.3). Espressif also notes that transmit current can rise quickly enough to pull down a weak 3.3 V rail, so local bulk and ceramic decoupling are needed near the module (Espressif Systems, 2026b).</w:t>
      </w:r>
    </w:p>
    <w:p w14:paraId="2CED4E1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Both analogue sensors are wired to ADC1 pins (GPIO34 for TDS and GPIO35 for pH). On the original ESP32, ADC2 is shared with the Wi-Fi driver and may be unavailable while Wi-Fi is active (Espressif Systems, 2026c). The firmware takes all analogue readings before starting Wi-Fi, so ADC2 would work in the present sequence, but placing both channels on ADC1 removes the dependency on that ordering.</w:t>
      </w:r>
    </w:p>
    <w:p w14:paraId="26DAB21C" w14:textId="77777777" w:rsidR="00DB1607" w:rsidRPr="00B95EB3" w:rsidRDefault="00000000">
      <w:pPr>
        <w:pStyle w:val="Heading3"/>
        <w:rPr>
          <w:rFonts w:asciiTheme="majorHAnsi" w:hAnsiTheme="majorHAnsi" w:cstheme="majorHAnsi"/>
        </w:rPr>
      </w:pPr>
      <w:bookmarkStart w:id="68" w:name="powering-sensors-from-gpio-pins"/>
      <w:bookmarkStart w:id="69" w:name="_Toc241565694"/>
      <w:bookmarkEnd w:id="66"/>
      <w:r w:rsidRPr="00B95EB3">
        <w:rPr>
          <w:rFonts w:asciiTheme="majorHAnsi" w:hAnsiTheme="majorHAnsi" w:cstheme="majorHAnsi"/>
        </w:rPr>
        <w:t>3.2.2 Powering Sensors from GPIO Pins</w:t>
      </w:r>
      <w:bookmarkEnd w:id="69"/>
    </w:p>
    <w:p w14:paraId="2EEFB484"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Every sensor module is powered from its own ESP32 GPIO pin rather than from a shared switched rail (Table 3.7). A pin driven high supplies 3.3 V to the module during its sample window, and a pin driven low removes power completely. The firmware sets each power pin to the highest drive strength, and during deep sleep it latches the pins low with GPIO hold so that no sensor is powered while the node sleeps.</w:t>
      </w:r>
    </w:p>
    <w:p w14:paraId="3CECE559"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This arrangement became possible when the pH front end changed to a 3.3 V analogue board (Section 3.2.5). Each remaining module draws a few milliamps at most: the DS18B20 draws up to 1.5 mA during conversion, the TDS board 3 mA to 6 mA and the TSL2591 well under 1 mA (Analog Devices, 2026, ams OSRAM, 2023a, and DFRobot, 2026a). These loads sit well inside the current an ESP32 pin can source at its highest drive setting, so separate load switches and a separate 5 V rail were no longer needed. Removing them cut the part count, removed two converters and their quiescent current, and allowed every sensor to share the ESP32’s regulated 3.3 V supply.</w:t>
      </w:r>
      <w:r w:rsidRPr="00B95EB3">
        <w:rPr>
          <w:rFonts w:asciiTheme="majorHAnsi" w:hAnsiTheme="majorHAnsi" w:cstheme="majorHAnsi"/>
        </w:rPr>
      </w:r>
    </w:p>
    <w:p w14:paraId="6727666A"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This approach has two costs. The first is that a GPIO driver has some output resistance, so the voltage at a module falls slightly as its current rises. For the digital sensors this has no effect. For the two analogue sensors it can shift the output, since the module’s supply is no longer exactly 3.3 V. This is handled by calibrating each analogue channel through the same power path used in operation, so any fixed offset from the pin driver is absorbed into the calibration. The second is that when a module is unpowered, its signal pins remain connected to the ESP32. The firmware returns I2C and 1-Wire pins to input mode before cutting power, so the ESP32 does not back-power a module through its protection diodes.</w:t>
      </w:r>
    </w:p>
    <w:p w14:paraId="6D90DD9A" w14:textId="77777777" w:rsidR="00DB1607" w:rsidRPr="00B95EB3" w:rsidRDefault="00000000">
      <w:pPr>
        <w:pStyle w:val="Heading3"/>
        <w:rPr>
          <w:rFonts w:asciiTheme="majorHAnsi" w:hAnsiTheme="majorHAnsi" w:cstheme="majorHAnsi"/>
        </w:rPr>
      </w:pPr>
      <w:bookmarkStart w:id="70" w:name="ds18b20-water-temperature-sensor"/>
      <w:bookmarkStart w:id="71" w:name="_Toc241565695"/>
      <w:bookmarkEnd w:id="68"/>
      <w:r w:rsidRPr="00B95EB3">
        <w:rPr>
          <w:rFonts w:asciiTheme="majorHAnsi" w:hAnsiTheme="majorHAnsi" w:cstheme="majorHAnsi"/>
        </w:rPr>
        <w:t>3.2.3 DS18B20 Water Temperature Sensor</w:t>
      </w:r>
      <w:bookmarkEnd w:id="71"/>
    </w:p>
    <w:p w14:paraId="699248C4"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DS18B20 gives a digital reading over 1-Wire and does not use an ADC channel. It runs from 3.0 V to 5.5 V, draws at most 1.5 mA during conversion and about 0.75 µA in standby. At 12-bit resolution a conversion takes up to 750 ms (Analog Devices, 2026). The firmware powers the probe from GPIO27, waits 1 s for it to start, issues a conversion and waits 800 ms before reading the scratchpad. The 12-bit setting was kept because the extra wake time is small beside the radio’s share of each cycle.</w:t>
      </w:r>
    </w:p>
    <w:p w14:paraId="2BFE6FB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Temperature feeds every other measurement: it compensates the TDS reading, sets the Nernst slope for pH and is an input to all three models. A wrong temperature therefore spreads errors across the system, so the firmware checks each reading before using it. It rejects a scratchpad that fails its CRC, one whose configuration byte is invalid, and the value 85.0 °C, which the DS18B20 reports after power-up before a conversion has completed. A missing presence pulse is also treated as a failure. The firmware retries up to three times. If all attempts fail, pH and TDS compensation fall back to the last good temperature held in RTC memory, or 25 °C if none exists, and the fallback is flagged in the output. The fallback value is never reported as a water temperature (Section 3.6.2).</w:t>
      </w:r>
    </w:p>
    <w:p w14:paraId="5B111B52" w14:textId="77777777" w:rsidR="00DB1607" w:rsidRPr="00B95EB3" w:rsidRDefault="00000000">
      <w:pPr>
        <w:pStyle w:val="Heading3"/>
        <w:rPr>
          <w:rFonts w:asciiTheme="majorHAnsi" w:hAnsiTheme="majorHAnsi" w:cstheme="majorHAnsi"/>
        </w:rPr>
      </w:pPr>
      <w:bookmarkStart w:id="72" w:name="analogue-tds-sensor"/>
      <w:bookmarkStart w:id="73" w:name="_Toc241565696"/>
      <w:bookmarkEnd w:id="70"/>
      <w:r w:rsidRPr="00B95EB3">
        <w:rPr>
          <w:rFonts w:asciiTheme="majorHAnsi" w:hAnsiTheme="majorHAnsi" w:cstheme="majorHAnsi"/>
        </w:rPr>
        <w:lastRenderedPageBreak/>
        <w:t>3.2.4 Analogue TDS Sensor</w:t>
      </w:r>
      <w:bookmarkEnd w:id="73"/>
    </w:p>
    <w:p w14:paraId="3A51F015"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analogue TDS board accepts 3.3 V to 5.5 V, draws 3 mA to 6 mA and produces a 0 V to 2.3 V output (DFRobot, 2026a). This range fits the ESP32 input with 11 dB attenuation. The board drives an alternating excitation signal into the water to limit probe polarisation. That excitation is necessary for the TDS reading but can disturb a pH electrode in the same water (DFRobot, 2026c), so the board is powered only during its own sample window (Section 3.4.3).</w:t>
      </w:r>
    </w:p>
    <w:p w14:paraId="7474208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xml:space="preserve">The firmware powers the board from GPIO25, waits 2 s for the output to settle, and then takes 31 readings 20 ms apart and uses their median. A median was chosen over a mean because a single spike from switching noise shifts a mean but leaves a median unchanged. The millivolt reading is converted to TDS with the manufacturer’s cubic calibration curve, compensated to 25 °C at 2 % per °C, and scaled by a per-probe factor </w:t>
      </w:r>
      <w:r w:rsidRPr="00B95EB3">
        <w:rPr>
          <w:rFonts w:asciiTheme="majorHAnsi" w:hAnsiTheme="majorHAnsi" w:cstheme="majorHAnsi"/>
          <w:i/>
          <w:iCs/>
        </w:rPr>
        <w:t>K</w:t>
      </w:r>
      <w:r w:rsidRPr="00B95EB3">
        <w:rPr>
          <w:rFonts w:asciiTheme="majorHAnsi" w:hAnsiTheme="majorHAnsi" w:cstheme="majorHAnsi"/>
        </w:rPr>
        <w:t xml:space="preserve">. </w:t>
      </w:r>
      <w:r w:rsidRPr="00B95EB3">
        <w:rPr>
          <w:rFonts w:asciiTheme="majorHAnsi" w:hAnsiTheme="majorHAnsi" w:cstheme="majorHAnsi"/>
          <w:i/>
          <w:iCs/>
        </w:rPr>
        <w:t>K</w:t>
      </w:r>
      <w:r w:rsidRPr="00B95EB3">
        <w:rPr>
          <w:rFonts w:asciiTheme="majorHAnsi" w:hAnsiTheme="majorHAnsi" w:cstheme="majorHAnsi"/>
        </w:rPr>
        <w:t xml:space="preserve"> is set by a single-point calibration against a standard solution through the node’s service interface and stored in non-volatile memory. A single point was judged sufficient because the curve’s shape comes from the manufacturer and only its scale varies between probes. Section 4.4.3 includes a check at a second concentration to test that assumption.</w:t>
      </w:r>
    </w:p>
    <w:p w14:paraId="2611DA01" w14:textId="77777777" w:rsidR="00DB1607" w:rsidRPr="00B95EB3" w:rsidRDefault="00000000">
      <w:pPr>
        <w:pStyle w:val="Heading4"/>
        <w:rPr>
          <w:rFonts w:asciiTheme="majorHAnsi" w:hAnsiTheme="majorHAnsi" w:cstheme="majorHAnsi"/>
        </w:rPr>
      </w:pPr>
      <w:bookmarkStart w:id="74" w:name="selected-role-of-the-tds-channel"/>
      <w:r w:rsidRPr="00B95EB3">
        <w:rPr>
          <w:rFonts w:asciiTheme="majorHAnsi" w:hAnsiTheme="majorHAnsi" w:cstheme="majorHAnsi"/>
        </w:rPr>
        <w:t>3.2.4.1 Selected Role of the TDS Channel</w:t>
      </w:r>
    </w:p>
    <w:p w14:paraId="15E519EE"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TDS channel is kept as a low-cost record of the pond’s combined dissolved load. It is not used as an ammonia measurement, because conductivity responds to all mobile ions and has no chemical selectivity (Section 2.6.5). The system also does not hold the pond to a fixed TDS range, because source water, pond materials and owner practice give each installation a different normal level.</w:t>
      </w:r>
    </w:p>
    <w:p w14:paraId="1120707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In the current implementation, TDS enters the models in two places. The chemistry engine keeps a daily average of trusted TDS readings and computes its slope over recent days. This slope adds to the chemistry risk score only when the pH buffering trend is also worsening, so TDS alone can never raise a chemistry warning. The evaporation engine uses the same slope as an independent check on its evaporation estimate (Section 3.9.2). A logged water change or top-up also updates the chemistry engine’s estimate of the pond’s TDS through a mixing calculation.</w:t>
      </w:r>
    </w:p>
    <w:p w14:paraId="24875721"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lastRenderedPageBreak/>
        <w:t>A rising TDS trace may reflect evaporation, a salt addition, feed residues, mineral-rich top-up water or a general build-up of dissolved material. A falling trace may reflect rain or a water change. None of these patterns identifies a single cause, so the server treats them as possible context and never as a diagnosis. The fuller design, in which the server detects TDS steps against a rolling baseline and asks the owner what happened, depends on whether the channel can resolve such steps above its own noise. Section 4.4.3.1 sets out the tests that answer this question, and the prompting design is deferred until they have been run (Section 3.9.4).</w:t>
      </w:r>
    </w:p>
    <w:p w14:paraId="772654EB" w14:textId="77777777" w:rsidR="00DB1607" w:rsidRPr="00B95EB3" w:rsidRDefault="00000000">
      <w:pPr>
        <w:pStyle w:val="Heading3"/>
        <w:rPr>
          <w:rFonts w:asciiTheme="majorHAnsi" w:hAnsiTheme="majorHAnsi" w:cstheme="majorHAnsi"/>
        </w:rPr>
      </w:pPr>
      <w:bookmarkStart w:id="75" w:name="ph-sensor-and-front-end"/>
      <w:bookmarkStart w:id="76" w:name="_Toc241565697"/>
      <w:bookmarkEnd w:id="72"/>
      <w:bookmarkEnd w:id="74"/>
      <w:r w:rsidRPr="00B95EB3">
        <w:rPr>
          <w:rFonts w:asciiTheme="majorHAnsi" w:hAnsiTheme="majorHAnsi" w:cstheme="majorHAnsi"/>
        </w:rPr>
        <w:t>3.2.5 pH Sensor and Front End</w:t>
      </w:r>
      <w:bookmarkEnd w:id="76"/>
    </w:p>
    <w:p w14:paraId="1494A399"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pH channel uses the DFRobot Gravity analogue industrial pH kit (SEN0169-V2). The kit pairs an industrial-grade glass electrode on a 5 m cable with a signal board that runs from 3.3 V to 5.5 V and outputs 0 V to 3.0 V. The manufacturer quotes an accuracy of ±0.1 pH at 25 °C, a response time under 60 s and a probe life of more than 6 months in continuous use (DFRobot, n.d.).</w:t>
      </w:r>
    </w:p>
    <w:p w14:paraId="2554F189"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earlier design used a pH-201 class electrode with an RS485 Modbus front end on an 8 V rail. A differential RS485 link resists noise on long cables, and it keeps the high-impedance amplifier near the probe. However, the Modbus board failed during bench testing and had to be discarded. The analogue kit was adopted in its place for three reasons. It runs from the ESP32’s own 3.3 V supply, which removed the 8 V rail, both buck converters and the reason for a 12 V battery pack. Its output fits the ESP32 ADC range directly. It also follows the same power-on, sample, power-off pattern as the other sensors, so the firmware needs no separate serial protocol.</w:t>
      </w:r>
    </w:p>
    <w:p w14:paraId="46C2DD26"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analogue board gives up some noise immunity. The signal travels from board to ADC as a voltage and can pick up interference from switching currents or the radio, and three measures limit this. The board sits inside the enclosure next to the ESP32, so the long, sensitive run is the shielded probe cable between the electrode and the board rather than the analogue output. The firmware takes 31 readings and uses their median, as for TDS. The pH reading is also taken with every other water-contact sensor and the radio switched off (Section 3.4.3).</w:t>
      </w:r>
    </w:p>
    <w:p w14:paraId="3CAAE67A"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lastRenderedPageBreak/>
        <w:t>A glass electrode has a source resistance from the megohm to the gigohm range (Analog Devices, 2014), which makes the front end sensitive to leakage, moisture and cable movement. The board and BNC connector must stay dry and clean, and the BNC area should not be conformally coated, since a coating can itself create a leakage path.</w:t>
      </w:r>
    </w:p>
    <w:p w14:paraId="0358B0D6"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b/>
          <w:bCs/>
        </w:rPr>
        <w:t>Calibration.</w:t>
      </w:r>
      <w:r w:rsidRPr="00B95EB3">
        <w:rPr>
          <w:rFonts w:asciiTheme="majorHAnsi" w:hAnsiTheme="majorHAnsi" w:cstheme="majorHAnsi"/>
        </w:rPr>
        <w:t xml:space="preserve"> The firmware supports four buffers (pH 10.01, 9.18, 7.00 and 6.86). Each buffer’s pH is stored as a table against temperature from 10 °C to 40 °C, so a calibration taken at, for example, 29 °C uses that buffer’s true pH at 29 °C rather than its nominal value. The node fits a least-squares line through all calibrated points and stores the fitted slope referred to 25 °C. When converting a reading, it rescales the slope to the current water temperature using the Nernst relation, since an electrode’s millivolt-per-pH slope rises in proportion to absolute temperature. The fit is rejected if the calibration voltages are nearly identical, which catches the case where the probe was left in the same buffer twice. At least two points are required. The manufacturer recommends two-point calibration with pH 7.0 and 4.0 buffers (DFRobot, n.d.). This project uses buffers that bracket the expected pond range of about pH 6.5 to 9, because a calibration is most accurate between its end points.</w:t>
      </w:r>
    </w:p>
    <w:p w14:paraId="7C84C566"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b/>
          <w:bCs/>
        </w:rPr>
        <w:t>Settling.</w:t>
      </w:r>
      <w:r w:rsidRPr="00B95EB3">
        <w:rPr>
          <w:rFonts w:asciiTheme="majorHAnsi" w:hAnsiTheme="majorHAnsi" w:cstheme="majorHAnsi"/>
        </w:rPr>
        <w:t xml:space="preserve"> The pH board needs time to settle after power is applied. The original firmware waited a fixed 5 s before every reading. The refactored firmware instead reads the output every 200 ms and accepts the value once three consecutive readings fall within 3 mV of each other, with the same 5 s as an upper limit. The worst case is therefore unchanged, while the typical case should be shorter. This matters because pH settling is the longest step in the wake cycle. The 3 mV tolerance is a starting value and has to be tuned against the real probe using the node’s 30-second settle log (Section 4.4.2).</w:t>
      </w:r>
    </w:p>
    <w:p w14:paraId="0C95DB16"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manufacturer’s 60-second response time describes the electrode’s response to a change of solution, such as moving from one buffer to another. In continuous immersion the electrode is already in equilibrium with the pond, and the glass membrane continues to generate its potential while the board is unpowered. The settle window therefore only needs to cover the board’s electrical start-up. This reasoning is the basis for a settle window of seconds rather than a minute, and the settle log in Section 4.4.2 tests it.</w:t>
      </w:r>
    </w:p>
    <w:p w14:paraId="6C028660" w14:textId="77777777" w:rsidR="00DB1607" w:rsidRPr="00B95EB3" w:rsidRDefault="00000000">
      <w:pPr>
        <w:pStyle w:val="Heading3"/>
        <w:rPr>
          <w:rFonts w:asciiTheme="majorHAnsi" w:hAnsiTheme="majorHAnsi" w:cstheme="majorHAnsi"/>
        </w:rPr>
      </w:pPr>
      <w:bookmarkStart w:id="77" w:name="light-and-colour-sensors"/>
      <w:bookmarkStart w:id="78" w:name="_Toc241565698"/>
      <w:bookmarkEnd w:id="75"/>
      <w:r w:rsidRPr="00B95EB3">
        <w:rPr>
          <w:rFonts w:asciiTheme="majorHAnsi" w:hAnsiTheme="majorHAnsi" w:cstheme="majorHAnsi"/>
        </w:rPr>
        <w:lastRenderedPageBreak/>
        <w:t>3.2.6 Light and Colour Sensors</w:t>
      </w:r>
      <w:bookmarkEnd w:id="78"/>
    </w:p>
    <w:p w14:paraId="37E9F13C"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TSL2591 ambient light sensor supplies the light term for the algae model and the chemistry engine’s day and night classification. It is powered from GPIO26 and read on the first I2C controller (GPIO21 and GPIO22). The sensor has a wide dynamic range, but no single gain setting covers both shade and direct tropical sun. The firmware therefore starts at the medium gain (25×) with a 100 ms integration time. It steps down to low gain (1×) if either channel saturates and steps up to high gain (428×) if the visible channel reads below 100 counts, with at most four attempts. The lux value is calculated from the two channel counts using the manufacturer’s formula (ams OSRAM, 2023a). A reading still saturated at the lowest gain is kept and flagged as saturated.</w:t>
      </w:r>
    </w:p>
    <w:p w14:paraId="24D8550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GY-33 colour path reads a colorimetric ammonia indicator and gives a colour-based pH cross-check. The TSL2591 and a TCS34725-based colour module share I2C address 0x29 and cannot sit on one unmodified bus. The firmware resolves this by placing the GY-33 on the ESP32’s second I2C controller (GPIO18 and GPIO19), where it answers at 0x5A, and powering it from GPIO32. The colour channel’s optical design and calibration are treated separately from this report’s system design.</w:t>
      </w:r>
    </w:p>
    <w:p w14:paraId="1A43ADCA"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Colour measurements need a fixed optical chamber, fixed distance, a dark inner surface and a known LED level. Ambient light should be recorded first. The colour LED should then turn on for the badge reading and turn off immediately afterwards. The ESP32-CAM flash must not run at the same time because it would change the colour and light readings.</w:t>
      </w:r>
    </w:p>
    <w:p w14:paraId="316EDE99"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3.2. Light and colour sensing figures (ams OSRAM, 2023a, 2023b).</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379"/>
        <w:gridCol w:w="1115"/>
        <w:gridCol w:w="1628"/>
        <w:gridCol w:w="1944"/>
        <w:gridCol w:w="3120"/>
      </w:tblGrid>
      <w:tr w:rsidR="00DB1607" w:rsidRPr="00B95EB3" w14:paraId="1D3BE0FD"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055E609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Device</w:t>
            </w:r>
          </w:p>
        </w:tc>
        <w:tc>
          <w:tcPr>
            <w:tcW w:w="0" w:type="auto"/>
            <w:shd w:val="clear" w:color="auto" w:fill="EDEFF2"/>
          </w:tcPr>
          <w:p w14:paraId="10AD100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Supply</w:t>
            </w:r>
          </w:p>
        </w:tc>
        <w:tc>
          <w:tcPr>
            <w:tcW w:w="0" w:type="auto"/>
            <w:shd w:val="clear" w:color="auto" w:fill="EDEFF2"/>
          </w:tcPr>
          <w:p w14:paraId="5A4C775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Active current</w:t>
            </w:r>
          </w:p>
        </w:tc>
        <w:tc>
          <w:tcPr>
            <w:tcW w:w="0" w:type="auto"/>
            <w:shd w:val="clear" w:color="auto" w:fill="EDEFF2"/>
          </w:tcPr>
          <w:p w14:paraId="428C2C0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Sleep or wait current</w:t>
            </w:r>
          </w:p>
        </w:tc>
        <w:tc>
          <w:tcPr>
            <w:tcW w:w="0" w:type="auto"/>
            <w:shd w:val="clear" w:color="auto" w:fill="EDEFF2"/>
          </w:tcPr>
          <w:p w14:paraId="16823BC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Power design allowance</w:t>
            </w:r>
          </w:p>
        </w:tc>
      </w:tr>
      <w:tr w:rsidR="00DB1607" w:rsidRPr="00B95EB3" w14:paraId="7680D6B4" w14:textId="77777777">
        <w:tc>
          <w:tcPr>
            <w:tcW w:w="0" w:type="auto"/>
          </w:tcPr>
          <w:p w14:paraId="1D331D6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TSL2591 chip</w:t>
            </w:r>
          </w:p>
        </w:tc>
        <w:tc>
          <w:tcPr>
            <w:tcW w:w="0" w:type="auto"/>
          </w:tcPr>
          <w:p w14:paraId="4CFAF96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2.7 to 3.6 V</w:t>
            </w:r>
          </w:p>
        </w:tc>
        <w:tc>
          <w:tcPr>
            <w:tcW w:w="0" w:type="auto"/>
          </w:tcPr>
          <w:p w14:paraId="533F35E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325 µA maximum</w:t>
            </w:r>
          </w:p>
        </w:tc>
        <w:tc>
          <w:tcPr>
            <w:tcW w:w="0" w:type="auto"/>
          </w:tcPr>
          <w:p w14:paraId="3B044D1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4 µA maximum</w:t>
            </w:r>
          </w:p>
        </w:tc>
        <w:tc>
          <w:tcPr>
            <w:tcW w:w="0" w:type="auto"/>
          </w:tcPr>
          <w:p w14:paraId="2F0F3C1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 mA at 3.3 V for the module</w:t>
            </w:r>
          </w:p>
        </w:tc>
      </w:tr>
      <w:tr w:rsidR="00DB1607" w:rsidRPr="00B95EB3" w14:paraId="5738FE22" w14:textId="77777777">
        <w:tc>
          <w:tcPr>
            <w:tcW w:w="0" w:type="auto"/>
          </w:tcPr>
          <w:p w14:paraId="47B9B8D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TCS34725 chip</w:t>
            </w:r>
          </w:p>
        </w:tc>
        <w:tc>
          <w:tcPr>
            <w:tcW w:w="0" w:type="auto"/>
          </w:tcPr>
          <w:p w14:paraId="3AF5F1B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2.7 to 3.6 V</w:t>
            </w:r>
          </w:p>
        </w:tc>
        <w:tc>
          <w:tcPr>
            <w:tcW w:w="0" w:type="auto"/>
          </w:tcPr>
          <w:p w14:paraId="0845F35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330 µA maximum</w:t>
            </w:r>
          </w:p>
        </w:tc>
        <w:tc>
          <w:tcPr>
            <w:tcW w:w="0" w:type="auto"/>
          </w:tcPr>
          <w:p w14:paraId="7E95E50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65 µA wait typical</w:t>
            </w:r>
          </w:p>
        </w:tc>
        <w:tc>
          <w:tcPr>
            <w:tcW w:w="0" w:type="auto"/>
          </w:tcPr>
          <w:p w14:paraId="577FA71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Module dependent, LED dominated</w:t>
            </w:r>
          </w:p>
        </w:tc>
      </w:tr>
    </w:tbl>
    <w:p w14:paraId="407A38B7" w14:textId="77777777" w:rsidR="00DB1607" w:rsidRPr="00B95EB3" w:rsidRDefault="00000000">
      <w:pPr>
        <w:pStyle w:val="Heading3"/>
        <w:rPr>
          <w:rFonts w:asciiTheme="majorHAnsi" w:hAnsiTheme="majorHAnsi" w:cstheme="majorHAnsi"/>
        </w:rPr>
      </w:pPr>
      <w:bookmarkStart w:id="79" w:name="esp32-cam-module"/>
      <w:bookmarkStart w:id="80" w:name="_Toc241565699"/>
      <w:bookmarkEnd w:id="77"/>
      <w:r w:rsidRPr="00B95EB3">
        <w:rPr>
          <w:rFonts w:asciiTheme="majorHAnsi" w:hAnsiTheme="majorHAnsi" w:cstheme="majorHAnsi"/>
        </w:rPr>
        <w:t>3.2.7 ESP32-CAM Module</w:t>
      </w:r>
      <w:bookmarkEnd w:id="80"/>
    </w:p>
    <w:p w14:paraId="2BDEA092"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ESP32-CAM combines an ESP32, an OV2640 camera, PSRAM and Wi-Fi on one board. The firmware captures a JPEG at 640 × 480 pixels, quality setting 12, with one frame buffer and a 10 MHz camera clock. This keeps memory use and upload time well below a full-resolution image while keeping enough colour detail for surface analysis.</w:t>
      </w:r>
    </w:p>
    <w:p w14:paraId="16C2BD95"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lastRenderedPageBreak/>
        <w:t>Table 3.3. ESP32-CAM board power figures (DFRobot, 2026b).</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4253"/>
        <w:gridCol w:w="2378"/>
        <w:gridCol w:w="1263"/>
        <w:gridCol w:w="1292"/>
      </w:tblGrid>
      <w:tr w:rsidR="00DB1607" w:rsidRPr="00B95EB3" w14:paraId="5A3BA2E3"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47EFCDF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Condition</w:t>
            </w:r>
          </w:p>
        </w:tc>
        <w:tc>
          <w:tcPr>
            <w:tcW w:w="0" w:type="auto"/>
            <w:shd w:val="clear" w:color="auto" w:fill="EDEFF2"/>
          </w:tcPr>
          <w:p w14:paraId="55BDC94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Current</w:t>
            </w:r>
          </w:p>
        </w:tc>
        <w:tc>
          <w:tcPr>
            <w:tcW w:w="0" w:type="auto"/>
            <w:shd w:val="clear" w:color="auto" w:fill="EDEFF2"/>
          </w:tcPr>
          <w:p w14:paraId="6CDFCAB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Supply</w:t>
            </w:r>
          </w:p>
        </w:tc>
        <w:tc>
          <w:tcPr>
            <w:tcW w:w="0" w:type="auto"/>
            <w:shd w:val="clear" w:color="auto" w:fill="EDEFF2"/>
          </w:tcPr>
          <w:p w14:paraId="6070961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Power</w:t>
            </w:r>
          </w:p>
        </w:tc>
      </w:tr>
      <w:tr w:rsidR="00DB1607" w:rsidRPr="00B95EB3" w14:paraId="157DB2B9" w14:textId="77777777">
        <w:tc>
          <w:tcPr>
            <w:tcW w:w="0" w:type="auto"/>
          </w:tcPr>
          <w:p w14:paraId="3CE4BBD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Flash off</w:t>
            </w:r>
          </w:p>
        </w:tc>
        <w:tc>
          <w:tcPr>
            <w:tcW w:w="0" w:type="auto"/>
          </w:tcPr>
          <w:p w14:paraId="2E0673E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180 mA typical</w:t>
            </w:r>
          </w:p>
        </w:tc>
        <w:tc>
          <w:tcPr>
            <w:tcW w:w="0" w:type="auto"/>
          </w:tcPr>
          <w:p w14:paraId="489A48F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5 V</w:t>
            </w:r>
          </w:p>
        </w:tc>
        <w:tc>
          <w:tcPr>
            <w:tcW w:w="0" w:type="auto"/>
          </w:tcPr>
          <w:p w14:paraId="61EE7EA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0.90 W</w:t>
            </w:r>
          </w:p>
        </w:tc>
      </w:tr>
      <w:tr w:rsidR="00DB1607" w:rsidRPr="00B95EB3" w14:paraId="50720CFA" w14:textId="77777777">
        <w:tc>
          <w:tcPr>
            <w:tcW w:w="0" w:type="auto"/>
          </w:tcPr>
          <w:p w14:paraId="123E25D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Flash at full brightness</w:t>
            </w:r>
          </w:p>
        </w:tc>
        <w:tc>
          <w:tcPr>
            <w:tcW w:w="0" w:type="auto"/>
          </w:tcPr>
          <w:p w14:paraId="753DAF1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310 mA</w:t>
            </w:r>
          </w:p>
        </w:tc>
        <w:tc>
          <w:tcPr>
            <w:tcW w:w="0" w:type="auto"/>
          </w:tcPr>
          <w:p w14:paraId="5A741D3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5 V</w:t>
            </w:r>
          </w:p>
        </w:tc>
        <w:tc>
          <w:tcPr>
            <w:tcW w:w="0" w:type="auto"/>
          </w:tcPr>
          <w:p w14:paraId="3390AE0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1.55 W</w:t>
            </w:r>
          </w:p>
        </w:tc>
      </w:tr>
      <w:tr w:rsidR="00DB1607" w:rsidRPr="00B95EB3" w14:paraId="2E306850" w14:textId="77777777">
        <w:tc>
          <w:tcPr>
            <w:tcW w:w="0" w:type="auto"/>
          </w:tcPr>
          <w:p w14:paraId="4268AE0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Modem sleep</w:t>
            </w:r>
          </w:p>
        </w:tc>
        <w:tc>
          <w:tcPr>
            <w:tcW w:w="0" w:type="auto"/>
          </w:tcPr>
          <w:p w14:paraId="44E85EB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20 mA</w:t>
            </w:r>
          </w:p>
        </w:tc>
        <w:tc>
          <w:tcPr>
            <w:tcW w:w="0" w:type="auto"/>
          </w:tcPr>
          <w:p w14:paraId="2187549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5 V</w:t>
            </w:r>
          </w:p>
        </w:tc>
        <w:tc>
          <w:tcPr>
            <w:tcW w:w="0" w:type="auto"/>
          </w:tcPr>
          <w:p w14:paraId="5FC5468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0.10 W</w:t>
            </w:r>
          </w:p>
        </w:tc>
      </w:tr>
      <w:tr w:rsidR="00DB1607" w:rsidRPr="00B95EB3" w14:paraId="52365BC0" w14:textId="77777777">
        <w:tc>
          <w:tcPr>
            <w:tcW w:w="0" w:type="auto"/>
          </w:tcPr>
          <w:p w14:paraId="121E9DC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Deep sleep, complete board</w:t>
            </w:r>
          </w:p>
        </w:tc>
        <w:tc>
          <w:tcPr>
            <w:tcW w:w="0" w:type="auto"/>
          </w:tcPr>
          <w:p w14:paraId="3B97B78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6 mA</w:t>
            </w:r>
          </w:p>
        </w:tc>
        <w:tc>
          <w:tcPr>
            <w:tcW w:w="0" w:type="auto"/>
          </w:tcPr>
          <w:p w14:paraId="4668A6E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5 V</w:t>
            </w:r>
          </w:p>
        </w:tc>
        <w:tc>
          <w:tcPr>
            <w:tcW w:w="0" w:type="auto"/>
          </w:tcPr>
          <w:p w14:paraId="37D71B1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0.03 W</w:t>
            </w:r>
          </w:p>
        </w:tc>
      </w:tr>
    </w:tbl>
    <w:p w14:paraId="0A6AC944"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The board’s 6 mA deep sleep current is small beside its active current, but it flows all day and uses about 144 mAh from the 5 V supply each day even if no image is taken. The firmware reduces avoidable draw during sleep by holding the camera in power-down and the flash LED off with RTC GPIO holds. The board’s regulator and support parts still draw current. A load switch or timed latch that removes camera power completely between captures would make the camera’s energy use follow the number of images instead of the number of hours, and is listed as an improvement in Section 8.4.</w:t>
      </w:r>
    </w:p>
    <w:p w14:paraId="3DB7FA7D" w14:textId="77777777" w:rsidR="00DB1607" w:rsidRPr="00B95EB3" w:rsidRDefault="00000000">
      <w:pPr>
        <w:pStyle w:val="Heading3"/>
        <w:rPr>
          <w:rFonts w:asciiTheme="majorHAnsi" w:hAnsiTheme="majorHAnsi" w:cstheme="majorHAnsi"/>
        </w:rPr>
      </w:pPr>
      <w:bookmarkStart w:id="81" w:name="power-supply-and-regulation"/>
      <w:bookmarkStart w:id="82" w:name="_Toc241565700"/>
      <w:bookmarkEnd w:id="79"/>
      <w:r w:rsidRPr="00B95EB3">
        <w:rPr>
          <w:rFonts w:asciiTheme="majorHAnsi" w:hAnsiTheme="majorHAnsi" w:cstheme="majorHAnsi"/>
        </w:rPr>
        <w:t>3.2.8 Power Supply and Regulation</w:t>
      </w:r>
      <w:bookmarkEnd w:id="82"/>
    </w:p>
    <w:p w14:paraId="56115D82"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With every sensor now running at 3.3 V from GPIO pins, the whole sensor node runs from the ESP32 board’s 3.3 V supply. The design no longer needs a high-voltage pack or step-down converters to create separate rails. This leaves the choice of battery and regulator as a question of service life rather than of correct operation.</w:t>
      </w:r>
    </w:p>
    <w:p w14:paraId="733D24B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For testing, the node is powered from four AAA cells (about 6 V from fresh alkaline cells) through a breadboard power supply module, with the camera node on its own supply. This keeps the test arrangement simple and lets either node be restarted without affecting the other. Two points about the regulator follow from this choice.</w:t>
      </w:r>
    </w:p>
    <w:p w14:paraId="0BB71857"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First, a linear regulator draws roughly the same current from the battery as the load draws from its output. The difference in voltage is lost as heat. Dropping 6 V to 3.3 V linearly therefore wastes about 45 % of the pack’s energy at the start of discharge. A buck converter at around 85 % efficiency draws less input current than its output current, and would extend the service interval by roughly a quarter to a third at this input voltage (Table 3.5).</w:t>
      </w:r>
    </w:p>
    <w:p w14:paraId="0A2D8592"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xml:space="preserve">Second, a common AMS1117-class linear regulator needs roughly 1 V of headroom above its output to stay in regulation (Advanced Monolithic Systems, n.d.). A 3.3 V output therefore needs about 4.3 V to 4.4 V at the input. Four alkaline cells fall to about 4.4 V well before </w:t>
      </w:r>
      <w:r w:rsidRPr="00B95EB3">
        <w:rPr>
          <w:rFonts w:asciiTheme="majorHAnsi" w:hAnsiTheme="majorHAnsi" w:cstheme="majorHAnsi"/>
        </w:rPr>
        <w:lastRenderedPageBreak/>
        <w:t>they are fully discharged, so the node would lose regulation while the pack still holds usable charge. Breadboard supply modules of this type are also commonly specified for inputs of about 6.5 V and above on their 5 V output, so the node should take its supply from the module’s 3.3 V output. The input rating of the specific module used should be checked against the pack before an endurance run.</w:t>
      </w:r>
    </w:p>
    <w:p w14:paraId="0F69DBDA"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For these reasons a buck converter, or a low-dropout regulator with a low quiescent current, is the preferred arrangement for any run intended to measure service life. It is not required for correct operation, and bench testing can continue on the simpler supply.</w:t>
      </w:r>
    </w:p>
    <w:p w14:paraId="6B23FB4E" w14:textId="77777777" w:rsidR="00DB1607" w:rsidRPr="00B95EB3" w:rsidRDefault="00000000">
      <w:pPr>
        <w:pStyle w:val="Heading2"/>
        <w:rPr>
          <w:rFonts w:asciiTheme="majorHAnsi" w:hAnsiTheme="majorHAnsi" w:cstheme="majorHAnsi"/>
        </w:rPr>
      </w:pPr>
      <w:bookmarkStart w:id="83" w:name="power-budget"/>
      <w:bookmarkStart w:id="84" w:name="_Toc241565701"/>
      <w:bookmarkEnd w:id="64"/>
      <w:bookmarkEnd w:id="81"/>
      <w:r w:rsidRPr="00B95EB3">
        <w:rPr>
          <w:rFonts w:asciiTheme="majorHAnsi" w:hAnsiTheme="majorHAnsi" w:cstheme="majorHAnsi"/>
        </w:rPr>
        <w:t>3.3 Power Budget</w:t>
      </w:r>
      <w:bookmarkEnd w:id="84"/>
    </w:p>
    <w:p w14:paraId="5E6CD99E" w14:textId="77777777" w:rsidR="00DB1607" w:rsidRPr="00B95EB3" w:rsidRDefault="00000000">
      <w:pPr>
        <w:pStyle w:val="Heading3"/>
        <w:rPr>
          <w:rFonts w:asciiTheme="majorHAnsi" w:hAnsiTheme="majorHAnsi" w:cstheme="majorHAnsi"/>
        </w:rPr>
      </w:pPr>
      <w:bookmarkStart w:id="85" w:name="load-figures"/>
      <w:bookmarkStart w:id="86" w:name="_Toc241565702"/>
      <w:r w:rsidRPr="00B95EB3">
        <w:rPr>
          <w:rFonts w:asciiTheme="majorHAnsi" w:hAnsiTheme="majorHAnsi" w:cstheme="majorHAnsi"/>
        </w:rPr>
        <w:t>3.3.1 Load Figures</w:t>
      </w:r>
      <w:bookmarkEnd w:id="86"/>
    </w:p>
    <w:p w14:paraId="10E56D06"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Table 3.4 lists the loads on the sensor node. Only one sensor is powered at a time, so the node’s current during sensing is set by the ESP32 itself plus a single sensor, and the radio is never active while a sensor is powered.</w:t>
      </w:r>
    </w:p>
    <w:p w14:paraId="4C9444DD"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3.4. Sensor node loads. Figures marked as design assumptions are replaced by the measurements in Section 4.4.7.</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2837"/>
        <w:gridCol w:w="1979"/>
        <w:gridCol w:w="4370"/>
      </w:tblGrid>
      <w:tr w:rsidR="00DB1607" w:rsidRPr="00B95EB3" w14:paraId="795FB084"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6F22A94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Load</w:t>
            </w:r>
          </w:p>
        </w:tc>
        <w:tc>
          <w:tcPr>
            <w:tcW w:w="0" w:type="auto"/>
            <w:shd w:val="clear" w:color="auto" w:fill="EDEFF2"/>
          </w:tcPr>
          <w:p w14:paraId="1FC4DE3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Current</w:t>
            </w:r>
          </w:p>
        </w:tc>
        <w:tc>
          <w:tcPr>
            <w:tcW w:w="0" w:type="auto"/>
            <w:shd w:val="clear" w:color="auto" w:fill="EDEFF2"/>
          </w:tcPr>
          <w:p w14:paraId="5E8D9A2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Basis</w:t>
            </w:r>
          </w:p>
        </w:tc>
      </w:tr>
      <w:tr w:rsidR="00DB1607" w:rsidRPr="00B95EB3" w14:paraId="24D8EAD8" w14:textId="77777777">
        <w:tc>
          <w:tcPr>
            <w:tcW w:w="0" w:type="auto"/>
          </w:tcPr>
          <w:p w14:paraId="6703BCC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ESP32 with radio off</w:t>
            </w:r>
          </w:p>
        </w:tc>
        <w:tc>
          <w:tcPr>
            <w:tcW w:w="0" w:type="auto"/>
          </w:tcPr>
          <w:p w14:paraId="156EE04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about 40 to 50 mA</w:t>
            </w:r>
          </w:p>
        </w:tc>
        <w:tc>
          <w:tcPr>
            <w:tcW w:w="0" w:type="auto"/>
          </w:tcPr>
          <w:p w14:paraId="599E315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Design assumption for CPU active at 240 MHz</w:t>
            </w:r>
          </w:p>
        </w:tc>
      </w:tr>
      <w:tr w:rsidR="00DB1607" w:rsidRPr="00B95EB3" w14:paraId="17F34214" w14:textId="77777777">
        <w:tc>
          <w:tcPr>
            <w:tcW w:w="0" w:type="auto"/>
          </w:tcPr>
          <w:p w14:paraId="30B6387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ESP32 Wi-Fi connect and send</w:t>
            </w:r>
          </w:p>
        </w:tc>
        <w:tc>
          <w:tcPr>
            <w:tcW w:w="0" w:type="auto"/>
          </w:tcPr>
          <w:p w14:paraId="599FDD9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about 120 mA mean</w:t>
            </w:r>
          </w:p>
        </w:tc>
        <w:tc>
          <w:tcPr>
            <w:tcW w:w="0" w:type="auto"/>
          </w:tcPr>
          <w:p w14:paraId="650550A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Design assumption averaged over the upload</w:t>
            </w:r>
          </w:p>
        </w:tc>
      </w:tr>
      <w:tr w:rsidR="00DB1607" w:rsidRPr="00B95EB3" w14:paraId="0ED973D0" w14:textId="77777777">
        <w:tc>
          <w:tcPr>
            <w:tcW w:w="0" w:type="auto"/>
          </w:tcPr>
          <w:p w14:paraId="6A3AA9F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Wi-Fi transmit peak</w:t>
            </w:r>
          </w:p>
        </w:tc>
        <w:tc>
          <w:tcPr>
            <w:tcW w:w="0" w:type="auto"/>
          </w:tcPr>
          <w:p w14:paraId="67976B7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up to 379 mA</w:t>
            </w:r>
          </w:p>
        </w:tc>
        <w:tc>
          <w:tcPr>
            <w:tcW w:w="0" w:type="auto"/>
          </w:tcPr>
          <w:p w14:paraId="3703261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Datasheet worst case, sets decoupling</w:t>
            </w:r>
          </w:p>
        </w:tc>
      </w:tr>
      <w:tr w:rsidR="00DB1607" w:rsidRPr="00B95EB3" w14:paraId="1FCAFCD7" w14:textId="77777777">
        <w:tc>
          <w:tcPr>
            <w:tcW w:w="0" w:type="auto"/>
          </w:tcPr>
          <w:p w14:paraId="473CA72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DS18B20 conversion</w:t>
            </w:r>
          </w:p>
        </w:tc>
        <w:tc>
          <w:tcPr>
            <w:tcW w:w="0" w:type="auto"/>
          </w:tcPr>
          <w:p w14:paraId="7CE5BD5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1.5 mA</w:t>
            </w:r>
          </w:p>
        </w:tc>
        <w:tc>
          <w:tcPr>
            <w:tcW w:w="0" w:type="auto"/>
          </w:tcPr>
          <w:p w14:paraId="149E811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Datasheet maximum</w:t>
            </w:r>
          </w:p>
        </w:tc>
      </w:tr>
      <w:tr w:rsidR="00DB1607" w:rsidRPr="00B95EB3" w14:paraId="6E120412" w14:textId="77777777">
        <w:tc>
          <w:tcPr>
            <w:tcW w:w="0" w:type="auto"/>
          </w:tcPr>
          <w:p w14:paraId="4952816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TDS board</w:t>
            </w:r>
          </w:p>
        </w:tc>
        <w:tc>
          <w:tcPr>
            <w:tcW w:w="0" w:type="auto"/>
          </w:tcPr>
          <w:p w14:paraId="7D3AEFD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up to 6 mA</w:t>
            </w:r>
          </w:p>
        </w:tc>
        <w:tc>
          <w:tcPr>
            <w:tcW w:w="0" w:type="auto"/>
          </w:tcPr>
          <w:p w14:paraId="5910A18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Published maximum</w:t>
            </w:r>
          </w:p>
        </w:tc>
      </w:tr>
      <w:tr w:rsidR="00DB1607" w:rsidRPr="00B95EB3" w14:paraId="3DAD487D" w14:textId="77777777">
        <w:tc>
          <w:tcPr>
            <w:tcW w:w="0" w:type="auto"/>
          </w:tcPr>
          <w:p w14:paraId="443317A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pH board</w:t>
            </w:r>
          </w:p>
        </w:tc>
        <w:tc>
          <w:tcPr>
            <w:tcW w:w="0" w:type="auto"/>
          </w:tcPr>
          <w:p w14:paraId="772052D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 few mA</w:t>
            </w:r>
          </w:p>
        </w:tc>
        <w:tc>
          <w:tcPr>
            <w:tcW w:w="0" w:type="auto"/>
          </w:tcPr>
          <w:p w14:paraId="2E16D9C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measured, Section 4.4.7</w:t>
            </w:r>
          </w:p>
        </w:tc>
      </w:tr>
      <w:tr w:rsidR="00DB1607" w:rsidRPr="00B95EB3" w14:paraId="1C33667F" w14:textId="77777777">
        <w:tc>
          <w:tcPr>
            <w:tcW w:w="0" w:type="auto"/>
          </w:tcPr>
          <w:p w14:paraId="3BC2A8C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TSL2591 module</w:t>
            </w:r>
          </w:p>
        </w:tc>
        <w:tc>
          <w:tcPr>
            <w:tcW w:w="0" w:type="auto"/>
          </w:tcPr>
          <w:p w14:paraId="35D2553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under 1 mA</w:t>
            </w:r>
          </w:p>
        </w:tc>
        <w:tc>
          <w:tcPr>
            <w:tcW w:w="0" w:type="auto"/>
          </w:tcPr>
          <w:p w14:paraId="611C77F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Module allowance</w:t>
            </w:r>
          </w:p>
        </w:tc>
      </w:tr>
      <w:tr w:rsidR="00DB1607" w:rsidRPr="00B95EB3" w14:paraId="2D9BEB85" w14:textId="77777777">
        <w:tc>
          <w:tcPr>
            <w:tcW w:w="0" w:type="auto"/>
          </w:tcPr>
          <w:p w14:paraId="7AEFE43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GY-33 with LED</w:t>
            </w:r>
          </w:p>
        </w:tc>
        <w:tc>
          <w:tcPr>
            <w:tcW w:w="0" w:type="auto"/>
          </w:tcPr>
          <w:p w14:paraId="6012CFC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module dependent</w:t>
            </w:r>
          </w:p>
        </w:tc>
        <w:tc>
          <w:tcPr>
            <w:tcW w:w="0" w:type="auto"/>
          </w:tcPr>
          <w:p w14:paraId="4CBA996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LED dominated, measured separately</w:t>
            </w:r>
          </w:p>
        </w:tc>
      </w:tr>
      <w:tr w:rsidR="00DB1607" w:rsidRPr="00B95EB3" w14:paraId="417638E5" w14:textId="77777777">
        <w:tc>
          <w:tcPr>
            <w:tcW w:w="0" w:type="auto"/>
          </w:tcPr>
          <w:p w14:paraId="51A724C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Development board in sleep</w:t>
            </w:r>
          </w:p>
        </w:tc>
        <w:tc>
          <w:tcPr>
            <w:tcW w:w="0" w:type="auto"/>
          </w:tcPr>
          <w:p w14:paraId="1439FF5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about 5 to 10 mA</w:t>
            </w:r>
          </w:p>
        </w:tc>
        <w:tc>
          <w:tcPr>
            <w:tcW w:w="0" w:type="auto"/>
          </w:tcPr>
          <w:p w14:paraId="100596C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Regulator, USB bridge and LED, to be measured</w:t>
            </w:r>
          </w:p>
        </w:tc>
      </w:tr>
    </w:tbl>
    <w:p w14:paraId="6F71728B" w14:textId="77777777" w:rsidR="00DB1607" w:rsidRPr="00B95EB3" w:rsidRDefault="00000000">
      <w:pPr>
        <w:pStyle w:val="Heading3"/>
        <w:rPr>
          <w:rFonts w:asciiTheme="majorHAnsi" w:hAnsiTheme="majorHAnsi" w:cstheme="majorHAnsi"/>
        </w:rPr>
      </w:pPr>
      <w:bookmarkStart w:id="87" w:name="energy-per-cycle-and-service-estimate"/>
      <w:bookmarkStart w:id="88" w:name="_Toc241565703"/>
      <w:bookmarkEnd w:id="85"/>
      <w:r w:rsidRPr="00B95EB3">
        <w:rPr>
          <w:rFonts w:asciiTheme="majorHAnsi" w:hAnsiTheme="majorHAnsi" w:cstheme="majorHAnsi"/>
        </w:rPr>
        <w:t>3.3.2 Energy per Cycle and Service Estimate</w:t>
      </w:r>
      <w:bookmarkEnd w:id="88"/>
    </w:p>
    <w:p w14:paraId="6E443807"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Average battery life depends far more on sleep current and wake duration than on the short radio peak. The following estimate uses the firmware’s actual timing and states each assumption so that the measured result in Section 4.6.1 can be compared with it.</w:t>
      </w:r>
    </w:p>
    <w:p w14:paraId="4A26565C"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sensing window lasts about 10 s to 13 s per cycle. The TDS reading takes about 2.6 s, the light and colour readings about 2 s to 3 s, the temperature reading about 1.8 s and the pH reading up to 5.6 s. Taking 12 s at 50 mA plus a 4 s upload at 120 mA gives about 0.30 mAh per cycle. At the 5-minute production interval this is 288 cycles and about 86 mAh per day. The node sleeps for the remaining 22.7 hours. A development board drawing 8 mA in sleep consumes about 180 mAh per day in sleep alone, while a board with its power LED removed and a low-quiescent regulator might draw 0.2 mA, or about 5 mAh per day.</w:t>
      </w:r>
    </w:p>
    <w:p w14:paraId="3BCBDDF7"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3.5. Service estimates from the stated assumptions. Usable capacity is derated to allow for the regulator’s dropout and cell temperature. These are design estimates and are replaced by the Tier 3 measurement.</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3648"/>
        <w:gridCol w:w="1848"/>
        <w:gridCol w:w="1805"/>
        <w:gridCol w:w="1885"/>
      </w:tblGrid>
      <w:tr w:rsidR="00DB1607" w:rsidRPr="00B95EB3" w14:paraId="1F7F3427"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170F1EB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Arrangement</w:t>
            </w:r>
          </w:p>
        </w:tc>
        <w:tc>
          <w:tcPr>
            <w:tcW w:w="0" w:type="auto"/>
            <w:shd w:val="clear" w:color="auto" w:fill="EDEFF2"/>
          </w:tcPr>
          <w:p w14:paraId="3A19AE4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Pack current/day</w:t>
            </w:r>
          </w:p>
        </w:tc>
        <w:tc>
          <w:tcPr>
            <w:tcW w:w="0" w:type="auto"/>
            <w:shd w:val="clear" w:color="auto" w:fill="EDEFF2"/>
          </w:tcPr>
          <w:p w14:paraId="064030F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Usable capacity</w:t>
            </w:r>
          </w:p>
        </w:tc>
        <w:tc>
          <w:tcPr>
            <w:tcW w:w="0" w:type="auto"/>
            <w:shd w:val="clear" w:color="auto" w:fill="EDEFF2"/>
          </w:tcPr>
          <w:p w14:paraId="67A4272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Estimated service</w:t>
            </w:r>
          </w:p>
        </w:tc>
      </w:tr>
      <w:tr w:rsidR="00DB1607" w:rsidRPr="00B95EB3" w14:paraId="5209FC0C" w14:textId="77777777">
        <w:tc>
          <w:tcPr>
            <w:tcW w:w="0" w:type="auto"/>
          </w:tcPr>
          <w:p w14:paraId="6E0070F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Development board, linear regulator</w:t>
            </w:r>
          </w:p>
        </w:tc>
        <w:tc>
          <w:tcPr>
            <w:tcW w:w="0" w:type="auto"/>
          </w:tcPr>
          <w:p w14:paraId="21FB9C4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about 270 mAh</w:t>
            </w:r>
          </w:p>
        </w:tc>
        <w:tc>
          <w:tcPr>
            <w:tcW w:w="0" w:type="auto"/>
          </w:tcPr>
          <w:p w14:paraId="4CA7787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800 mAh (4 AAA)</w:t>
            </w:r>
          </w:p>
        </w:tc>
        <w:tc>
          <w:tcPr>
            <w:tcW w:w="0" w:type="auto"/>
          </w:tcPr>
          <w:p w14:paraId="4FC4F57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about 3 days</w:t>
            </w:r>
          </w:p>
        </w:tc>
      </w:tr>
      <w:tr w:rsidR="00DB1607" w:rsidRPr="00B95EB3" w14:paraId="70EA30CC" w14:textId="77777777">
        <w:tc>
          <w:tcPr>
            <w:tcW w:w="0" w:type="auto"/>
          </w:tcPr>
          <w:p w14:paraId="6417311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Low-sleep board, linear regulator</w:t>
            </w:r>
          </w:p>
        </w:tc>
        <w:tc>
          <w:tcPr>
            <w:tcW w:w="0" w:type="auto"/>
          </w:tcPr>
          <w:p w14:paraId="68C2822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about 91 mAh</w:t>
            </w:r>
          </w:p>
        </w:tc>
        <w:tc>
          <w:tcPr>
            <w:tcW w:w="0" w:type="auto"/>
          </w:tcPr>
          <w:p w14:paraId="0907698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800 mAh (4 AAA)</w:t>
            </w:r>
          </w:p>
        </w:tc>
        <w:tc>
          <w:tcPr>
            <w:tcW w:w="0" w:type="auto"/>
          </w:tcPr>
          <w:p w14:paraId="7C695B8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about 9 days</w:t>
            </w:r>
          </w:p>
        </w:tc>
      </w:tr>
      <w:tr w:rsidR="00DB1607" w:rsidRPr="00B95EB3" w14:paraId="661C74A6" w14:textId="77777777">
        <w:tc>
          <w:tcPr>
            <w:tcW w:w="0" w:type="auto"/>
          </w:tcPr>
          <w:p w14:paraId="635EF69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Low-sleep board, buck at 85 %</w:t>
            </w:r>
          </w:p>
        </w:tc>
        <w:tc>
          <w:tcPr>
            <w:tcW w:w="0" w:type="auto"/>
          </w:tcPr>
          <w:p w14:paraId="4D281CF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about 70 mAh</w:t>
            </w:r>
          </w:p>
        </w:tc>
        <w:tc>
          <w:tcPr>
            <w:tcW w:w="0" w:type="auto"/>
          </w:tcPr>
          <w:p w14:paraId="16ECC69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800 mAh (4 AAA)</w:t>
            </w:r>
          </w:p>
        </w:tc>
        <w:tc>
          <w:tcPr>
            <w:tcW w:w="0" w:type="auto"/>
          </w:tcPr>
          <w:p w14:paraId="148C516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about 11 days</w:t>
            </w:r>
          </w:p>
        </w:tc>
      </w:tr>
      <w:tr w:rsidR="00DB1607" w:rsidRPr="00B95EB3" w14:paraId="5D4B1527" w14:textId="77777777">
        <w:tc>
          <w:tcPr>
            <w:tcW w:w="0" w:type="auto"/>
          </w:tcPr>
          <w:p w14:paraId="6CB3EB0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Low-sleep board, buck, 4 AA cells</w:t>
            </w:r>
          </w:p>
        </w:tc>
        <w:tc>
          <w:tcPr>
            <w:tcW w:w="0" w:type="auto"/>
          </w:tcPr>
          <w:p w14:paraId="4D4C6CD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about 70 mAh</w:t>
            </w:r>
          </w:p>
        </w:tc>
        <w:tc>
          <w:tcPr>
            <w:tcW w:w="0" w:type="auto"/>
          </w:tcPr>
          <w:p w14:paraId="07F96E4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2000 mAh (4 AA)</w:t>
            </w:r>
          </w:p>
        </w:tc>
        <w:tc>
          <w:tcPr>
            <w:tcW w:w="0" w:type="auto"/>
          </w:tcPr>
          <w:p w14:paraId="07081CF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about 4 weeks</w:t>
            </w:r>
          </w:p>
        </w:tc>
      </w:tr>
    </w:tbl>
    <w:p w14:paraId="24775D93"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The table shows that the development board’s own sleep current sets the service interval, far more than the sensors or the radio do. Removing that current extends life about threefold, while a buck converter adds roughly another quarter. The 5-minute interval accounts for most of the remaining active energy, so a stable-pond interval of 15 minutes would roughly halve the active share. These results set the order of work: measure the board’s sleep current first, then decide on the regulator.</w:t>
      </w:r>
    </w:p>
    <w:p w14:paraId="124D932B" w14:textId="77777777" w:rsidR="00DB1607" w:rsidRPr="00B95EB3" w:rsidRDefault="00000000">
      <w:pPr>
        <w:pStyle w:val="Heading2"/>
        <w:rPr>
          <w:rFonts w:asciiTheme="majorHAnsi" w:hAnsiTheme="majorHAnsi" w:cstheme="majorHAnsi"/>
        </w:rPr>
      </w:pPr>
      <w:bookmarkStart w:id="89" w:name="X15253d1ba1e4cec75d424ec388b538aa9864bf4"/>
      <w:bookmarkStart w:id="90" w:name="_Toc241565704"/>
      <w:bookmarkEnd w:id="83"/>
      <w:bookmarkEnd w:id="87"/>
      <w:r w:rsidRPr="00B95EB3">
        <w:rPr>
          <w:rFonts w:asciiTheme="majorHAnsi" w:hAnsiTheme="majorHAnsi" w:cstheme="majorHAnsi"/>
        </w:rPr>
        <w:t>3.4 Sampling Schedule, Deep Sleep and Interference Control</w:t>
      </w:r>
      <w:bookmarkEnd w:id="90"/>
    </w:p>
    <w:p w14:paraId="45138607" w14:textId="77777777" w:rsidR="00DB1607" w:rsidRPr="00B95EB3" w:rsidRDefault="00000000">
      <w:pPr>
        <w:pStyle w:val="Heading3"/>
        <w:rPr>
          <w:rFonts w:asciiTheme="majorHAnsi" w:hAnsiTheme="majorHAnsi" w:cstheme="majorHAnsi"/>
        </w:rPr>
      </w:pPr>
      <w:bookmarkStart w:id="91" w:name="five-minute-base-interval"/>
      <w:bookmarkStart w:id="92" w:name="_Toc241565705"/>
      <w:r w:rsidRPr="00B95EB3">
        <w:rPr>
          <w:rFonts w:asciiTheme="majorHAnsi" w:hAnsiTheme="majorHAnsi" w:cstheme="majorHAnsi"/>
        </w:rPr>
        <w:t>3.4.1 5-Minute Base Interval</w:t>
      </w:r>
      <w:bookmarkEnd w:id="92"/>
    </w:p>
    <w:p w14:paraId="1909973B"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production interval is 5 minutes, which gives 288 readings per day. Pond temperature and conductivity change more slowly than this, so a 1-minute interval would mainly add Wi-Fi sessions and database rows. A 15-minute interval would save more energy but could delay the record of a change after feeding, maintenance or a sudden storm. A 5-minute interval gives enough trend detail while keeping the radio duty cycle low.</w:t>
      </w:r>
    </w:p>
    <w:p w14:paraId="1FFB805C"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During bench testing the firmware sleeps for 15 s instead. The short interval collects many cycles quickly, which is what calibration and noise measurements need, and it has no bearing on the production schedule. The interval is a single constant in the firmware.</w:t>
      </w:r>
    </w:p>
    <w:p w14:paraId="0E781FA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lastRenderedPageBreak/>
        <w:t>Each Wi-Fi session has a fixed cost for association and connection setup, so each wake sends all readings together in one request. Sending one request per sensor would repeat that cost four times.</w:t>
      </w:r>
    </w:p>
    <w:p w14:paraId="31639938" w14:textId="77777777" w:rsidR="00DB1607" w:rsidRPr="00B95EB3" w:rsidRDefault="00000000">
      <w:pPr>
        <w:pStyle w:val="Heading3"/>
        <w:rPr>
          <w:rFonts w:asciiTheme="majorHAnsi" w:hAnsiTheme="majorHAnsi" w:cstheme="majorHAnsi"/>
        </w:rPr>
      </w:pPr>
      <w:bookmarkStart w:id="93" w:name="sensor-cycle-sequence"/>
      <w:bookmarkStart w:id="94" w:name="_Toc241565706"/>
      <w:bookmarkEnd w:id="91"/>
      <w:r w:rsidRPr="00B95EB3">
        <w:rPr>
          <w:rFonts w:asciiTheme="majorHAnsi" w:hAnsiTheme="majorHAnsi" w:cstheme="majorHAnsi"/>
        </w:rPr>
        <w:t>3.4.2 Sensor Cycle Sequence</w:t>
      </w:r>
      <w:bookmarkEnd w:id="94"/>
    </w:p>
    <w:p w14:paraId="54F9D8BA"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firmware runs the following sequence once per wake, from the setup routine.</w:t>
      </w:r>
    </w:p>
    <w:p w14:paraId="0FFC3A2E" w14:textId="77777777" w:rsidR="00DB1607" w:rsidRPr="00B95EB3" w:rsidRDefault="00000000">
      <w:pPr>
        <w:pStyle w:val="Compact"/>
        <w:numPr>
          <w:ilvl w:val="0"/>
          <w:numId w:val="3"/>
        </w:numPr>
        <w:rPr>
          <w:rFonts w:asciiTheme="majorHAnsi" w:hAnsiTheme="majorHAnsi" w:cstheme="majorHAnsi"/>
        </w:rPr>
      </w:pPr>
      <w:r w:rsidRPr="00B95EB3">
        <w:rPr>
          <w:rFonts w:asciiTheme="majorHAnsi" w:hAnsiTheme="majorHAnsi" w:cstheme="majorHAnsi"/>
        </w:rPr>
        <w:t>Drive all sensor power pins low and release any GPIO holds left from the previous sleep.</w:t>
      </w:r>
    </w:p>
    <w:p w14:paraId="5A50ABAF" w14:textId="77777777" w:rsidR="00DB1607" w:rsidRPr="00B95EB3" w:rsidRDefault="00000000">
      <w:pPr>
        <w:pStyle w:val="Compact"/>
        <w:numPr>
          <w:ilvl w:val="0"/>
          <w:numId w:val="3"/>
        </w:numPr>
        <w:rPr>
          <w:rFonts w:asciiTheme="majorHAnsi" w:hAnsiTheme="majorHAnsi" w:cstheme="majorHAnsi"/>
        </w:rPr>
      </w:pPr>
      <w:r w:rsidRPr="00B95EB3">
        <w:rPr>
          <w:rFonts w:asciiTheme="majorHAnsi" w:hAnsiTheme="majorHAnsi" w:cstheme="majorHAnsi"/>
        </w:rPr>
        <w:t>Power the TDS board, wait 2 s, take 31 readings on ADC1 and keep the median, then power it off.</w:t>
      </w:r>
    </w:p>
    <w:p w14:paraId="63D74285" w14:textId="77777777" w:rsidR="00DB1607" w:rsidRPr="00B95EB3" w:rsidRDefault="00000000">
      <w:pPr>
        <w:pStyle w:val="Compact"/>
        <w:numPr>
          <w:ilvl w:val="0"/>
          <w:numId w:val="3"/>
        </w:numPr>
        <w:rPr>
          <w:rFonts w:asciiTheme="majorHAnsi" w:hAnsiTheme="majorHAnsi" w:cstheme="majorHAnsi"/>
        </w:rPr>
      </w:pPr>
      <w:r w:rsidRPr="00B95EB3">
        <w:rPr>
          <w:rFonts w:asciiTheme="majorHAnsi" w:hAnsiTheme="majorHAnsi" w:cstheme="majorHAnsi"/>
        </w:rPr>
        <w:t>Power the TSL2591, run the automatic gain sequence, read both channels, then return the I2C pins to input mode and power it off.</w:t>
      </w:r>
    </w:p>
    <w:p w14:paraId="541FE260" w14:textId="77777777" w:rsidR="00DB1607" w:rsidRPr="00B95EB3" w:rsidRDefault="00000000">
      <w:pPr>
        <w:pStyle w:val="Compact"/>
        <w:numPr>
          <w:ilvl w:val="0"/>
          <w:numId w:val="3"/>
        </w:numPr>
        <w:rPr>
          <w:rFonts w:asciiTheme="majorHAnsi" w:hAnsiTheme="majorHAnsi" w:cstheme="majorHAnsi"/>
        </w:rPr>
      </w:pPr>
      <w:r w:rsidRPr="00B95EB3">
        <w:rPr>
          <w:rFonts w:asciiTheme="majorHAnsi" w:hAnsiTheme="majorHAnsi" w:cstheme="majorHAnsi"/>
        </w:rPr>
        <w:t>Power the GY-33 on the second I2C bus, read its colour registers, then release the bus and power it off.</w:t>
      </w:r>
    </w:p>
    <w:p w14:paraId="663C5297" w14:textId="77777777" w:rsidR="00DB1607" w:rsidRPr="00B95EB3" w:rsidRDefault="00000000">
      <w:pPr>
        <w:pStyle w:val="Compact"/>
        <w:numPr>
          <w:ilvl w:val="0"/>
          <w:numId w:val="3"/>
        </w:numPr>
        <w:rPr>
          <w:rFonts w:asciiTheme="majorHAnsi" w:hAnsiTheme="majorHAnsi" w:cstheme="majorHAnsi"/>
        </w:rPr>
      </w:pPr>
      <w:r w:rsidRPr="00B95EB3">
        <w:rPr>
          <w:rFonts w:asciiTheme="majorHAnsi" w:hAnsiTheme="majorHAnsi" w:cstheme="majorHAnsi"/>
        </w:rPr>
        <w:t>Power the DS18B20, run up to three conversion attempts with CRC and sentinel checks, then power it off.</w:t>
      </w:r>
    </w:p>
    <w:p w14:paraId="33396344" w14:textId="77777777" w:rsidR="00DB1607" w:rsidRPr="00B95EB3" w:rsidRDefault="00000000">
      <w:pPr>
        <w:pStyle w:val="Compact"/>
        <w:numPr>
          <w:ilvl w:val="0"/>
          <w:numId w:val="3"/>
        </w:numPr>
        <w:rPr>
          <w:rFonts w:asciiTheme="majorHAnsi" w:hAnsiTheme="majorHAnsi" w:cstheme="majorHAnsi"/>
        </w:rPr>
      </w:pPr>
      <w:r w:rsidRPr="00B95EB3">
        <w:rPr>
          <w:rFonts w:asciiTheme="majorHAnsi" w:hAnsiTheme="majorHAnsi" w:cstheme="majorHAnsi"/>
        </w:rPr>
        <w:t>Power the pH board, wait until the output settles or 5 s pass, take 31 readings on ADC1 and keep the median, then power it off.</w:t>
      </w:r>
    </w:p>
    <w:p w14:paraId="3BA1FD92" w14:textId="77777777" w:rsidR="00DB1607" w:rsidRPr="00B95EB3" w:rsidRDefault="00000000">
      <w:pPr>
        <w:pStyle w:val="Compact"/>
        <w:numPr>
          <w:ilvl w:val="0"/>
          <w:numId w:val="3"/>
        </w:numPr>
        <w:rPr>
          <w:rFonts w:asciiTheme="majorHAnsi" w:hAnsiTheme="majorHAnsi" w:cstheme="majorHAnsi"/>
        </w:rPr>
      </w:pPr>
      <w:r w:rsidRPr="00B95EB3">
        <w:rPr>
          <w:rFonts w:asciiTheme="majorHAnsi" w:hAnsiTheme="majorHAnsi" w:cstheme="majorHAnsi"/>
        </w:rPr>
        <w:t>Apply temperature compensation to the pH and TDS readings.</w:t>
      </w:r>
    </w:p>
    <w:p w14:paraId="5089AA06" w14:textId="77777777" w:rsidR="00DB1607" w:rsidRPr="00B95EB3" w:rsidRDefault="00000000">
      <w:pPr>
        <w:pStyle w:val="Compact"/>
        <w:numPr>
          <w:ilvl w:val="0"/>
          <w:numId w:val="3"/>
        </w:numPr>
        <w:rPr>
          <w:rFonts w:asciiTheme="majorHAnsi" w:hAnsiTheme="majorHAnsi" w:cstheme="majorHAnsi"/>
        </w:rPr>
      </w:pPr>
      <w:r w:rsidRPr="00B95EB3">
        <w:rPr>
          <w:rFonts w:asciiTheme="majorHAnsi" w:hAnsiTheme="majorHAnsi" w:cstheme="majorHAnsi"/>
        </w:rPr>
        <w:t>Start Wi-Fi, send one batched insert with a bounded connection time, and switch Wi-Fi off.</w:t>
      </w:r>
    </w:p>
    <w:p w14:paraId="4C4C75CE" w14:textId="77777777" w:rsidR="00DB1607" w:rsidRPr="00B95EB3" w:rsidRDefault="00000000">
      <w:pPr>
        <w:pStyle w:val="Compact"/>
        <w:numPr>
          <w:ilvl w:val="0"/>
          <w:numId w:val="3"/>
        </w:numPr>
        <w:rPr>
          <w:rFonts w:asciiTheme="majorHAnsi" w:hAnsiTheme="majorHAnsi" w:cstheme="majorHAnsi"/>
        </w:rPr>
      </w:pPr>
      <w:r w:rsidRPr="00B95EB3">
        <w:rPr>
          <w:rFonts w:asciiTheme="majorHAnsi" w:hAnsiTheme="majorHAnsi" w:cstheme="majorHAnsi"/>
        </w:rPr>
        <w:t>Drive all power pins low, latch them with GPIO hold and enter deep sleep until the next timer event.</w:t>
      </w:r>
    </w:p>
    <w:p w14:paraId="2C504092"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This order has two useful properties. First, TDS is read at the start and pH at the end, with the light, colour and temperature readings between them. This places about 4 s to 5 s between the end of TDS excitation and the start of the pH reading, which lets charge from the TDS probe dissipate in the water before the most sensitive measurement is taken. Second, temperature is read before pH and after TDS, but compensation is applied to both after all readings are taken. Pond temperature changes by a negligible amount over the 10 s to 13 s of a cycle, so compensating TDS with a temperature read a few seconds later introduces no meaningful error.</w:t>
      </w:r>
    </w:p>
    <w:p w14:paraId="1DC9E7A0"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xml:space="preserve">The camera node runs its own cycle on a separate schedule. Its capture times are set by the camera service, not by the sensor node, so the two nodes can transmit at the same </w:t>
      </w:r>
      <w:r w:rsidRPr="00B95EB3">
        <w:rPr>
          <w:rFonts w:asciiTheme="majorHAnsi" w:hAnsiTheme="majorHAnsi" w:cstheme="majorHAnsi"/>
        </w:rPr>
        <w:lastRenderedPageBreak/>
        <w:t>moment. Each node bounds its own connection time and has its own fallback, so neither waits for the other.</w:t>
      </w:r>
    </w:p>
    <w:p w14:paraId="65C79CA5" w14:textId="77777777" w:rsidR="00DB1607" w:rsidRPr="00B95EB3" w:rsidRDefault="00000000">
      <w:pPr>
        <w:pStyle w:val="Heading3"/>
        <w:rPr>
          <w:rFonts w:asciiTheme="majorHAnsi" w:hAnsiTheme="majorHAnsi" w:cstheme="majorHAnsi"/>
        </w:rPr>
      </w:pPr>
      <w:bookmarkStart w:id="95" w:name="why-ph-requires-time-separation"/>
      <w:bookmarkStart w:id="96" w:name="_Toc241565707"/>
      <w:bookmarkEnd w:id="93"/>
      <w:r w:rsidRPr="00B95EB3">
        <w:rPr>
          <w:rFonts w:asciiTheme="majorHAnsi" w:hAnsiTheme="majorHAnsi" w:cstheme="majorHAnsi"/>
        </w:rPr>
        <w:t>3.4.3 Why pH Requires Time Separation</w:t>
      </w:r>
      <w:bookmarkEnd w:id="96"/>
    </w:p>
    <w:p w14:paraId="35D156A2"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pH path is the most sensitive electrical measurement in the system. Its high source resistance means small leakage currents and coupled noise can change the reading. The TDS probe deliberately drives an alternating signal into the water, and DFRobot states that a conductivity sensor can seriously disturb other water-quality sensors in the same container and recommends electrical isolation (DFRobot, 2026c). Wi-Fi transmission adds high-frequency current pulses on the supply and ground.</w:t>
      </w:r>
    </w:p>
    <w:p w14:paraId="3AF565E2"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For this reason, pH acquisition never overlaps with TDS excitation, the colour sensor LED, or Wi-Fi transmission, and the sequence in Section 3.4.2 enforces this. Time separation reduces interference but does not break a ground loop between two probes in the same water. Galvanic isolation of the pH board, for example with an analogue signal isolator such as the DFR0504, remains the stronger control. It is not fitted in the current build because it adds cost and a component that needs its own supply. Section 4.4.2 includes a test that compares pH readings with the TDS probe present and absent. If that test shows a shift beyond the probe’s accuracy, isolation becomes a required change.</w:t>
      </w:r>
    </w:p>
    <w:p w14:paraId="7352718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Switching off a module’s power is only effective if its signal path is also released. The firmware returns I2C and 1-Wire pins to input mode before removing power, so the ESP32 cannot power an idle module through its signal pins. The analogue outputs connect only to ADC inputs, which are high impedance.</w:t>
      </w:r>
    </w:p>
    <w:p w14:paraId="3CDB485A" w14:textId="77777777" w:rsidR="00DB1607" w:rsidRPr="00B95EB3" w:rsidRDefault="00000000">
      <w:pPr>
        <w:pStyle w:val="Heading3"/>
        <w:rPr>
          <w:rFonts w:asciiTheme="majorHAnsi" w:hAnsiTheme="majorHAnsi" w:cstheme="majorHAnsi"/>
        </w:rPr>
      </w:pPr>
      <w:bookmarkStart w:id="97" w:name="deep-sleep-operation"/>
      <w:bookmarkStart w:id="98" w:name="_Toc241565708"/>
      <w:bookmarkEnd w:id="95"/>
      <w:r w:rsidRPr="00B95EB3">
        <w:rPr>
          <w:rFonts w:asciiTheme="majorHAnsi" w:hAnsiTheme="majorHAnsi" w:cstheme="majorHAnsi"/>
        </w:rPr>
        <w:t>3.4.4 Deep Sleep Operation</w:t>
      </w:r>
      <w:bookmarkEnd w:id="98"/>
    </w:p>
    <w:p w14:paraId="43737099"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After each cycle the node enters deep sleep with a timer wake-up. Before sleeping it latches every power pin low with GPIO hold, so no sensor draws current during sleep. Two values survive sleep in RTC memory: a cycle counter and the last good water temperature, which the temperature fallback uses.</w:t>
      </w:r>
    </w:p>
    <w:p w14:paraId="3EB3777F"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xml:space="preserve">After each cycle the node also listens on its serial port for 3 s before sleeping. Any input puts it into a service mode that stays awake and accepts commands. These commands run pH calibration against each buffer, clear the calibration, calibrate the TDS factor against a standard solution, read the temperature alone, log the pH or TDS settling curve for 30 s, </w:t>
      </w:r>
      <w:r w:rsidRPr="00B95EB3">
        <w:rPr>
          <w:rFonts w:asciiTheme="majorHAnsi" w:hAnsiTheme="majorHAnsi" w:cstheme="majorHAnsi"/>
        </w:rPr>
        <w:lastRenderedPageBreak/>
        <w:t>scan both I2C buses and run a single cycle on demand. Calibration values are stored in non-volatile memory and survive power loss. This design lets calibration and fault-finding happen on the deployed node without reflashing firmware. It costs 3 s of extra wake time per cycle, which is small beside the sensing window. The service window can be removed from the production build if the serial port is not accessible in the enclosure.</w:t>
      </w:r>
    </w:p>
    <w:p w14:paraId="05FC1BC8" w14:textId="77777777" w:rsidR="00DB1607" w:rsidRPr="00B95EB3" w:rsidRDefault="00000000">
      <w:pPr>
        <w:pStyle w:val="Heading2"/>
        <w:rPr>
          <w:rFonts w:asciiTheme="majorHAnsi" w:hAnsiTheme="majorHAnsi" w:cstheme="majorHAnsi"/>
        </w:rPr>
      </w:pPr>
      <w:bookmarkStart w:id="99" w:name="consolidated-hardware-summary"/>
      <w:bookmarkStart w:id="100" w:name="_Toc241565709"/>
      <w:bookmarkEnd w:id="89"/>
      <w:bookmarkEnd w:id="97"/>
      <w:r w:rsidRPr="00B95EB3">
        <w:rPr>
          <w:rFonts w:asciiTheme="majorHAnsi" w:hAnsiTheme="majorHAnsi" w:cstheme="majorHAnsi"/>
        </w:rPr>
        <w:t>3.5 Consolidated Hardware Summary</w:t>
      </w:r>
      <w:bookmarkEnd w:id="100"/>
    </w:p>
    <w:p w14:paraId="33C27690"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3.6. Consolidated hardware and scheduling decisions.</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397"/>
        <w:gridCol w:w="1090"/>
        <w:gridCol w:w="2042"/>
        <w:gridCol w:w="1462"/>
        <w:gridCol w:w="3195"/>
      </w:tblGrid>
      <w:tr w:rsidR="00DB1607" w:rsidRPr="00B95EB3" w14:paraId="7A94E524"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464B40E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Component</w:t>
            </w:r>
          </w:p>
        </w:tc>
        <w:tc>
          <w:tcPr>
            <w:tcW w:w="0" w:type="auto"/>
            <w:shd w:val="clear" w:color="auto" w:fill="EDEFF2"/>
          </w:tcPr>
          <w:p w14:paraId="5006193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Supply</w:t>
            </w:r>
          </w:p>
        </w:tc>
        <w:tc>
          <w:tcPr>
            <w:tcW w:w="0" w:type="auto"/>
            <w:shd w:val="clear" w:color="auto" w:fill="EDEFF2"/>
          </w:tcPr>
          <w:p w14:paraId="150316E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Interface</w:t>
            </w:r>
          </w:p>
        </w:tc>
        <w:tc>
          <w:tcPr>
            <w:tcW w:w="0" w:type="auto"/>
            <w:shd w:val="clear" w:color="auto" w:fill="EDEFF2"/>
          </w:tcPr>
          <w:p w14:paraId="329231F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Production schedule</w:t>
            </w:r>
          </w:p>
        </w:tc>
        <w:tc>
          <w:tcPr>
            <w:tcW w:w="0" w:type="auto"/>
            <w:shd w:val="clear" w:color="auto" w:fill="EDEFF2"/>
          </w:tcPr>
          <w:p w14:paraId="2D92FA3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Main tradeoff</w:t>
            </w:r>
          </w:p>
        </w:tc>
      </w:tr>
      <w:tr w:rsidR="00DB1607" w:rsidRPr="00B95EB3" w14:paraId="242CFBC5" w14:textId="77777777">
        <w:tc>
          <w:tcPr>
            <w:tcW w:w="0" w:type="auto"/>
          </w:tcPr>
          <w:p w14:paraId="3D2790E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ESP32 sensor node</w:t>
            </w:r>
          </w:p>
        </w:tc>
        <w:tc>
          <w:tcPr>
            <w:tcW w:w="0" w:type="auto"/>
          </w:tcPr>
          <w:p w14:paraId="31EE233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3.3 V board rail</w:t>
            </w:r>
          </w:p>
        </w:tc>
        <w:tc>
          <w:tcPr>
            <w:tcW w:w="0" w:type="auto"/>
          </w:tcPr>
          <w:p w14:paraId="17C9CB2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Wi-Fi, ADC1, 1-Wire, two I2C buses</w:t>
            </w:r>
          </w:p>
        </w:tc>
        <w:tc>
          <w:tcPr>
            <w:tcW w:w="0" w:type="auto"/>
          </w:tcPr>
          <w:p w14:paraId="3383464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5-minute cycle</w:t>
            </w:r>
          </w:p>
        </w:tc>
        <w:tc>
          <w:tcPr>
            <w:tcW w:w="0" w:type="auto"/>
          </w:tcPr>
          <w:p w14:paraId="4E2CB51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Simple integration, but board sleep current sets battery life</w:t>
            </w:r>
          </w:p>
        </w:tc>
      </w:tr>
      <w:tr w:rsidR="00DB1607" w:rsidRPr="00B95EB3" w14:paraId="07352E20" w14:textId="77777777">
        <w:tc>
          <w:tcPr>
            <w:tcW w:w="0" w:type="auto"/>
          </w:tcPr>
          <w:p w14:paraId="6CC36D0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DS18B20</w:t>
            </w:r>
          </w:p>
        </w:tc>
        <w:tc>
          <w:tcPr>
            <w:tcW w:w="0" w:type="auto"/>
          </w:tcPr>
          <w:p w14:paraId="203BD70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3.3 V, GPIO27</w:t>
            </w:r>
          </w:p>
        </w:tc>
        <w:tc>
          <w:tcPr>
            <w:tcW w:w="0" w:type="auto"/>
          </w:tcPr>
          <w:p w14:paraId="32B4134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1-Wire, GPIO23</w:t>
            </w:r>
          </w:p>
        </w:tc>
        <w:tc>
          <w:tcPr>
            <w:tcW w:w="0" w:type="auto"/>
          </w:tcPr>
          <w:p w14:paraId="4153B94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Every cycle</w:t>
            </w:r>
          </w:p>
        </w:tc>
        <w:tc>
          <w:tcPr>
            <w:tcW w:w="0" w:type="auto"/>
          </w:tcPr>
          <w:p w14:paraId="43F7744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Long 12-bit conversion, very low current</w:t>
            </w:r>
          </w:p>
        </w:tc>
      </w:tr>
      <w:tr w:rsidR="00DB1607" w:rsidRPr="00B95EB3" w14:paraId="2D6FD2C0" w14:textId="77777777">
        <w:tc>
          <w:tcPr>
            <w:tcW w:w="0" w:type="auto"/>
          </w:tcPr>
          <w:p w14:paraId="1E37430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Analogue TDS</w:t>
            </w:r>
          </w:p>
        </w:tc>
        <w:tc>
          <w:tcPr>
            <w:tcW w:w="0" w:type="auto"/>
          </w:tcPr>
          <w:p w14:paraId="4913A01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3.3 V, GPIO25</w:t>
            </w:r>
          </w:p>
        </w:tc>
        <w:tc>
          <w:tcPr>
            <w:tcW w:w="0" w:type="auto"/>
          </w:tcPr>
          <w:p w14:paraId="10F05FF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ADC1, GPIO34</w:t>
            </w:r>
          </w:p>
        </w:tc>
        <w:tc>
          <w:tcPr>
            <w:tcW w:w="0" w:type="auto"/>
          </w:tcPr>
          <w:p w14:paraId="709DDAD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Every cycle</w:t>
            </w:r>
          </w:p>
        </w:tc>
        <w:tc>
          <w:tcPr>
            <w:tcW w:w="0" w:type="auto"/>
          </w:tcPr>
          <w:p w14:paraId="72E0998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Low cost, but excitation can disturb pH</w:t>
            </w:r>
          </w:p>
        </w:tc>
      </w:tr>
      <w:tr w:rsidR="00DB1607" w:rsidRPr="00B95EB3" w14:paraId="079F662F" w14:textId="77777777">
        <w:tc>
          <w:tcPr>
            <w:tcW w:w="0" w:type="auto"/>
          </w:tcPr>
          <w:p w14:paraId="35F4D47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Gravity pH kit V2</w:t>
            </w:r>
          </w:p>
        </w:tc>
        <w:tc>
          <w:tcPr>
            <w:tcW w:w="0" w:type="auto"/>
          </w:tcPr>
          <w:p w14:paraId="0C877C0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3.3 V, GPIO4</w:t>
            </w:r>
          </w:p>
        </w:tc>
        <w:tc>
          <w:tcPr>
            <w:tcW w:w="0" w:type="auto"/>
          </w:tcPr>
          <w:p w14:paraId="44ACCA4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ADC1, GPIO35</w:t>
            </w:r>
          </w:p>
        </w:tc>
        <w:tc>
          <w:tcPr>
            <w:tcW w:w="0" w:type="auto"/>
          </w:tcPr>
          <w:p w14:paraId="33D86A5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Every cycle</w:t>
            </w:r>
          </w:p>
        </w:tc>
        <w:tc>
          <w:tcPr>
            <w:tcW w:w="0" w:type="auto"/>
          </w:tcPr>
          <w:p w14:paraId="107585E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Simple power and wiring, less noise immunity than RS485</w:t>
            </w:r>
          </w:p>
        </w:tc>
      </w:tr>
      <w:tr w:rsidR="00DB1607" w:rsidRPr="00B95EB3" w14:paraId="738947B4" w14:textId="77777777">
        <w:tc>
          <w:tcPr>
            <w:tcW w:w="0" w:type="auto"/>
          </w:tcPr>
          <w:p w14:paraId="091FDC7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TSL2591</w:t>
            </w:r>
          </w:p>
        </w:tc>
        <w:tc>
          <w:tcPr>
            <w:tcW w:w="0" w:type="auto"/>
          </w:tcPr>
          <w:p w14:paraId="2658737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3.3 V, GPIO26</w:t>
            </w:r>
          </w:p>
        </w:tc>
        <w:tc>
          <w:tcPr>
            <w:tcW w:w="0" w:type="auto"/>
          </w:tcPr>
          <w:p w14:paraId="2A52F16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I2C bus 0</w:t>
            </w:r>
          </w:p>
        </w:tc>
        <w:tc>
          <w:tcPr>
            <w:tcW w:w="0" w:type="auto"/>
          </w:tcPr>
          <w:p w14:paraId="4B03CD5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Every cycle</w:t>
            </w:r>
          </w:p>
        </w:tc>
        <w:tc>
          <w:tcPr>
            <w:tcW w:w="0" w:type="auto"/>
          </w:tcPr>
          <w:p w14:paraId="6BE9630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Needs automatic gain for sun and shade</w:t>
            </w:r>
          </w:p>
        </w:tc>
      </w:tr>
      <w:tr w:rsidR="00DB1607" w:rsidRPr="00B95EB3" w14:paraId="08FF7945" w14:textId="77777777">
        <w:tc>
          <w:tcPr>
            <w:tcW w:w="0" w:type="auto"/>
          </w:tcPr>
          <w:p w14:paraId="7490B2E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GY-33</w:t>
            </w:r>
          </w:p>
        </w:tc>
        <w:tc>
          <w:tcPr>
            <w:tcW w:w="0" w:type="auto"/>
          </w:tcPr>
          <w:p w14:paraId="6E2C6B7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3.3 V, GPIO32</w:t>
            </w:r>
          </w:p>
        </w:tc>
        <w:tc>
          <w:tcPr>
            <w:tcW w:w="0" w:type="auto"/>
          </w:tcPr>
          <w:p w14:paraId="392461F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I2C bus 1 at 0x5A</w:t>
            </w:r>
          </w:p>
        </w:tc>
        <w:tc>
          <w:tcPr>
            <w:tcW w:w="0" w:type="auto"/>
          </w:tcPr>
          <w:p w14:paraId="43CF2C8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Every cycle</w:t>
            </w:r>
          </w:p>
        </w:tc>
        <w:tc>
          <w:tcPr>
            <w:tcW w:w="0" w:type="auto"/>
          </w:tcPr>
          <w:p w14:paraId="7DED05A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Separate bus avoids the 0x29 address conflict</w:t>
            </w:r>
          </w:p>
        </w:tc>
      </w:tr>
      <w:tr w:rsidR="00DB1607" w:rsidRPr="00B95EB3" w14:paraId="5BF55CA1" w14:textId="77777777">
        <w:tc>
          <w:tcPr>
            <w:tcW w:w="0" w:type="auto"/>
          </w:tcPr>
          <w:p w14:paraId="4BDC013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ESP32-CAM</w:t>
            </w:r>
          </w:p>
        </w:tc>
        <w:tc>
          <w:tcPr>
            <w:tcW w:w="0" w:type="auto"/>
          </w:tcPr>
          <w:p w14:paraId="5226865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Own supply</w:t>
            </w:r>
          </w:p>
        </w:tc>
        <w:tc>
          <w:tcPr>
            <w:tcW w:w="0" w:type="auto"/>
          </w:tcPr>
          <w:p w14:paraId="2AFBE99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Wi-Fi and HTTPS</w:t>
            </w:r>
          </w:p>
        </w:tc>
        <w:tc>
          <w:tcPr>
            <w:tcW w:w="0" w:type="auto"/>
          </w:tcPr>
          <w:p w14:paraId="1D3DB5C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Server scheduled</w:t>
            </w:r>
          </w:p>
        </w:tc>
        <w:tc>
          <w:tcPr>
            <w:tcW w:w="0" w:type="auto"/>
          </w:tcPr>
          <w:p w14:paraId="63735E4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Board sleep current favours a hard power-off</w:t>
            </w:r>
          </w:p>
        </w:tc>
      </w:tr>
      <w:tr w:rsidR="00DB1607" w:rsidRPr="00B95EB3" w14:paraId="0AD4EAB8" w14:textId="77777777">
        <w:tc>
          <w:tcPr>
            <w:tcW w:w="0" w:type="auto"/>
          </w:tcPr>
          <w:p w14:paraId="6EEF703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Battery</w:t>
            </w:r>
          </w:p>
        </w:tc>
        <w:tc>
          <w:tcPr>
            <w:tcW w:w="0" w:type="auto"/>
          </w:tcPr>
          <w:p w14:paraId="72B0E51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4 × AA or AAA</w:t>
            </w:r>
          </w:p>
        </w:tc>
        <w:tc>
          <w:tcPr>
            <w:tcW w:w="0" w:type="auto"/>
          </w:tcPr>
          <w:p w14:paraId="0752828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Regulator to 3.3 V</w:t>
            </w:r>
          </w:p>
        </w:tc>
        <w:tc>
          <w:tcPr>
            <w:tcW w:w="0" w:type="auto"/>
          </w:tcPr>
          <w:p w14:paraId="0366F5D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Service item</w:t>
            </w:r>
          </w:p>
        </w:tc>
        <w:tc>
          <w:tcPr>
            <w:tcW w:w="0" w:type="auto"/>
          </w:tcPr>
          <w:p w14:paraId="1FF165A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Linear is simple, buck extends life</w:t>
            </w:r>
          </w:p>
        </w:tc>
      </w:tr>
    </w:tbl>
    <w:p w14:paraId="253D59C8" w14:textId="77777777" w:rsidR="00DB1607" w:rsidRPr="00B95EB3" w:rsidRDefault="00000000">
      <w:pPr>
        <w:pStyle w:val="Heading2"/>
        <w:rPr>
          <w:rFonts w:asciiTheme="majorHAnsi" w:hAnsiTheme="majorHAnsi" w:cstheme="majorHAnsi"/>
        </w:rPr>
      </w:pPr>
      <w:bookmarkStart w:id="101" w:name="communication-architecture"/>
      <w:bookmarkStart w:id="102" w:name="_Toc241565710"/>
      <w:bookmarkEnd w:id="99"/>
      <w:r w:rsidRPr="00B95EB3">
        <w:rPr>
          <w:rFonts w:asciiTheme="majorHAnsi" w:hAnsiTheme="majorHAnsi" w:cstheme="majorHAnsi"/>
        </w:rPr>
        <w:t>3.6 Communication Architecture</w:t>
      </w:r>
      <w:bookmarkEnd w:id="102"/>
    </w:p>
    <w:p w14:paraId="3DAA0554" w14:textId="77777777" w:rsidR="00DB1607" w:rsidRPr="00B95EB3" w:rsidRDefault="00000000">
      <w:pPr>
        <w:pStyle w:val="Heading3"/>
        <w:rPr>
          <w:rFonts w:asciiTheme="majorHAnsi" w:hAnsiTheme="majorHAnsi" w:cstheme="majorHAnsi"/>
        </w:rPr>
      </w:pPr>
      <w:bookmarkStart w:id="103" w:name="local-hardware-protocols"/>
      <w:bookmarkStart w:id="104" w:name="_Toc241565711"/>
      <w:r w:rsidRPr="00B95EB3">
        <w:rPr>
          <w:rFonts w:asciiTheme="majorHAnsi" w:hAnsiTheme="majorHAnsi" w:cstheme="majorHAnsi"/>
        </w:rPr>
        <w:t>3.6.1 Local Hardware Protocols</w:t>
      </w:r>
      <w:bookmarkEnd w:id="104"/>
    </w:p>
    <w:p w14:paraId="3E9B3FC8"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3.7. Local communication protocols and pin assignments.</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276"/>
        <w:gridCol w:w="1674"/>
        <w:gridCol w:w="2809"/>
        <w:gridCol w:w="3427"/>
      </w:tblGrid>
      <w:tr w:rsidR="00DB1607" w:rsidRPr="00B95EB3" w14:paraId="6D8CCD37"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64EAB47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Component</w:t>
            </w:r>
          </w:p>
        </w:tc>
        <w:tc>
          <w:tcPr>
            <w:tcW w:w="0" w:type="auto"/>
            <w:shd w:val="clear" w:color="auto" w:fill="EDEFF2"/>
          </w:tcPr>
          <w:p w14:paraId="1B195C9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Protocol</w:t>
            </w:r>
          </w:p>
        </w:tc>
        <w:tc>
          <w:tcPr>
            <w:tcW w:w="0" w:type="auto"/>
            <w:shd w:val="clear" w:color="auto" w:fill="EDEFF2"/>
          </w:tcPr>
          <w:p w14:paraId="3703061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Pins</w:t>
            </w:r>
          </w:p>
        </w:tc>
        <w:tc>
          <w:tcPr>
            <w:tcW w:w="0" w:type="auto"/>
            <w:shd w:val="clear" w:color="auto" w:fill="EDEFF2"/>
          </w:tcPr>
          <w:p w14:paraId="0A0E9C3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Implementation note</w:t>
            </w:r>
          </w:p>
        </w:tc>
      </w:tr>
      <w:tr w:rsidR="00DB1607" w:rsidRPr="00B95EB3" w14:paraId="0D31ECC7" w14:textId="77777777">
        <w:tc>
          <w:tcPr>
            <w:tcW w:w="0" w:type="auto"/>
          </w:tcPr>
          <w:p w14:paraId="4DA996E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DS18B20</w:t>
            </w:r>
          </w:p>
        </w:tc>
        <w:tc>
          <w:tcPr>
            <w:tcW w:w="0" w:type="auto"/>
          </w:tcPr>
          <w:p w14:paraId="7E0E6F7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1-Wire</w:t>
            </w:r>
          </w:p>
        </w:tc>
        <w:tc>
          <w:tcPr>
            <w:tcW w:w="0" w:type="auto"/>
          </w:tcPr>
          <w:p w14:paraId="0AD7CCE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Power GPIO27, data GPIO23</w:t>
            </w:r>
          </w:p>
        </w:tc>
        <w:tc>
          <w:tcPr>
            <w:tcW w:w="0" w:type="auto"/>
          </w:tcPr>
          <w:p w14:paraId="13DC804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Powered wiring, not parasite power</w:t>
            </w:r>
          </w:p>
        </w:tc>
      </w:tr>
      <w:tr w:rsidR="00DB1607" w:rsidRPr="00B95EB3" w14:paraId="2F21EE09" w14:textId="77777777">
        <w:tc>
          <w:tcPr>
            <w:tcW w:w="0" w:type="auto"/>
          </w:tcPr>
          <w:p w14:paraId="4F553E9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TDS board</w:t>
            </w:r>
          </w:p>
        </w:tc>
        <w:tc>
          <w:tcPr>
            <w:tcW w:w="0" w:type="auto"/>
          </w:tcPr>
          <w:p w14:paraId="145039A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Analogue voltage</w:t>
            </w:r>
          </w:p>
        </w:tc>
        <w:tc>
          <w:tcPr>
            <w:tcW w:w="0" w:type="auto"/>
          </w:tcPr>
          <w:p w14:paraId="64C1422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Power GPIO25, signal GPIO34</w:t>
            </w:r>
          </w:p>
        </w:tc>
        <w:tc>
          <w:tcPr>
            <w:tcW w:w="0" w:type="auto"/>
          </w:tcPr>
          <w:p w14:paraId="651343E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ADC1, sampled before Wi-Fi</w:t>
            </w:r>
          </w:p>
        </w:tc>
      </w:tr>
      <w:tr w:rsidR="00DB1607" w:rsidRPr="00B95EB3" w14:paraId="2BF3DDE7" w14:textId="77777777">
        <w:tc>
          <w:tcPr>
            <w:tcW w:w="0" w:type="auto"/>
          </w:tcPr>
          <w:p w14:paraId="43B58A5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pH board</w:t>
            </w:r>
          </w:p>
        </w:tc>
        <w:tc>
          <w:tcPr>
            <w:tcW w:w="0" w:type="auto"/>
          </w:tcPr>
          <w:p w14:paraId="2687FE0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Analogue voltage</w:t>
            </w:r>
          </w:p>
        </w:tc>
        <w:tc>
          <w:tcPr>
            <w:tcW w:w="0" w:type="auto"/>
          </w:tcPr>
          <w:p w14:paraId="4A27FEC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Power GPIO4, signal GPIO35</w:t>
            </w:r>
          </w:p>
        </w:tc>
        <w:tc>
          <w:tcPr>
            <w:tcW w:w="0" w:type="auto"/>
          </w:tcPr>
          <w:p w14:paraId="7B66A5C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ADC1, sampled last and before Wi-Fi</w:t>
            </w:r>
          </w:p>
        </w:tc>
      </w:tr>
      <w:tr w:rsidR="00DB1607" w:rsidRPr="00B95EB3" w14:paraId="5D901FE6" w14:textId="77777777">
        <w:tc>
          <w:tcPr>
            <w:tcW w:w="0" w:type="auto"/>
          </w:tcPr>
          <w:p w14:paraId="4594A96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TSL2591</w:t>
            </w:r>
          </w:p>
        </w:tc>
        <w:tc>
          <w:tcPr>
            <w:tcW w:w="0" w:type="auto"/>
          </w:tcPr>
          <w:p w14:paraId="7332CC7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I2C, 100 kHz</w:t>
            </w:r>
          </w:p>
        </w:tc>
        <w:tc>
          <w:tcPr>
            <w:tcW w:w="0" w:type="auto"/>
          </w:tcPr>
          <w:p w14:paraId="7EDC114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Power GPIO26, SDA 21, SCL 22</w:t>
            </w:r>
          </w:p>
        </w:tc>
        <w:tc>
          <w:tcPr>
            <w:tcW w:w="0" w:type="auto"/>
          </w:tcPr>
          <w:p w14:paraId="5B90D03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Address 0x29 on bus 0</w:t>
            </w:r>
          </w:p>
        </w:tc>
      </w:tr>
      <w:tr w:rsidR="00DB1607" w:rsidRPr="00B95EB3" w14:paraId="03E9E792" w14:textId="77777777">
        <w:tc>
          <w:tcPr>
            <w:tcW w:w="0" w:type="auto"/>
          </w:tcPr>
          <w:p w14:paraId="7D249F8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GY-33</w:t>
            </w:r>
          </w:p>
        </w:tc>
        <w:tc>
          <w:tcPr>
            <w:tcW w:w="0" w:type="auto"/>
          </w:tcPr>
          <w:p w14:paraId="010A051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I2C, 100 kHz</w:t>
            </w:r>
          </w:p>
        </w:tc>
        <w:tc>
          <w:tcPr>
            <w:tcW w:w="0" w:type="auto"/>
          </w:tcPr>
          <w:p w14:paraId="787242F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Power GPIO32, SDA 18, SCL 19</w:t>
            </w:r>
          </w:p>
        </w:tc>
        <w:tc>
          <w:tcPr>
            <w:tcW w:w="0" w:type="auto"/>
          </w:tcPr>
          <w:p w14:paraId="527F97A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Address 0x5A on bus 1</w:t>
            </w:r>
          </w:p>
        </w:tc>
      </w:tr>
      <w:tr w:rsidR="00DB1607" w:rsidRPr="00B95EB3" w14:paraId="61AFB157" w14:textId="77777777">
        <w:tc>
          <w:tcPr>
            <w:tcW w:w="0" w:type="auto"/>
          </w:tcPr>
          <w:p w14:paraId="3F656FD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ESP32 nodes</w:t>
            </w:r>
          </w:p>
        </w:tc>
        <w:tc>
          <w:tcPr>
            <w:tcW w:w="0" w:type="auto"/>
          </w:tcPr>
          <w:p w14:paraId="3180F7A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Wi-Fi and HTTPS</w:t>
            </w:r>
          </w:p>
        </w:tc>
        <w:tc>
          <w:tcPr>
            <w:tcW w:w="0" w:type="auto"/>
          </w:tcPr>
          <w:p>
            <w:r>
              <w:t>N/A</w:t>
            </w:r>
          </w:p>
        </w:tc>
        <w:tc>
          <w:tcPr>
            <w:tcW w:w="0" w:type="auto"/>
          </w:tcPr>
          <w:p w14:paraId="77465EC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Bounded connection and upload time</w:t>
            </w:r>
          </w:p>
        </w:tc>
      </w:tr>
    </w:tbl>
    <w:p w14:paraId="2C3352EA"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lastRenderedPageBreak/>
        <w:t>Powered 1-Wire wiring was chosen over parasite power because it is simpler to manage across an outdoor cable and does not need a strong pull-up during conversion. The two I2C buses run at 100 kHz, which tolerates the longer wiring of an enclosure better than 400 kHz and costs nothing noticeable given the few bytes read.</w:t>
      </w:r>
    </w:p>
    <w:p w14:paraId="48009B99" w14:textId="77777777" w:rsidR="00DB1607" w:rsidRPr="00B95EB3" w:rsidRDefault="00000000">
      <w:pPr>
        <w:pStyle w:val="Heading3"/>
        <w:rPr>
          <w:rFonts w:asciiTheme="majorHAnsi" w:hAnsiTheme="majorHAnsi" w:cstheme="majorHAnsi"/>
        </w:rPr>
      </w:pPr>
      <w:bookmarkStart w:id="105" w:name="sensor-node-telemetry"/>
      <w:bookmarkStart w:id="106" w:name="_Toc241565712"/>
      <w:bookmarkEnd w:id="103"/>
      <w:r w:rsidRPr="00B95EB3">
        <w:rPr>
          <w:rFonts w:asciiTheme="majorHAnsi" w:hAnsiTheme="majorHAnsi" w:cstheme="majorHAnsi"/>
        </w:rPr>
        <w:t>3.6.2 Sensor Node Telemetry</w:t>
      </w:r>
      <w:bookmarkEnd w:id="106"/>
    </w:p>
    <w:p w14:paraId="5A5E0616"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sensor node writes directly to Supabase through its REST interface. After sensing, it builds one JSON array with a row for each channel (temperature, TDS, pH and light) and sends the whole array in one insert request. Each row carries a sensor type and value, and the database adds the user identifier and insertion time. This format matches the SensorData table that the dashboard function and daily aggregation already read, so the node could be connected without changing any database function. The node has uploaded to Supabase successfully in this form during development.</w:t>
      </w:r>
    </w:p>
    <w:p w14:paraId="641C5B19"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 failed temperature reading is left out of the batch rather than replaced with the compensation fallback, so a disconnected probe cannot appear as a pond at 25 °C. The same rule should apply to the light channel, which currently sends −1 when the sensor fails. The server’s validation gate already rejects a negative lux value as out of range (Section 5.4.2), but omitting the row is the cleaner signal.</w:t>
      </w:r>
    </w:p>
    <w:p w14:paraId="2EDFB782"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present row format has one gap. The insertion time recorded by the database is not the sample time, so a delayed upload would appear to be a recent reading, and the rows from one cycle share no identifier. A small payload change closes this gap by adding a device identifier, the cycle counter the node already keeps and the sample time to each row. A value that was not refreshed in the current cycle can then be recognised by its own sample time. This change touches only the node and one table, and is scheduled before the field run (Section 4.5.5).</w:t>
      </w:r>
    </w:p>
    <w:p w14:paraId="578FBF81"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node uses Supabase’s publishable key, which is restricted by row-level security, and never a service-role key. A service-role key bypasses row-level security and cannot be kept secret on a device that someone could open (Supabase, 2026). Only the two Flask services hold service-role keys, on the server side.</w:t>
      </w:r>
    </w:p>
    <w:p w14:paraId="40B2AA6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HTTP has a large connection overhead beside a short sensor payload, which supports batching. MQTT would reduce repeated overhead and handle queued delivery better, but it would add a broker to run and maintain. For one node reporting every 5 minutes, batched HTTPS is the simpler choice.</w:t>
      </w:r>
      <w:r w:rsidRPr="00B95EB3">
        <w:rPr>
          <w:rFonts w:asciiTheme="majorHAnsi" w:hAnsiTheme="majorHAnsi" w:cstheme="majorHAnsi"/>
        </w:rPr>
      </w:r>
    </w:p>
    <w:p w14:paraId="21410D63" w14:textId="77777777" w:rsidR="00DB1607" w:rsidRPr="00B95EB3" w:rsidRDefault="00000000">
      <w:pPr>
        <w:pStyle w:val="Heading3"/>
        <w:rPr>
          <w:rFonts w:asciiTheme="majorHAnsi" w:hAnsiTheme="majorHAnsi" w:cstheme="majorHAnsi"/>
        </w:rPr>
      </w:pPr>
      <w:bookmarkStart w:id="107" w:name="two-data-paths"/>
      <w:bookmarkStart w:id="108" w:name="_Toc241565713"/>
      <w:bookmarkEnd w:id="105"/>
      <w:r w:rsidRPr="00B95EB3">
        <w:rPr>
          <w:rFonts w:asciiTheme="majorHAnsi" w:hAnsiTheme="majorHAnsi" w:cstheme="majorHAnsi"/>
        </w:rPr>
        <w:t>3.6.3 Two Data Paths</w:t>
      </w:r>
      <w:bookmarkEnd w:id="108"/>
    </w:p>
    <w:p w14:paraId="57AB571F"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Numeric telemetry needs no processing before storage, while an image must be decoded and analysed. The sensor node therefore writes straight to the database, and the camera sends image bytes to the camera analysis service, which stores the image and its result and replies with the next wake interval. Both paths end in Supabase, but only the camera path needs a reply that controls the device. This is also why the camera path runs through a server of its own: the scheduling decision depends on the previous image’s state, which lives in the database.</w:t>
      </w:r>
    </w:p>
    <w:p w14:paraId="633A1707" w14:textId="77777777" w:rsidR="00DB1607" w:rsidRPr="00B95EB3" w:rsidRDefault="00000000">
      <w:pPr>
        <w:pStyle w:val="Heading2"/>
        <w:rPr>
          <w:rFonts w:asciiTheme="majorHAnsi" w:hAnsiTheme="majorHAnsi" w:cstheme="majorHAnsi"/>
        </w:rPr>
      </w:pPr>
      <w:bookmarkStart w:id="109" w:name="camera-analysis-service-and-scheduling"/>
      <w:bookmarkStart w:id="110" w:name="_Toc241565714"/>
      <w:bookmarkEnd w:id="101"/>
      <w:bookmarkEnd w:id="107"/>
      <w:r w:rsidRPr="00B95EB3">
        <w:rPr>
          <w:rFonts w:asciiTheme="majorHAnsi" w:hAnsiTheme="majorHAnsi" w:cstheme="majorHAnsi"/>
        </w:rPr>
        <w:t>3.7 Camera Analysis Service and Scheduling</w:t>
      </w:r>
      <w:bookmarkEnd w:id="110"/>
    </w:p>
    <w:p w14:paraId="46924E6B" w14:textId="77777777" w:rsidR="00DB1607" w:rsidRPr="00B95EB3" w:rsidRDefault="00000000">
      <w:pPr>
        <w:pStyle w:val="Heading3"/>
        <w:rPr>
          <w:rFonts w:asciiTheme="majorHAnsi" w:hAnsiTheme="majorHAnsi" w:cstheme="majorHAnsi"/>
        </w:rPr>
      </w:pPr>
      <w:bookmarkStart w:id="111" w:name="hosting-on-pythonanywhere"/>
      <w:bookmarkStart w:id="112" w:name="_Toc241565715"/>
      <w:r w:rsidRPr="00B95EB3">
        <w:rPr>
          <w:rFonts w:asciiTheme="majorHAnsi" w:hAnsiTheme="majorHAnsi" w:cstheme="majorHAnsi"/>
        </w:rPr>
        <w:t>3.7.1 Hosting on PythonAnywhere</w:t>
      </w:r>
      <w:bookmarkEnd w:id="112"/>
    </w:p>
    <w:p w14:paraId="75D747C5"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camera analysis service runs on PythonAnywhere, a hosted Python platform. The camera needs an endpoint it can reach from any Wi-Fi network over HTTPS, without depending on a laptop being switched on. Hosting also gives a fixed address, so the address can be written into the camera firmware once. The service fits a request-driven host well because each upload is handled independently: the only state it needs from earlier frames is read from Supabase at the start of each request.</w:t>
      </w:r>
    </w:p>
    <w:p w14:paraId="5EE935C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Hosting on the public internet required three changes. The camera sends a device token in an HTTP header, and the service rejects uploads without a matching token. The service rejects payloads above 1 MB so a malformed upload cannot exhaust its memory. Because PythonAnywhere servers run in UTC, the schedule also computes all times in Singapore time explicitly. Without this, the 08:00 slot would have fired at 16:00 local time.</w:t>
      </w:r>
    </w:p>
    <w:p w14:paraId="33C195DF" w14:textId="77777777" w:rsidR="00DB1607" w:rsidRPr="00B95EB3" w:rsidRDefault="00000000">
      <w:pPr>
        <w:pStyle w:val="Heading3"/>
        <w:rPr>
          <w:rFonts w:asciiTheme="majorHAnsi" w:hAnsiTheme="majorHAnsi" w:cstheme="majorHAnsi"/>
        </w:rPr>
      </w:pPr>
      <w:bookmarkStart w:id="113" w:name="image-analysis"/>
      <w:bookmarkStart w:id="114" w:name="_Toc241565716"/>
      <w:bookmarkEnd w:id="111"/>
      <w:r w:rsidRPr="00B95EB3">
        <w:rPr>
          <w:rFonts w:asciiTheme="majorHAnsi" w:hAnsiTheme="majorHAnsi" w:cstheme="majorHAnsi"/>
        </w:rPr>
        <w:t>3.7.2 Image Analysis</w:t>
      </w:r>
      <w:bookmarkEnd w:id="114"/>
    </w:p>
    <w:p w14:paraId="249F5FC9"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 xml:space="preserve">For each frame, the service decodes the JPEG with OpenCV, converts it to the HSV colour space and counts the pixels whose hue, saturation and value fall inside a fixed green range (hue 18 to 42 on OpenCV’s 0 to 180 scale, saturation and value at least 40). The green ratio is the count divided by the number of pixels analysed. HSV was chosen over raw RGB </w:t>
      </w:r>
      <w:r w:rsidRPr="00B95EB3">
        <w:rPr>
          <w:rFonts w:asciiTheme="majorHAnsi" w:hAnsiTheme="majorHAnsi" w:cstheme="majorHAnsi"/>
        </w:rPr>
        <w:lastRenderedPageBreak/>
        <w:t>because it separates colour from brightness, which makes the green classification less sensitive to changes in daylight (Section 2.6.8).</w:t>
      </w:r>
    </w:p>
    <w:p w14:paraId="112A5859"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analysis currently uses the full frame. A region-of-interest option exists in the code but is not yet configured, so plants, pond edges or decking in view dilute or add to the ratio. The literature reviewed in Section 2.6.8 found that water-body segmentation was necessary before thresholding, and a fixed water mask per installation is the planned fix. Until then, the absolute ratio is comparable only for a fixed camera position, and the algae model relies on changes in the ratio and on owner ratings rather than on its absolute level (Section 3.9.2).</w:t>
      </w:r>
    </w:p>
    <w:p w14:paraId="208BF5E5" w14:textId="77777777" w:rsidR="00DB1607" w:rsidRPr="00B95EB3" w:rsidRDefault="00000000">
      <w:pPr>
        <w:pStyle w:val="Heading3"/>
        <w:rPr>
          <w:rFonts w:asciiTheme="majorHAnsi" w:hAnsiTheme="majorHAnsi" w:cstheme="majorHAnsi"/>
        </w:rPr>
      </w:pPr>
      <w:bookmarkStart w:id="115" w:name="camera-states"/>
      <w:bookmarkStart w:id="116" w:name="_Toc241565717"/>
      <w:bookmarkEnd w:id="113"/>
      <w:r w:rsidRPr="00B95EB3">
        <w:rPr>
          <w:rFonts w:asciiTheme="majorHAnsi" w:hAnsiTheme="majorHAnsi" w:cstheme="majorHAnsi"/>
        </w:rPr>
        <w:t>3.7.3 Camera States</w:t>
      </w:r>
      <w:bookmarkEnd w:id="116"/>
    </w:p>
    <w:p w14:paraId="3465286F"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service keeps an exponentially smoothed green baseline (smoothing factor 0.2) and compares each new frame with it. Table 3.8 lists the resulting states and their wake intervals as implemented.</w:t>
      </w:r>
    </w:p>
    <w:p w14:paraId="27CD06CA"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3.8. Camera states and wake intervals as implemented.</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488"/>
        <w:gridCol w:w="2944"/>
        <w:gridCol w:w="4754"/>
      </w:tblGrid>
      <w:tr w:rsidR="00DB1607" w:rsidRPr="00B95EB3" w14:paraId="0D9F0CFB"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7F8A2C6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State</w:t>
            </w:r>
          </w:p>
        </w:tc>
        <w:tc>
          <w:tcPr>
            <w:tcW w:w="0" w:type="auto"/>
            <w:shd w:val="clear" w:color="auto" w:fill="EDEFF2"/>
          </w:tcPr>
          <w:p w14:paraId="72D64E0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Wake interval</w:t>
            </w:r>
          </w:p>
        </w:tc>
        <w:tc>
          <w:tcPr>
            <w:tcW w:w="0" w:type="auto"/>
            <w:shd w:val="clear" w:color="auto" w:fill="EDEFF2"/>
          </w:tcPr>
          <w:p w14:paraId="227C178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Entry and exit</w:t>
            </w:r>
          </w:p>
        </w:tc>
      </w:tr>
      <w:tr w:rsidR="00DB1607" w:rsidRPr="00B95EB3" w14:paraId="556C1521" w14:textId="77777777">
        <w:tc>
          <w:tcPr>
            <w:tcW w:w="0" w:type="auto"/>
          </w:tcPr>
          <w:p w14:paraId="29C1AD7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Base</w:t>
            </w:r>
          </w:p>
        </w:tc>
        <w:tc>
          <w:tcPr>
            <w:tcW w:w="0" w:type="auto"/>
          </w:tcPr>
          <w:p w14:paraId="06293FA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Next of 08:00, 10:00, 12:00, 14:00, 16:00 or 18:00 Singapore time</w:t>
            </w:r>
          </w:p>
        </w:tc>
        <w:tc>
          <w:tcPr>
            <w:tcW w:w="0" w:type="auto"/>
          </w:tcPr>
          <w:p w14:paraId="777B6F5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Default state. Also used for every state outside daylight hours</w:t>
            </w:r>
          </w:p>
        </w:tc>
      </w:tr>
      <w:tr w:rsidR="00DB1607" w:rsidRPr="00B95EB3" w14:paraId="2D943CA1" w14:textId="77777777">
        <w:tc>
          <w:tcPr>
            <w:tcW w:w="0" w:type="auto"/>
          </w:tcPr>
          <w:p w14:paraId="2E7384C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Dynamic</w:t>
            </w:r>
          </w:p>
        </w:tc>
        <w:tc>
          <w:tcPr>
            <w:tcW w:w="0" w:type="auto"/>
          </w:tcPr>
          <w:p w14:paraId="20BAA94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30 minutes</w:t>
            </w:r>
          </w:p>
        </w:tc>
        <w:tc>
          <w:tcPr>
            <w:tcW w:w="0" w:type="auto"/>
          </w:tcPr>
          <w:p w14:paraId="33FDE05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Entered when the frame exceeds the baseline by more than 0.05. Returns to base on the first frame below that step</w:t>
            </w:r>
          </w:p>
        </w:tc>
      </w:tr>
      <w:tr w:rsidR="00DB1607" w:rsidRPr="00B95EB3" w14:paraId="7995AE43" w14:textId="77777777">
        <w:tc>
          <w:tcPr>
            <w:tcW w:w="0" w:type="auto"/>
          </w:tcPr>
          <w:p w14:paraId="2AE6A9D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Obstruction</w:t>
            </w:r>
          </w:p>
        </w:tc>
        <w:tc>
          <w:tcPr>
            <w:tcW w:w="0" w:type="auto"/>
          </w:tcPr>
          <w:p w14:paraId="6E0F075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2 hours</w:t>
            </w:r>
          </w:p>
        </w:tc>
        <w:tc>
          <w:tcPr>
            <w:tcW w:w="0" w:type="auto"/>
          </w:tcPr>
          <w:p w14:paraId="51991A6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Entered on a jump above 0.40, which is too large to be algal growth. Held until a frame returns within 0.15 of the baseline</w:t>
            </w:r>
          </w:p>
        </w:tc>
      </w:tr>
      <w:tr w:rsidR="00DB1607" w:rsidRPr="00B95EB3" w14:paraId="4F7166C2" w14:textId="77777777">
        <w:tc>
          <w:tcPr>
            <w:tcW w:w="0" w:type="auto"/>
          </w:tcPr>
          <w:p w14:paraId="7E4B34E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Server or network error</w:t>
            </w:r>
          </w:p>
        </w:tc>
        <w:tc>
          <w:tcPr>
            <w:tcW w:w="0" w:type="auto"/>
          </w:tcPr>
          <w:p w14:paraId="263A5A3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2 hours from the server, 30 minutes on the device if no reply arrives</w:t>
            </w:r>
          </w:p>
        </w:tc>
        <w:tc>
          <w:tcPr>
            <w:tcW w:w="0" w:type="auto"/>
          </w:tcPr>
          <w:p w14:paraId="27A3BC0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Prevents a tight retry loop and limits battery drain</w:t>
            </w:r>
          </w:p>
        </w:tc>
      </w:tr>
    </w:tbl>
    <w:p w14:paraId="4C7FF0E0"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Three further design choices sit behind this table. First, the baseline is frozen while the camera is in the obstruction state, so a leaf or glare on the lens is not absorbed into the pond’s normal level. Second, outside daylight hours every state falls back to the base schedule, so a dynamic or obstructed state cannot wake the camera all night for dark frames. Third, a wake up to 10 minutes before a slot counts as that slot, because the ESP32’s sleep timer drifts and might otherwise wake a little early and schedule a second capture a few seconds later.</w:t>
      </w:r>
    </w:p>
    <w:p w14:paraId="63489764"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Two parts of the earlier design are not yet implemented. The dynamic state uses a fixed 30-minute interval instead of the planned 2-hour, 1-hour and 30-minute steps. The state machine also changes state on a single frame in both directions, so one noisy frame can start 30-minute captures. Requiring two raised frames to enter the dynamic state and several stable frames to leave it would reduce this, at the cost of reacting one interval later to a genuine change. The owner alert for an obstruction is also not yet sent. These are recorded as limitations in Section 8.3.</w:t>
      </w:r>
    </w:p>
    <w:p w14:paraId="72E4C53F" w14:textId="77777777" w:rsidR="00DB1607" w:rsidRPr="00B95EB3" w:rsidRDefault="00000000">
      <w:pPr>
        <w:pStyle w:val="Heading3"/>
        <w:rPr>
          <w:rFonts w:asciiTheme="majorHAnsi" w:hAnsiTheme="majorHAnsi" w:cstheme="majorHAnsi"/>
        </w:rPr>
      </w:pPr>
      <w:bookmarkStart w:id="117" w:name="device-side-safeguards"/>
      <w:bookmarkStart w:id="118" w:name="_Toc241565718"/>
      <w:bookmarkEnd w:id="115"/>
      <w:r w:rsidRPr="00B95EB3">
        <w:rPr>
          <w:rFonts w:asciiTheme="majorHAnsi" w:hAnsiTheme="majorHAnsi" w:cstheme="majorHAnsi"/>
        </w:rPr>
        <w:t>3.7.4 Device-Side Safeguards</w:t>
      </w:r>
      <w:bookmarkEnd w:id="118"/>
    </w:p>
    <w:p w14:paraId="4D6FEDA2"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Server-side scheduling lets thresholds change without reflashing the camera, but it makes the camera depend on a valid reply. The firmware therefore reads the wake interval from any reply that contains one, including the server’s error replies, and clamps it between 30 s and 24 hours. If no reply arrives, it sleeps for 30 minutes. If Wi-Fi fails, it retries after 5 minutes, then 15 minutes, then 30 minutes, so a one-off dropout recovers quickly while a longer outage does not drain the battery. Each Wi-Fi connection is limited to two attempts of 12 s, and each upload to 20 s.</w:t>
      </w:r>
    </w:p>
    <w:p w14:paraId="59FC417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30 s lower clamp is below the 15-minute minimum in the earlier design. It was kept low so that a test mode on the server (which returns intervals of 60 s to 100 s) can exercise the state machine quickly. The server itself never returns less than 60 s outside test mode. Raising the firmware’s lower clamp to 15 minutes for deployment would remove the risk of a server error causing rapid wakes, at the cost of reflashing to run tests.</w:t>
      </w:r>
    </w:p>
    <w:p w14:paraId="3D68FF86" w14:textId="77777777" w:rsidR="00DB1607" w:rsidRPr="00B95EB3" w:rsidRDefault="00000000">
      <w:pPr>
        <w:pStyle w:val="Heading2"/>
        <w:rPr>
          <w:rFonts w:asciiTheme="majorHAnsi" w:hAnsiTheme="majorHAnsi" w:cstheme="majorHAnsi"/>
        </w:rPr>
      </w:pPr>
      <w:bookmarkStart w:id="119" w:name="supabase-data-store"/>
      <w:bookmarkStart w:id="120" w:name="_Toc241565719"/>
      <w:bookmarkEnd w:id="109"/>
      <w:bookmarkEnd w:id="117"/>
      <w:r w:rsidRPr="00B95EB3">
        <w:rPr>
          <w:rFonts w:asciiTheme="majorHAnsi" w:hAnsiTheme="majorHAnsi" w:cstheme="majorHAnsi"/>
        </w:rPr>
        <w:t>3.8 Supabase Data Store</w:t>
      </w:r>
      <w:bookmarkEnd w:id="120"/>
    </w:p>
    <w:p w14:paraId="001F8A7B"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Supabase provides a PostgreSQL database, file storage and a REST interface. Table 3.9 lists the tables the system uses and which component writes each one.</w:t>
      </w:r>
    </w:p>
    <w:p w14:paraId="55103925"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3.9. Supabase tables and their writers.</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4517"/>
        <w:gridCol w:w="2868"/>
        <w:gridCol w:w="1801"/>
      </w:tblGrid>
      <w:tr w:rsidR="00DB1607" w:rsidRPr="00B95EB3" w14:paraId="761C3302"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6A6D1D9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Table or object</w:t>
            </w:r>
          </w:p>
        </w:tc>
        <w:tc>
          <w:tcPr>
            <w:tcW w:w="0" w:type="auto"/>
            <w:shd w:val="clear" w:color="auto" w:fill="EDEFF2"/>
          </w:tcPr>
          <w:p w14:paraId="7714968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Contents</w:t>
            </w:r>
          </w:p>
        </w:tc>
        <w:tc>
          <w:tcPr>
            <w:tcW w:w="0" w:type="auto"/>
            <w:shd w:val="clear" w:color="auto" w:fill="EDEFF2"/>
          </w:tcPr>
          <w:p w14:paraId="6BDF71C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Written by</w:t>
            </w:r>
          </w:p>
        </w:tc>
      </w:tr>
      <w:tr w:rsidR="00DB1607" w:rsidRPr="00B95EB3" w14:paraId="1A74F50D" w14:textId="77777777">
        <w:tc>
          <w:tcPr>
            <w:tcW w:w="0" w:type="auto"/>
          </w:tcPr>
          <w:p w14:paraId="32DDC69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SensorData</w:t>
            </w:r>
          </w:p>
        </w:tc>
        <w:tc>
          <w:tcPr>
            <w:tcW w:w="0" w:type="auto"/>
          </w:tcPr>
          <w:p w14:paraId="01187A3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One row per channel reading</w:t>
            </w:r>
          </w:p>
        </w:tc>
        <w:tc>
          <w:tcPr>
            <w:tcW w:w="0" w:type="auto"/>
          </w:tcPr>
          <w:p w14:paraId="2315E81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Sensor node</w:t>
            </w:r>
          </w:p>
        </w:tc>
      </w:tr>
      <w:tr w:rsidR="00DB1607" w:rsidRPr="00B95EB3" w14:paraId="13F99CE6" w14:textId="77777777">
        <w:tc>
          <w:tcPr>
            <w:tcW w:w="0" w:type="auto"/>
          </w:tcPr>
          <w:p w14:paraId="13E9B20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imageTable</w:t>
            </w:r>
          </w:p>
        </w:tc>
        <w:tc>
          <w:tcPr>
            <w:tcW w:w="0" w:type="auto"/>
          </w:tcPr>
          <w:p w14:paraId="075F7E8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Green ratio, state pair and image address</w:t>
            </w:r>
          </w:p>
        </w:tc>
        <w:tc>
          <w:tcPr>
            <w:tcW w:w="0" w:type="auto"/>
          </w:tcPr>
          <w:p w14:paraId="7585401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Camera service</w:t>
            </w:r>
          </w:p>
        </w:tc>
      </w:tr>
      <w:tr w:rsidR="00DB1607" w:rsidRPr="00B95EB3" w14:paraId="3E7F3548" w14:textId="77777777">
        <w:tc>
          <w:tcPr>
            <w:tcW w:w="0" w:type="auto"/>
          </w:tcPr>
          <w:p w14:paraId="6A04E54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Image storage bucket</w:t>
            </w:r>
          </w:p>
        </w:tc>
        <w:tc>
          <w:tcPr>
            <w:tcW w:w="0" w:type="auto"/>
          </w:tcPr>
          <w:p w14:paraId="58DC470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JPEG frames stored by user and time</w:t>
            </w:r>
          </w:p>
        </w:tc>
        <w:tc>
          <w:tcPr>
            <w:tcW w:w="0" w:type="auto"/>
          </w:tcPr>
          <w:p w14:paraId="159CE16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Camera service</w:t>
            </w:r>
          </w:p>
        </w:tc>
      </w:tr>
      <w:tr w:rsidR="00DB1607" w:rsidRPr="00B95EB3" w14:paraId="0C53A088" w14:textId="77777777">
        <w:tc>
          <w:tcPr>
            <w:tcW w:w="0" w:type="auto"/>
          </w:tcPr>
          <w:p w14:paraId="312BEC5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weather_telemetry, weather_forecasts</w:t>
            </w:r>
          </w:p>
        </w:tc>
        <w:tc>
          <w:tcPr>
            <w:tcW w:w="0" w:type="auto"/>
          </w:tcPr>
          <w:p w14:paraId="7D168FA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NEA observations and forecasts</w:t>
            </w:r>
          </w:p>
        </w:tc>
        <w:tc>
          <w:tcPr>
            <w:tcW w:w="0" w:type="auto"/>
          </w:tcPr>
          <w:p w14:paraId="6591255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Data ingestion</w:t>
            </w:r>
          </w:p>
        </w:tc>
      </w:tr>
      <w:tr w:rsidR="00DB1607" w:rsidRPr="00B95EB3" w14:paraId="07589108" w14:textId="77777777">
        <w:tc>
          <w:tcPr>
            <w:tcW w:w="0" w:type="auto"/>
          </w:tcPr>
          <w:p w14:paraId="7F422DE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lastRenderedPageBreak/>
              <w:t>UserData</w:t>
            </w:r>
          </w:p>
        </w:tc>
        <w:tc>
          <w:tcPr>
            <w:tcW w:w="0" w:type="auto"/>
          </w:tcPr>
          <w:p w14:paraId="28E83FC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Pond volume, biomass, location and assigned weather stations</w:t>
            </w:r>
          </w:p>
        </w:tc>
        <w:tc>
          <w:tcPr>
            <w:tcW w:w="0" w:type="auto"/>
          </w:tcPr>
          <w:p w14:paraId="70E4748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Mobile application at onboarding</w:t>
            </w:r>
          </w:p>
        </w:tc>
      </w:tr>
      <w:tr w:rsidR="00DB1607" w:rsidRPr="00B95EB3" w14:paraId="5F6A72BE" w14:textId="77777777">
        <w:tc>
          <w:tcPr>
            <w:tcW w:w="0" w:type="auto"/>
          </w:tcPr>
          <w:p w14:paraId="6BC095C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pondInterventions</w:t>
            </w:r>
          </w:p>
        </w:tc>
        <w:tc>
          <w:tcPr>
            <w:tcW w:w="0" w:type="auto"/>
          </w:tcPr>
          <w:p w14:paraId="563EE42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Feeding, water change, top-up and scrub events</w:t>
            </w:r>
          </w:p>
        </w:tc>
        <w:tc>
          <w:tcPr>
            <w:tcW w:w="0" w:type="auto"/>
          </w:tcPr>
          <w:p w14:paraId="45C2DB7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Mobile application</w:t>
            </w:r>
          </w:p>
        </w:tc>
      </w:tr>
      <w:tr w:rsidR="00DB1607" w:rsidRPr="00B95EB3" w14:paraId="73F9A5CB" w14:textId="77777777">
        <w:tc>
          <w:tcPr>
            <w:tcW w:w="0" w:type="auto"/>
          </w:tcPr>
          <w:p w14:paraId="11C0CF4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daily_sensor_averages</w:t>
            </w:r>
          </w:p>
        </w:tc>
        <w:tc>
          <w:tcPr>
            <w:tcW w:w="0" w:type="auto"/>
          </w:tcPr>
          <w:p w14:paraId="2CDD5C2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Daily aggregates of each channel</w:t>
            </w:r>
          </w:p>
        </w:tc>
        <w:tc>
          <w:tcPr>
            <w:tcW w:w="0" w:type="auto"/>
          </w:tcPr>
          <w:p w14:paraId="4324C07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Database function</w:t>
            </w:r>
          </w:p>
        </w:tc>
      </w:tr>
      <w:tr w:rsidR="00DB1607" w:rsidRPr="00B95EB3" w14:paraId="2BDE7383" w14:textId="77777777">
        <w:tc>
          <w:tcPr>
            <w:tcW w:w="0" w:type="auto"/>
          </w:tcPr>
          <w:p w14:paraId="4B5A5EE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pond_chemistry_state</w:t>
            </w:r>
          </w:p>
        </w:tc>
        <w:tc>
          <w:tcPr>
            <w:tcW w:w="0" w:type="auto"/>
          </w:tcPr>
          <w:p w14:paraId="64F764A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Serialised digital twin snapshot per pond</w:t>
            </w:r>
          </w:p>
        </w:tc>
        <w:tc>
          <w:tcPr>
            <w:tcW w:w="0" w:type="auto"/>
          </w:tcPr>
          <w:p w14:paraId="01DD8FB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Digital twin</w:t>
            </w:r>
          </w:p>
        </w:tc>
      </w:tr>
      <w:tr w:rsidR="00DB1607" w:rsidRPr="00B95EB3" w14:paraId="28A616EE" w14:textId="77777777">
        <w:tc>
          <w:tcPr>
            <w:tcW w:w="0" w:type="auto"/>
          </w:tcPr>
          <w:p w14:paraId="100225E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pond_chemistry_evaluations, pond_evaporation_evaluations, pond_algae_evaluations</w:t>
            </w:r>
          </w:p>
        </w:tc>
        <w:tc>
          <w:tcPr>
            <w:tcW w:w="0" w:type="auto"/>
          </w:tcPr>
          <w:p w14:paraId="3D742FE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Model outputs per domain and time</w:t>
            </w:r>
          </w:p>
        </w:tc>
        <w:tc>
          <w:tcPr>
            <w:tcW w:w="0" w:type="auto"/>
          </w:tcPr>
          <w:p w14:paraId="2D5ECB3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Digital twin</w:t>
            </w:r>
          </w:p>
        </w:tc>
      </w:tr>
      <w:tr w:rsidR="00DB1607" w:rsidRPr="00B95EB3" w14:paraId="152DA626" w14:textId="77777777">
        <w:tc>
          <w:tcPr>
            <w:tcW w:w="0" w:type="auto"/>
          </w:tcPr>
          <w:p w14:paraId="06CA732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algae_severity_ratings</w:t>
            </w:r>
          </w:p>
        </w:tc>
        <w:tc>
          <w:tcPr>
            <w:tcW w:w="0" w:type="auto"/>
          </w:tcPr>
          <w:p w14:paraId="1FB0EFC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Owner ratings of camera frames</w:t>
            </w:r>
          </w:p>
        </w:tc>
        <w:tc>
          <w:tcPr>
            <w:tcW w:w="0" w:type="auto"/>
          </w:tcPr>
          <w:p w14:paraId="61EB266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Digital twin</w:t>
            </w:r>
          </w:p>
        </w:tc>
      </w:tr>
    </w:tbl>
    <w:p w14:paraId="134BBA07"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When the owner enters the pond location at onboarding, a database trigger selects the nearest NEA stations for air temperature, rainfall and wind and assigns a regional forecast area. A database function then gathers the latest sensor values, weather readings and forecasts into one response for the application and the digital twin’s poller. Serving one bundled response keeps the number of requests low, but it makes that function a contract between the database, the poller and the application: a renamed key or a change in how a sensor type is spelled affects all three. Chapter 5 describes the contract test written to catch this.</w:t>
      </w:r>
    </w:p>
    <w:p w14:paraId="5B2C5730"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Owner events are stored as new rows and never overwrite readings, and model outputs are written as new evaluation rows. This keeps a history of what the system reported and when.</w:t>
      </w:r>
    </w:p>
    <w:p w14:paraId="4F19B290" w14:textId="77777777" w:rsidR="00DB1607" w:rsidRPr="00B95EB3" w:rsidRDefault="00000000">
      <w:pPr>
        <w:pStyle w:val="Heading2"/>
        <w:rPr>
          <w:rFonts w:asciiTheme="majorHAnsi" w:hAnsiTheme="majorHAnsi" w:cstheme="majorHAnsi"/>
        </w:rPr>
      </w:pPr>
      <w:bookmarkStart w:id="121" w:name="digital-twin-service"/>
      <w:bookmarkStart w:id="122" w:name="_Toc241565720"/>
      <w:bookmarkEnd w:id="119"/>
      <w:r w:rsidRPr="00B95EB3">
        <w:rPr>
          <w:rFonts w:asciiTheme="majorHAnsi" w:hAnsiTheme="majorHAnsi" w:cstheme="majorHAnsi"/>
        </w:rPr>
        <w:t>3.9 Digital Twin Service</w:t>
      </w:r>
      <w:bookmarkEnd w:id="122"/>
    </w:p>
    <w:p w14:paraId="27E42E42" w14:textId="77777777" w:rsidR="00DB1607" w:rsidRPr="00B95EB3" w:rsidRDefault="00000000">
      <w:pPr>
        <w:pStyle w:val="Heading3"/>
        <w:rPr>
          <w:rFonts w:asciiTheme="majorHAnsi" w:hAnsiTheme="majorHAnsi" w:cstheme="majorHAnsi"/>
        </w:rPr>
      </w:pPr>
      <w:bookmarkStart w:id="123" w:name="structure"/>
      <w:bookmarkStart w:id="124" w:name="_Toc241565721"/>
      <w:r w:rsidRPr="00B95EB3">
        <w:rPr>
          <w:rFonts w:asciiTheme="majorHAnsi" w:hAnsiTheme="majorHAnsi" w:cstheme="majorHAnsi"/>
        </w:rPr>
        <w:t>3.9.1 Structure</w:t>
      </w:r>
      <w:bookmarkEnd w:id="124"/>
    </w:p>
    <w:p w14:paraId="77CF5BB0"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digital twin service holds one model object per pond, called a pond twin, which contains the three domain engines. A single logged event often affects several engines at once. A water change dilutes the chemistry pools, resets the evaporation engine’s accumulated loss and dilutes suspended algae. If each engine were stored and locked separately, a failure part-way through could leave the pond “diluted but still 12 % evaporated,” a state that never existed. Holding the three engines in one object, under one lock, saved as one snapshot, makes that kind of partial update impossible.</w:t>
      </w:r>
    </w:p>
    <w:p w14:paraId="68FD543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lastRenderedPageBreak/>
        <w:t>A registry keeps each pond’s twin in memory and gives each pond its own lock, so an event request and a poll for the same pond cannot interleave. This lock works within one process only. Running several worker processes would give each its own copy of the registry, so the service is deliberately run as a single process (Section 3.9.5).</w:t>
      </w:r>
    </w:p>
    <w:p w14:paraId="5995982D" w14:textId="77777777" w:rsidR="00DB1607" w:rsidRPr="00B95EB3" w:rsidRDefault="00000000">
      <w:pPr>
        <w:pStyle w:val="Heading3"/>
        <w:rPr>
          <w:rFonts w:asciiTheme="majorHAnsi" w:hAnsiTheme="majorHAnsi" w:cstheme="majorHAnsi"/>
        </w:rPr>
      </w:pPr>
      <w:bookmarkStart w:id="125" w:name="domain-engines"/>
      <w:bookmarkStart w:id="126" w:name="_Toc241565722"/>
      <w:bookmarkEnd w:id="123"/>
      <w:r w:rsidRPr="00B95EB3">
        <w:rPr>
          <w:rFonts w:asciiTheme="majorHAnsi" w:hAnsiTheme="majorHAnsi" w:cstheme="majorHAnsi"/>
        </w:rPr>
        <w:t>3.9.2 Domain Engines</w:t>
      </w:r>
      <w:bookmarkEnd w:id="126"/>
    </w:p>
    <w:p w14:paraId="5AFBE564"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b/>
          <w:bCs/>
        </w:rPr>
        <w:t>Chemistry. The chemistry engine tracks total ammonia nitrogen (TAN), nitrite and nitrate as masses in the pond volume. Each logged feed adds TAN in proportion to the feed mass, its protein fraction, a nitrogen content of 16 % of protein and an excreted fraction of 70 %. Between samples, first-order rates convert TAN to nitrite and nitrite to nitrate, both scaled by a temperature factor that peaks at 28 °C and falls away on either side. Light-dependent algal uptake removes nitrate. A water change removes the stated fraction of each pool and blends nitrate toward the tap-water level. The engine also computes a daily pH “reactivity,” the day’s pH swing divided by its mean light, as an indicator of buffering. Its trend over at least 3 days, together with the TAN and nitrate estimates, the TDS trend and incoming rain, forms a risk score that maps to green, amber and red. A nitrite estimate above 0.5 mg/L forces a red status regardless of score. Section 2.6.6 explains why these rate constants should be treated as placeholders until they are calibrated against the pond.</w:t>
      </w:r>
      <w:r w:rsidRPr="00B95EB3">
        <w:rPr>
          <w:rFonts w:asciiTheme="majorHAnsi" w:hAnsiTheme="majorHAnsi" w:cstheme="majorHAnsi"/>
        </w:rPr>
      </w:r>
    </w:p>
    <w:p w14:paraId="0C9C0E83"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b/>
          <w:bCs/>
        </w:rPr>
        <w:t>Evaporation.</w:t>
      </w:r>
      <w:r w:rsidRPr="00B95EB3">
        <w:rPr>
          <w:rFonts w:asciiTheme="majorHAnsi" w:hAnsiTheme="majorHAnsi" w:cstheme="majorHAnsi"/>
        </w:rPr>
        <w:t xml:space="preserve"> The evaporation engine estimates daily water loss with the Penman mass-transfer term for open water, using NEA forecasts of air temperature, humidity and wind (Penman, 1948). Water surface temperature is predicted from air temperature plus an offset fitted to the pond’s own temperature history, or −1 °C when no history exists. The loss accumulates from the last logged top-up and is compared with a 5 % watch level and a 10 % action level to give a predicted top-up date. The pond’s surface area is not stored, so it is derived from the volume and an assumed depth of 1.2 m, which is the largest source of error in the litre estimate. The same engine gives a feed cap in grams per day from a koi feeding table that reduces the ration above 30 °C.</w:t>
      </w:r>
    </w:p>
    <w:p w14:paraId="59E5819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b/>
          <w:bCs/>
        </w:rPr>
        <w:t>Algae.</w:t>
      </w:r>
      <w:r w:rsidRPr="00B95EB3">
        <w:rPr>
          <w:rFonts w:asciiTheme="majorHAnsi" w:hAnsiTheme="majorHAnsi" w:cstheme="majorHAnsi"/>
        </w:rPr>
        <w:t xml:space="preserve"> The algae engine is the only one with a direct measurement of its modelled quantity. It fits the pond’s growth rate from the camera’s green-ratio history, divides out the light, temperature and nitrate conditions that prevailed during the fitted period, and projects forward with logistic growth under forecast conditions. Between frames the model fills the </w:t>
      </w:r>
      <w:r w:rsidRPr="00B95EB3">
        <w:rPr>
          <w:rFonts w:asciiTheme="majorHAnsi" w:hAnsiTheme="majorHAnsi" w:cstheme="majorHAnsi"/>
        </w:rPr>
        <w:lastRenderedPageBreak/>
        <w:t>gaps, and each new frame pulls the model toward the measurement. An owner’s severity rating of a frame pulls harder than a camera frame and, once enough ratings exist, calibrates the watch and action thresholds for that installation. Frames the owner rates as clear are also used to detect a drifting camera: if they read greener over time, the lens is likely fouling.</w:t>
      </w:r>
    </w:p>
    <w:p w14:paraId="54AA75EB" w14:textId="77777777" w:rsidR="00DB1607" w:rsidRPr="00B95EB3" w:rsidRDefault="00000000">
      <w:pPr>
        <w:pStyle w:val="Heading3"/>
        <w:rPr>
          <w:rFonts w:asciiTheme="majorHAnsi" w:hAnsiTheme="majorHAnsi" w:cstheme="majorHAnsi"/>
        </w:rPr>
      </w:pPr>
      <w:bookmarkStart w:id="127" w:name="inputs-and-update-triggers"/>
      <w:bookmarkStart w:id="128" w:name="_Toc241565723"/>
      <w:bookmarkEnd w:id="125"/>
      <w:r w:rsidRPr="00B95EB3">
        <w:rPr>
          <w:rFonts w:asciiTheme="majorHAnsi" w:hAnsiTheme="majorHAnsi" w:cstheme="majorHAnsi"/>
        </w:rPr>
        <w:t>3.9.3 Inputs and Update Triggers</w:t>
      </w:r>
      <w:bookmarkEnd w:id="128"/>
    </w:p>
    <w:p w14:paraId="2A7AAB50"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Two things change engine state, and both pass through the same locked, persisted path. The poller runs every 15 minutes inside the service process. For each active pond it reads the bundled dashboard response, advances all three engines to the present, assimilates any new camera frames and writes one evaluation row per domain. The event endpoints apply a logged event to every affected engine, re-assess and return the new chemistry status so the application reflects the change without waiting for the next poll.</w:t>
      </w:r>
    </w:p>
    <w:p w14:paraId="3F0AE7F7"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Before any reading reaches a model, a validation gate checks it. A value outside a plausible range is rejected and replaced by the last trusted value. A value repeated unchanged for four samples is flagged as a possibly stalled sensor. A value that moves faster than a channel’s plausible rate, with no water change or top-up logged within 6 hours, is treated as drift. A TDS reading below 5 ppm is taken to mean the probe is out of the water. Each rejected or flagged value carries a reason that is passed to the application as a sensor warning, so the owner sees why a reading was not used.</w:t>
      </w:r>
    </w:p>
    <w:p w14:paraId="2071C8A6"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poller reads the latest reading for each channel at each poll and stamps it with the poll time. At the production interval, this means one reading in three reaches the models, and the recorded time can differ from the sample time by up to 15 minutes. For the slowly changing quantities the engines model, this loss of resolution has little effect, and it kept the poller simple. It becomes a problem if the node stops reporting, because the same last reading is presented again at each poll until the stale check flags it after four polls, about 1 hour. Reading all rows since the previous poll, using their own sample times, would remove both effects and is listed in Section 8.4.</w:t>
      </w:r>
    </w:p>
    <w:p w14:paraId="482B3A95" w14:textId="77777777" w:rsidR="00DB1607" w:rsidRPr="00B95EB3" w:rsidRDefault="00000000">
      <w:pPr>
        <w:pStyle w:val="Heading3"/>
        <w:rPr>
          <w:rFonts w:asciiTheme="majorHAnsi" w:hAnsiTheme="majorHAnsi" w:cstheme="majorHAnsi"/>
        </w:rPr>
      </w:pPr>
      <w:bookmarkStart w:id="129" w:name="tds-context-processing"/>
      <w:bookmarkStart w:id="130" w:name="_Toc241565724"/>
      <w:bookmarkEnd w:id="127"/>
      <w:r w:rsidRPr="00B95EB3">
        <w:rPr>
          <w:rFonts w:asciiTheme="majorHAnsi" w:hAnsiTheme="majorHAnsi" w:cstheme="majorHAnsi"/>
        </w:rPr>
        <w:t>3.9.4 TDS Context Processing</w:t>
      </w:r>
      <w:bookmarkEnd w:id="130"/>
    </w:p>
    <w:p w14:paraId="3D733B66"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implemented use of TDS is limited to the two roles in Section 3.2.4.1: a slope term in the chemistry risk that cannot act alone, and an independent check on the evaporation estimate. The engine compares the observed TDS slope with the slope predicted from evaporative concentration. If the ratio lies between 0.4 and 2.5, the estimate is marked as corroborated, and otherwise it is marked as under- or over-predicted, which the application shows beside the top-up forecast.</w:t>
      </w:r>
      <w:r w:rsidRPr="00B95EB3">
        <w:rPr>
          <w:rFonts w:asciiTheme="majorHAnsi" w:hAnsiTheme="majorHAnsi" w:cstheme="majorHAnsi"/>
        </w:rPr>
      </w:r>
    </w:p>
    <w:p w14:paraId="08BA86A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 fuller design was considered in which the server keeps a rolling TDS baseline per pond, detects steps and slopes that no logged event explains, and asks the owner what happened (for example a feed, a top-up, a salt addition or a filter clean). A confirmed answer would be stored as a new event, and a rejected prompt would stop the same guess being repeated. This design depends on two things that have not yet been shown: that the probe can resolve realistic event steps above its own noise and drift, and that a simple detection rule does not prompt the owner too often on quiet days. Building the prompting path before either is known would risk an interface that annoys the owner with false prompts. The design is therefore deferred, and Section 4.4.3.1 defines the bench tests that decide whether it is worth building.</w:t>
      </w:r>
    </w:p>
    <w:p w14:paraId="76CCA342"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rules that apply now remain cautious. A TDS rise cannot raise the ammonia estimate by itself, and a stable TDS value cannot clear an ammonia warning. Rain can support a dilution explanation and hot, dry weather an evaporation explanation, but neither is treated as proof.</w:t>
      </w:r>
    </w:p>
    <w:p w14:paraId="23A01F14" w14:textId="77777777" w:rsidR="00DB1607" w:rsidRPr="00B95EB3" w:rsidRDefault="00000000">
      <w:pPr>
        <w:pStyle w:val="Heading3"/>
        <w:rPr>
          <w:rFonts w:asciiTheme="majorHAnsi" w:hAnsiTheme="majorHAnsi" w:cstheme="majorHAnsi"/>
        </w:rPr>
      </w:pPr>
      <w:bookmarkStart w:id="131" w:name="hosting"/>
      <w:bookmarkStart w:id="132" w:name="_Toc241565725"/>
      <w:bookmarkEnd w:id="129"/>
      <w:r w:rsidRPr="00B95EB3">
        <w:rPr>
          <w:rFonts w:asciiTheme="majorHAnsi" w:hAnsiTheme="majorHAnsi" w:cstheme="majorHAnsi"/>
        </w:rPr>
        <w:t>3.9.5 Hosting</w:t>
      </w:r>
      <w:bookmarkEnd w:id="132"/>
    </w:p>
    <w:p w14:paraId="50D4FEBB"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digital twin runs as a single long-lived Flask process with its poller on a background thread. During development it runs on a local machine, and the application reaches it over the local network. It was not moved to PythonAnywhere alongside the camera service because PythonAnywhere runs web applications without Python thread support by default, which would stop the in-process poller (PythonAnywhere, n.d.). The alternative on that platform is to run the poller as a separate scheduled task, which would mean two processes sharing each pond’s state and would bring back the race conditions the single-process design avoids.</w:t>
      </w:r>
    </w:p>
    <w:p w14:paraId="163D3C2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cost of local hosting is that the model service is reachable only on the same network as the machine running it. The application handles this by falling back to a simpler client-side pH assessment when the service does not respond (Section 3.12). Moving the twin to an always-on host that supports a long-running process needs no change to its design, and it is listed in Section 8.4.</w:t>
      </w:r>
      <w:r w:rsidRPr="00B95EB3">
        <w:rPr>
          <w:rFonts w:asciiTheme="majorHAnsi" w:hAnsiTheme="majorHAnsi" w:cstheme="majorHAnsi"/>
        </w:rPr>
      </w:r>
    </w:p>
    <w:p w14:paraId="463A67EF"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service’s endpoints currently trust the user identifier in each request. This is acceptable on a private network during development but would let anyone who can reach the service read or change any pond’s state. Before public hosting, each request should carry the user’s Supabase session token, and the service should derive the user from the verified token.</w:t>
      </w:r>
    </w:p>
    <w:p w14:paraId="49B210A5" w14:textId="77777777" w:rsidR="00DB1607" w:rsidRPr="00B95EB3" w:rsidRDefault="00000000">
      <w:pPr>
        <w:pStyle w:val="Heading2"/>
        <w:rPr>
          <w:rFonts w:asciiTheme="majorHAnsi" w:hAnsiTheme="majorHAnsi" w:cstheme="majorHAnsi"/>
        </w:rPr>
      </w:pPr>
      <w:bookmarkStart w:id="133" w:name="reliability-safety-and-maintainability"/>
      <w:bookmarkStart w:id="134" w:name="_Toc241565726"/>
      <w:bookmarkEnd w:id="121"/>
      <w:bookmarkEnd w:id="131"/>
      <w:r w:rsidRPr="00B95EB3">
        <w:rPr>
          <w:rFonts w:asciiTheme="majorHAnsi" w:hAnsiTheme="majorHAnsi" w:cstheme="majorHAnsi"/>
        </w:rPr>
        <w:t>3.10 Reliability, Safety and Maintainability</w:t>
      </w:r>
      <w:bookmarkEnd w:id="134"/>
    </w:p>
    <w:p w14:paraId="4F355518" w14:textId="77777777" w:rsidR="00DB1607" w:rsidRPr="00B95EB3" w:rsidRDefault="00000000">
      <w:pPr>
        <w:pStyle w:val="Heading3"/>
        <w:rPr>
          <w:rFonts w:asciiTheme="majorHAnsi" w:hAnsiTheme="majorHAnsi" w:cstheme="majorHAnsi"/>
        </w:rPr>
      </w:pPr>
      <w:bookmarkStart w:id="135" w:name="fault-handling"/>
      <w:bookmarkStart w:id="136" w:name="_Toc241565727"/>
      <w:r w:rsidRPr="00B95EB3">
        <w:rPr>
          <w:rFonts w:asciiTheme="majorHAnsi" w:hAnsiTheme="majorHAnsi" w:cstheme="majorHAnsi"/>
        </w:rPr>
        <w:t>3.10.1 Fault Handling</w:t>
      </w:r>
      <w:bookmarkEnd w:id="136"/>
    </w:p>
    <w:p w14:paraId="4C0E5AAD" w14:textId="77777777" w:rsidR="00DB1607" w:rsidRPr="00B95EB3" w:rsidRDefault="00000000">
      <w:pPr>
        <w:pStyle w:val="Compact"/>
        <w:numPr>
          <w:ilvl w:val="0"/>
          <w:numId w:val="4"/>
        </w:numPr>
        <w:rPr>
          <w:rFonts w:asciiTheme="majorHAnsi" w:hAnsiTheme="majorHAnsi" w:cstheme="majorHAnsi"/>
        </w:rPr>
      </w:pPr>
      <w:r w:rsidRPr="00B95EB3">
        <w:rPr>
          <w:rFonts w:asciiTheme="majorHAnsi" w:hAnsiTheme="majorHAnsi" w:cstheme="majorHAnsi"/>
        </w:rPr>
        <w:t>Every Wi-Fi connection has a fixed timeout and a limited number of attempts, on both nodes.</w:t>
      </w:r>
    </w:p>
    <w:p w14:paraId="5DB97A55" w14:textId="77777777" w:rsidR="00DB1607" w:rsidRPr="00B95EB3" w:rsidRDefault="00000000">
      <w:pPr>
        <w:pStyle w:val="Compact"/>
        <w:numPr>
          <w:ilvl w:val="0"/>
          <w:numId w:val="4"/>
        </w:numPr>
        <w:rPr>
          <w:rFonts w:asciiTheme="majorHAnsi" w:hAnsiTheme="majorHAnsi" w:cstheme="majorHAnsi"/>
        </w:rPr>
      </w:pPr>
      <w:r w:rsidRPr="00B95EB3">
        <w:rPr>
          <w:rFonts w:asciiTheme="majorHAnsi" w:hAnsiTheme="majorHAnsi" w:cstheme="majorHAnsi"/>
        </w:rPr>
        <w:t>A failed upload cannot cause an immediate wake loop. Both nodes back off to longer sleep intervals after repeated Wi-Fi failures.</w:t>
      </w:r>
    </w:p>
    <w:p w14:paraId="2F9706C4" w14:textId="77777777" w:rsidR="00DB1607" w:rsidRPr="00B95EB3" w:rsidRDefault="00000000">
      <w:pPr>
        <w:pStyle w:val="Compact"/>
        <w:numPr>
          <w:ilvl w:val="0"/>
          <w:numId w:val="4"/>
        </w:numPr>
        <w:rPr>
          <w:rFonts w:asciiTheme="majorHAnsi" w:hAnsiTheme="majorHAnsi" w:cstheme="majorHAnsi"/>
        </w:rPr>
      </w:pPr>
      <w:r w:rsidRPr="00B95EB3">
        <w:rPr>
          <w:rFonts w:asciiTheme="majorHAnsi" w:hAnsiTheme="majorHAnsi" w:cstheme="majorHAnsi"/>
        </w:rPr>
        <w:t>The camera clamps every server-supplied interval and keeps a local fallback that does not depend on the server.</w:t>
      </w:r>
    </w:p>
    <w:p w14:paraId="4FEB58A8" w14:textId="77777777" w:rsidR="00DB1607" w:rsidRPr="00B95EB3" w:rsidRDefault="00000000">
      <w:pPr>
        <w:pStyle w:val="Compact"/>
        <w:numPr>
          <w:ilvl w:val="0"/>
          <w:numId w:val="4"/>
        </w:numPr>
        <w:rPr>
          <w:rFonts w:asciiTheme="majorHAnsi" w:hAnsiTheme="majorHAnsi" w:cstheme="majorHAnsi"/>
        </w:rPr>
      </w:pPr>
      <w:r w:rsidRPr="00B95EB3">
        <w:rPr>
          <w:rFonts w:asciiTheme="majorHAnsi" w:hAnsiTheme="majorHAnsi" w:cstheme="majorHAnsi"/>
        </w:rPr>
        <w:t>The two nodes use independent schedules and supplies, so one fault does not stop the other.</w:t>
      </w:r>
    </w:p>
    <w:p w14:paraId="12B4FB80" w14:textId="77777777" w:rsidR="00DB1607" w:rsidRPr="00B95EB3" w:rsidRDefault="00000000">
      <w:pPr>
        <w:pStyle w:val="Compact"/>
        <w:numPr>
          <w:ilvl w:val="0"/>
          <w:numId w:val="4"/>
        </w:numPr>
        <w:rPr>
          <w:rFonts w:asciiTheme="majorHAnsi" w:hAnsiTheme="majorHAnsi" w:cstheme="majorHAnsi"/>
        </w:rPr>
      </w:pPr>
      <w:r w:rsidRPr="00B95EB3">
        <w:rPr>
          <w:rFonts w:asciiTheme="majorHAnsi" w:hAnsiTheme="majorHAnsi" w:cstheme="majorHAnsi"/>
        </w:rPr>
        <w:t>The sensor node rejects invalid temperature readings on the device, and the digital twin’s validation gate rejects or flags out-of-range, stalled and implausibly fast readings. A rejected value is replaced by the last trusted value and flagged, never silently accepted.</w:t>
      </w:r>
    </w:p>
    <w:p w14:paraId="44212881" w14:textId="77777777" w:rsidR="00DB1607" w:rsidRPr="00B95EB3" w:rsidRDefault="00000000">
      <w:pPr>
        <w:pStyle w:val="Compact"/>
        <w:numPr>
          <w:ilvl w:val="0"/>
          <w:numId w:val="4"/>
        </w:numPr>
        <w:rPr>
          <w:rFonts w:asciiTheme="majorHAnsi" w:hAnsiTheme="majorHAnsi" w:cstheme="majorHAnsi"/>
        </w:rPr>
      </w:pPr>
      <w:r w:rsidRPr="00B95EB3">
        <w:rPr>
          <w:rFonts w:asciiTheme="majorHAnsi" w:hAnsiTheme="majorHAnsi" w:cstheme="majorHAnsi"/>
        </w:rPr>
        <w:t>A failed temperature reading is left out of the upload instead of being replaced.</w:t>
      </w:r>
    </w:p>
    <w:p w14:paraId="471BAFE2" w14:textId="77777777" w:rsidR="00DB1607" w:rsidRPr="00B95EB3" w:rsidRDefault="00000000">
      <w:pPr>
        <w:pStyle w:val="Compact"/>
        <w:numPr>
          <w:ilvl w:val="0"/>
          <w:numId w:val="4"/>
        </w:numPr>
        <w:rPr>
          <w:rFonts w:asciiTheme="majorHAnsi" w:hAnsiTheme="majorHAnsi" w:cstheme="majorHAnsi"/>
        </w:rPr>
      </w:pPr>
      <w:r w:rsidRPr="00B95EB3">
        <w:rPr>
          <w:rFonts w:asciiTheme="majorHAnsi" w:hAnsiTheme="majorHAnsi" w:cstheme="majorHAnsi"/>
        </w:rPr>
        <w:t>The digital twin saves a snapshot after every change, so a restart does not lose a pond’s accumulated state.</w:t>
      </w:r>
    </w:p>
    <w:p w14:paraId="0C3754D6"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Recording the reset reason (brownout, watchdog or timer) in each upload is not yet implemented on the sensor node. The camera firmware already counts brownouts in RTC memory, and the same approach can be added to the sensor node with the payload change in Section 3.6.2.</w:t>
      </w:r>
    </w:p>
    <w:p w14:paraId="41BE4027" w14:textId="77777777" w:rsidR="00DB1607" w:rsidRPr="00B95EB3" w:rsidRDefault="00000000">
      <w:pPr>
        <w:pStyle w:val="Heading3"/>
        <w:rPr>
          <w:rFonts w:asciiTheme="majorHAnsi" w:hAnsiTheme="majorHAnsi" w:cstheme="majorHAnsi"/>
        </w:rPr>
      </w:pPr>
      <w:bookmarkStart w:id="137" w:name="outdoor-electrical-design"/>
      <w:bookmarkStart w:id="138" w:name="_Toc241565728"/>
      <w:bookmarkEnd w:id="135"/>
      <w:r w:rsidRPr="00B95EB3">
        <w:rPr>
          <w:rFonts w:asciiTheme="majorHAnsi" w:hAnsiTheme="majorHAnsi" w:cstheme="majorHAnsi"/>
        </w:rPr>
        <w:t>3.10.2 Outdoor Electrical Design</w:t>
      </w:r>
      <w:bookmarkEnd w:id="138"/>
    </w:p>
    <w:p w14:paraId="3AAFEAAA"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 xml:space="preserve">The enclosure sits beside water, so battery power reduces mains risk but does not remove corrosion and short-circuit risk. The sensor connectors should face downward and use drip loops. The battery, pH board and regulator stay in the dry section. Cable glands, strain relief, </w:t>
      </w:r>
      <w:r w:rsidRPr="00B95EB3">
        <w:rPr>
          <w:rFonts w:asciiTheme="majorHAnsi" w:hAnsiTheme="majorHAnsi" w:cstheme="majorHAnsi"/>
        </w:rPr>
        <w:lastRenderedPageBreak/>
        <w:t>replaceable connectors and conformal coating on suitable boards improve service life, with the pH BNC area left uncoated.</w:t>
      </w:r>
    </w:p>
    <w:p w14:paraId="09CA5513"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antenna should be kept away from the water surface, battery pack and sensor cables. Water absorbs 2.4 GHz energy, and a metal or battery mass can shield the antenna. A stronger link shortens connection time and reduces retransmission energy. The camera window needs a hood and a fixed mount so rain, glare and movement do not trigger the obstruction or dynamic states unnecessarily.</w:t>
      </w:r>
    </w:p>
    <w:p w14:paraId="322E8129" w14:textId="77777777" w:rsidR="00DB1607" w:rsidRPr="00B95EB3" w:rsidRDefault="00000000">
      <w:pPr>
        <w:pStyle w:val="Heading3"/>
        <w:rPr>
          <w:rFonts w:asciiTheme="majorHAnsi" w:hAnsiTheme="majorHAnsi" w:cstheme="majorHAnsi"/>
        </w:rPr>
      </w:pPr>
      <w:bookmarkStart w:id="139" w:name="battery-state-and-service"/>
      <w:bookmarkStart w:id="140" w:name="_Toc241565729"/>
      <w:bookmarkEnd w:id="137"/>
      <w:r w:rsidRPr="00B95EB3">
        <w:rPr>
          <w:rFonts w:asciiTheme="majorHAnsi" w:hAnsiTheme="majorHAnsi" w:cstheme="majorHAnsi"/>
        </w:rPr>
        <w:t>3.10.3 Battery State and Service</w:t>
      </w:r>
      <w:bookmarkEnd w:id="140"/>
    </w:p>
    <w:p w14:paraId="3D1DD1C5"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sensor node does not yet measure its battery voltage. A divider switched from a GPIO pin, read on a spare ADC1 channel during the Wi-Fi upload, would give a voltage under a known load without draining the pack between readings. An unloaded reading can hide weak cells. The firmware should send a low-battery warning before the regulator loses regulation, which for a linear regulator on four alkaline cells is around 4.4 V (Section 3.2.8). Cells in one pack should be the same type, age and charge state, and should be replaced together.</w:t>
      </w:r>
    </w:p>
    <w:p w14:paraId="3C053E2B" w14:textId="77777777" w:rsidR="00DB1607" w:rsidRPr="00B95EB3" w:rsidRDefault="00000000">
      <w:pPr>
        <w:pStyle w:val="Heading2"/>
        <w:rPr>
          <w:rFonts w:asciiTheme="majorHAnsi" w:hAnsiTheme="majorHAnsi" w:cstheme="majorHAnsi"/>
        </w:rPr>
      </w:pPr>
      <w:bookmarkStart w:id="141" w:name="system-requirements-specification"/>
      <w:bookmarkStart w:id="142" w:name="_Toc241565730"/>
      <w:bookmarkEnd w:id="133"/>
      <w:bookmarkEnd w:id="139"/>
      <w:r w:rsidRPr="00B95EB3">
        <w:rPr>
          <w:rFonts w:asciiTheme="majorHAnsi" w:hAnsiTheme="majorHAnsi" w:cstheme="majorHAnsi"/>
        </w:rPr>
        <w:t>3.11 System Requirements Specification</w:t>
      </w:r>
      <w:bookmarkEnd w:id="142"/>
    </w:p>
    <w:p w14:paraId="302EDC07"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preceding sections describe what was built and why. This section states the requirements those choices were meant to satisfy, so that the testing in Chapter 4 has a fixed target. Functional requirements describe what the system must do, and non-functional requirements describe how well it must do it.</w:t>
      </w:r>
    </w:p>
    <w:p w14:paraId="10BBBB4F"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3.10. Functional requirements and the test that verifies each one.</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440"/>
        <w:gridCol w:w="5739"/>
        <w:gridCol w:w="1820"/>
        <w:gridCol w:w="1187"/>
      </w:tblGrid>
      <w:tr w:rsidR="00DB1607" w:rsidRPr="00B95EB3" w14:paraId="0F5132A0"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0D0D731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ID</w:t>
            </w:r>
          </w:p>
        </w:tc>
        <w:tc>
          <w:tcPr>
            <w:tcW w:w="0" w:type="auto"/>
            <w:shd w:val="clear" w:color="auto" w:fill="EDEFF2"/>
          </w:tcPr>
          <w:p w14:paraId="5805AF7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Functional requirement</w:t>
            </w:r>
          </w:p>
        </w:tc>
        <w:tc>
          <w:tcPr>
            <w:tcW w:w="0" w:type="auto"/>
            <w:shd w:val="clear" w:color="auto" w:fill="EDEFF2"/>
          </w:tcPr>
          <w:p w14:paraId="6D2A690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Source</w:t>
            </w:r>
          </w:p>
        </w:tc>
        <w:tc>
          <w:tcPr>
            <w:tcW w:w="0" w:type="auto"/>
            <w:shd w:val="clear" w:color="auto" w:fill="EDEFF2"/>
          </w:tcPr>
          <w:p w14:paraId="0F0D610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Verified by</w:t>
            </w:r>
          </w:p>
        </w:tc>
      </w:tr>
      <w:tr w:rsidR="00DB1607" w:rsidRPr="00B95EB3" w14:paraId="192EC80D" w14:textId="77777777">
        <w:tc>
          <w:tcPr>
            <w:tcW w:w="0" w:type="auto"/>
          </w:tcPr>
          <w:p w14:paraId="390FE41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F1</w:t>
            </w:r>
          </w:p>
        </w:tc>
        <w:tc>
          <w:tcPr>
            <w:tcW w:w="0" w:type="auto"/>
          </w:tcPr>
          <w:p w14:paraId="31AF0B0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Measure water temperature on each cycle and report it with a timestamp.</w:t>
            </w:r>
          </w:p>
        </w:tc>
        <w:tc>
          <w:tcPr>
            <w:tcW w:w="0" w:type="auto"/>
          </w:tcPr>
          <w:p w14:paraId="23469A8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Revised project brief</w:t>
            </w:r>
          </w:p>
        </w:tc>
        <w:tc>
          <w:tcPr>
            <w:tcW w:w="0" w:type="auto"/>
          </w:tcPr>
          <w:p w14:paraId="66A3137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1 and Tier 3</w:t>
            </w:r>
          </w:p>
        </w:tc>
      </w:tr>
      <w:tr w:rsidR="00DB1607" w:rsidRPr="00B95EB3" w14:paraId="185E6E44" w14:textId="77777777">
        <w:tc>
          <w:tcPr>
            <w:tcW w:w="0" w:type="auto"/>
          </w:tcPr>
          <w:p w14:paraId="32BD4BF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F2</w:t>
            </w:r>
          </w:p>
        </w:tc>
        <w:tc>
          <w:tcPr>
            <w:tcW w:w="0" w:type="auto"/>
          </w:tcPr>
          <w:p w14:paraId="2317901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Measure pH on each cycle, compensated for temperature, and report it with a timestamp.</w:t>
            </w:r>
          </w:p>
        </w:tc>
        <w:tc>
          <w:tcPr>
            <w:tcW w:w="0" w:type="auto"/>
          </w:tcPr>
          <w:p w14:paraId="59FF313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Revised project brief</w:t>
            </w:r>
          </w:p>
        </w:tc>
        <w:tc>
          <w:tcPr>
            <w:tcW w:w="0" w:type="auto"/>
          </w:tcPr>
          <w:p w14:paraId="2E0F348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1 and Tier 2</w:t>
            </w:r>
          </w:p>
        </w:tc>
      </w:tr>
      <w:tr w:rsidR="00DB1607" w:rsidRPr="00B95EB3" w14:paraId="72F13F34" w14:textId="77777777">
        <w:tc>
          <w:tcPr>
            <w:tcW w:w="0" w:type="auto"/>
          </w:tcPr>
          <w:p w14:paraId="79B8F70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F3</w:t>
            </w:r>
          </w:p>
        </w:tc>
        <w:tc>
          <w:tcPr>
            <w:tcW w:w="0" w:type="auto"/>
          </w:tcPr>
          <w:p w14:paraId="47E9969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Measure raw and temperature-compensated TDS on each cycle as a context signal.</w:t>
            </w:r>
          </w:p>
        </w:tc>
        <w:tc>
          <w:tcPr>
            <w:tcW w:w="0" w:type="auto"/>
          </w:tcPr>
          <w:p w14:paraId="674310F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Section 2.6.5 and Section 3.2.4.1</w:t>
            </w:r>
          </w:p>
        </w:tc>
        <w:tc>
          <w:tcPr>
            <w:tcW w:w="0" w:type="auto"/>
          </w:tcPr>
          <w:p w14:paraId="12EEEC7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1 and Tier 3</w:t>
            </w:r>
          </w:p>
        </w:tc>
      </w:tr>
      <w:tr w:rsidR="00DB1607" w:rsidRPr="00B95EB3" w14:paraId="58045D18" w14:textId="77777777">
        <w:tc>
          <w:tcPr>
            <w:tcW w:w="0" w:type="auto"/>
          </w:tcPr>
          <w:p w14:paraId="2C12A8C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F4</w:t>
            </w:r>
          </w:p>
        </w:tc>
        <w:tc>
          <w:tcPr>
            <w:tcW w:w="0" w:type="auto"/>
          </w:tcPr>
          <w:p w14:paraId="62E1899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Measure ambient light and report it with a timestamp.</w:t>
            </w:r>
          </w:p>
        </w:tc>
        <w:tc>
          <w:tcPr>
            <w:tcW w:w="0" w:type="auto"/>
          </w:tcPr>
          <w:p w14:paraId="0167977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Algal light threshold, Chapter 2</w:t>
            </w:r>
          </w:p>
        </w:tc>
        <w:tc>
          <w:tcPr>
            <w:tcW w:w="0" w:type="auto"/>
          </w:tcPr>
          <w:p w14:paraId="7E2B23A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1 and Tier 2</w:t>
            </w:r>
          </w:p>
        </w:tc>
      </w:tr>
      <w:tr w:rsidR="00DB1607" w:rsidRPr="00B95EB3" w14:paraId="3A6F6F77" w14:textId="77777777">
        <w:tc>
          <w:tcPr>
            <w:tcW w:w="0" w:type="auto"/>
          </w:tcPr>
          <w:p w14:paraId="3A743E6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F5</w:t>
            </w:r>
          </w:p>
        </w:tc>
        <w:tc>
          <w:tcPr>
            <w:tcW w:w="0" w:type="auto"/>
          </w:tcPr>
          <w:p w14:paraId="188AE9B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Capture pond surface images and derive a green coverage ratio from them.</w:t>
            </w:r>
          </w:p>
        </w:tc>
        <w:tc>
          <w:tcPr>
            <w:tcW w:w="0" w:type="auto"/>
          </w:tcPr>
          <w:p w14:paraId="24349B0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Optical algal proxy, Chapter 2</w:t>
            </w:r>
          </w:p>
        </w:tc>
        <w:tc>
          <w:tcPr>
            <w:tcW w:w="0" w:type="auto"/>
          </w:tcPr>
          <w:p w14:paraId="112B051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1 and Tier 2</w:t>
            </w:r>
          </w:p>
        </w:tc>
      </w:tr>
      <w:tr w:rsidR="00DB1607" w:rsidRPr="00B95EB3" w14:paraId="20476B4F" w14:textId="77777777">
        <w:tc>
          <w:tcPr>
            <w:tcW w:w="0" w:type="auto"/>
          </w:tcPr>
          <w:p w14:paraId="60140AD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lastRenderedPageBreak/>
              <w:t>F6</w:t>
            </w:r>
          </w:p>
        </w:tc>
        <w:tc>
          <w:tcPr>
            <w:tcW w:w="0" w:type="auto"/>
          </w:tcPr>
          <w:p w14:paraId="7BF08F1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Read a colorimetric ammonia indicator optically and report a band or value.</w:t>
            </w:r>
          </w:p>
        </w:tc>
        <w:tc>
          <w:tcPr>
            <w:tcW w:w="0" w:type="auto"/>
          </w:tcPr>
          <w:p w14:paraId="56ADDC3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Ammonia inference route, Chapter 2</w:t>
            </w:r>
          </w:p>
        </w:tc>
        <w:tc>
          <w:tcPr>
            <w:tcW w:w="0" w:type="auto"/>
          </w:tcPr>
          <w:p w14:paraId="66E5FDD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1 and Tier 2</w:t>
            </w:r>
          </w:p>
        </w:tc>
      </w:tr>
      <w:tr w:rsidR="00DB1607" w:rsidRPr="00B95EB3" w14:paraId="79021266" w14:textId="77777777">
        <w:tc>
          <w:tcPr>
            <w:tcW w:w="0" w:type="auto"/>
          </w:tcPr>
          <w:p w14:paraId="6EEC7F8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F7</w:t>
            </w:r>
          </w:p>
        </w:tc>
        <w:tc>
          <w:tcPr>
            <w:tcW w:w="0" w:type="auto"/>
          </w:tcPr>
          <w:p w14:paraId="01E44E7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Transmit all readings to a central store over the local network.</w:t>
            </w:r>
          </w:p>
        </w:tc>
        <w:tc>
          <w:tcPr>
            <w:tcW w:w="0" w:type="auto"/>
          </w:tcPr>
          <w:p w14:paraId="2EA39DA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Section 3.1</w:t>
            </w:r>
          </w:p>
        </w:tc>
        <w:tc>
          <w:tcPr>
            <w:tcW w:w="0" w:type="auto"/>
          </w:tcPr>
          <w:p w14:paraId="55E2CDE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1 and Tier 3</w:t>
            </w:r>
          </w:p>
        </w:tc>
      </w:tr>
      <w:tr w:rsidR="00DB1607" w:rsidRPr="00B95EB3" w14:paraId="3579F9CD" w14:textId="77777777">
        <w:tc>
          <w:tcPr>
            <w:tcW w:w="0" w:type="auto"/>
          </w:tcPr>
          <w:p w14:paraId="5F88BA1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F8</w:t>
            </w:r>
          </w:p>
        </w:tc>
        <w:tc>
          <w:tcPr>
            <w:tcW w:w="0" w:type="auto"/>
          </w:tcPr>
          <w:p w14:paraId="1B57882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Retrieve external weather observations and forecasts for the pond location.</w:t>
            </w:r>
          </w:p>
        </w:tc>
        <w:tc>
          <w:tcPr>
            <w:tcW w:w="0" w:type="auto"/>
          </w:tcPr>
          <w:p w14:paraId="08100A4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Forecast value case, Chapter 2</w:t>
            </w:r>
          </w:p>
        </w:tc>
        <w:tc>
          <w:tcPr>
            <w:tcW w:w="0" w:type="auto"/>
          </w:tcPr>
          <w:p w14:paraId="6A6811A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3 and Chapter 6</w:t>
            </w:r>
          </w:p>
        </w:tc>
      </w:tr>
      <w:tr w:rsidR="00DB1607" w:rsidRPr="00B95EB3" w14:paraId="509331F6" w14:textId="77777777">
        <w:tc>
          <w:tcPr>
            <w:tcW w:w="0" w:type="auto"/>
          </w:tcPr>
          <w:p w14:paraId="237107E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F9</w:t>
            </w:r>
          </w:p>
        </w:tc>
        <w:tc>
          <w:tcPr>
            <w:tcW w:w="0" w:type="auto"/>
          </w:tcPr>
          <w:p w14:paraId="424958B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Estimate ammonia, nitrite and nitrate from logged feeding and water change events and stored sensor history, without using TDS as an ammonia value.</w:t>
            </w:r>
          </w:p>
        </w:tc>
        <w:tc>
          <w:tcPr>
            <w:tcW w:w="0" w:type="auto"/>
          </w:tcPr>
          <w:p w14:paraId="12DCA9D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Inference route, Chapter 2</w:t>
            </w:r>
          </w:p>
        </w:tc>
        <w:tc>
          <w:tcPr>
            <w:tcW w:w="0" w:type="auto"/>
          </w:tcPr>
          <w:p w14:paraId="366B61C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Chapter 5 and Tier 3</w:t>
            </w:r>
          </w:p>
        </w:tc>
      </w:tr>
      <w:tr w:rsidR="00DB1607" w:rsidRPr="00B95EB3" w14:paraId="53F4CA9E" w14:textId="77777777">
        <w:tc>
          <w:tcPr>
            <w:tcW w:w="0" w:type="auto"/>
          </w:tcPr>
          <w:p w14:paraId="39F0915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F10</w:t>
            </w:r>
          </w:p>
        </w:tc>
        <w:tc>
          <w:tcPr>
            <w:tcW w:w="0" w:type="auto"/>
          </w:tcPr>
          <w:p w14:paraId="5D03C04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Present current state and forward projections to the owner through a mobile application.</w:t>
            </w:r>
          </w:p>
        </w:tc>
        <w:tc>
          <w:tcPr>
            <w:tcW w:w="0" w:type="auto"/>
          </w:tcPr>
          <w:p w14:paraId="73F4DE5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Revised project brief</w:t>
            </w:r>
          </w:p>
        </w:tc>
        <w:tc>
          <w:tcPr>
            <w:tcW w:w="0" w:type="auto"/>
          </w:tcPr>
          <w:p w14:paraId="14030C1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3</w:t>
            </w:r>
          </w:p>
        </w:tc>
      </w:tr>
      <w:tr w:rsidR="00DB1607" w:rsidRPr="00B95EB3" w14:paraId="2402CE8D" w14:textId="77777777">
        <w:tc>
          <w:tcPr>
            <w:tcW w:w="0" w:type="auto"/>
          </w:tcPr>
          <w:p w14:paraId="710DE29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F11</w:t>
            </w:r>
          </w:p>
        </w:tc>
        <w:tc>
          <w:tcPr>
            <w:tcW w:w="0" w:type="auto"/>
          </w:tcPr>
          <w:p w14:paraId="3CB9C65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Accept owner events for feeding, water change, top-up and algae scrubbing, and owner ratings of camera frames.</w:t>
            </w:r>
          </w:p>
        </w:tc>
        <w:tc>
          <w:tcPr>
            <w:tcW w:w="0" w:type="auto"/>
          </w:tcPr>
          <w:p w14:paraId="3DFAE69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Section 3.9</w:t>
            </w:r>
          </w:p>
        </w:tc>
        <w:tc>
          <w:tcPr>
            <w:tcW w:w="0" w:type="auto"/>
          </w:tcPr>
          <w:p w14:paraId="5D6C6F9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Chapter 5 and Tier 3</w:t>
            </w:r>
          </w:p>
        </w:tc>
      </w:tr>
      <w:tr w:rsidR="00DB1607" w:rsidRPr="00B95EB3" w14:paraId="006A0627" w14:textId="77777777">
        <w:tc>
          <w:tcPr>
            <w:tcW w:w="0" w:type="auto"/>
          </w:tcPr>
          <w:p w14:paraId="1ABABC0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F12</w:t>
            </w:r>
          </w:p>
        </w:tc>
        <w:tc>
          <w:tcPr>
            <w:tcW w:w="0" w:type="auto"/>
          </w:tcPr>
          <w:p w14:paraId="08CB68D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Show an in-app alert status when a modelled or measured value crosses a risk threshold, now or within the forecast window.</w:t>
            </w:r>
          </w:p>
        </w:tc>
        <w:tc>
          <w:tcPr>
            <w:tcW w:w="0" w:type="auto"/>
          </w:tcPr>
          <w:p w14:paraId="7E81472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Revised project brief</w:t>
            </w:r>
          </w:p>
        </w:tc>
        <w:tc>
          <w:tcPr>
            <w:tcW w:w="0" w:type="auto"/>
          </w:tcPr>
          <w:p w14:paraId="4093C7F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Chapter 5 and Tier 3</w:t>
            </w:r>
          </w:p>
        </w:tc>
      </w:tr>
    </w:tbl>
    <w:p w14:paraId="7E7AAFF9"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F11 no longer includes the context prompts for unexplained TDS changes, and salt addition and filter cleaning are not yet event types. Both are deferred until the TDS bench tests in Section 4.4.3.1 show whether the prompts are useful. F12 is met by status levels and advisory messages shown on the dashboard and detail screens. Push notifications, which would reach an owner who is not using the application, are not implemented and are discussed in Section 8.3.</w:t>
      </w:r>
    </w:p>
    <w:p w14:paraId="43BDF14C"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3.11. Non-functional requirements and how each is checked.</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379"/>
        <w:gridCol w:w="3189"/>
        <w:gridCol w:w="3900"/>
        <w:gridCol w:w="1718"/>
      </w:tblGrid>
      <w:tr w:rsidR="00DB1607" w:rsidRPr="00B95EB3" w14:paraId="252BC3A7"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68DED2F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ID</w:t>
            </w:r>
          </w:p>
        </w:tc>
        <w:tc>
          <w:tcPr>
            <w:tcW w:w="0" w:type="auto"/>
            <w:shd w:val="clear" w:color="auto" w:fill="EDEFF2"/>
          </w:tcPr>
          <w:p w14:paraId="475120B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Non-functional requirement</w:t>
            </w:r>
          </w:p>
        </w:tc>
        <w:tc>
          <w:tcPr>
            <w:tcW w:w="0" w:type="auto"/>
            <w:shd w:val="clear" w:color="auto" w:fill="EDEFF2"/>
          </w:tcPr>
          <w:p w14:paraId="0E608FB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Target</w:t>
            </w:r>
          </w:p>
        </w:tc>
        <w:tc>
          <w:tcPr>
            <w:tcW w:w="0" w:type="auto"/>
            <w:shd w:val="clear" w:color="auto" w:fill="EDEFF2"/>
          </w:tcPr>
          <w:p w14:paraId="2975BEF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Verified by</w:t>
            </w:r>
          </w:p>
        </w:tc>
      </w:tr>
      <w:tr w:rsidR="00DB1607" w:rsidRPr="00B95EB3" w14:paraId="472D8506" w14:textId="77777777">
        <w:tc>
          <w:tcPr>
            <w:tcW w:w="0" w:type="auto"/>
          </w:tcPr>
          <w:p w14:paraId="1AFDA0C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N1</w:t>
            </w:r>
          </w:p>
        </w:tc>
        <w:tc>
          <w:tcPr>
            <w:tcW w:w="0" w:type="auto"/>
          </w:tcPr>
          <w:p w14:paraId="0F0ECF1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Sensor node runs from battery without mains connection.</w:t>
            </w:r>
          </w:p>
        </w:tc>
        <w:tc>
          <w:tcPr>
            <w:tcW w:w="0" w:type="auto"/>
          </w:tcPr>
          <w:p w14:paraId="462B471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No mains cable to the pond-side enclosure</w:t>
            </w:r>
          </w:p>
        </w:tc>
        <w:tc>
          <w:tcPr>
            <w:tcW w:w="0" w:type="auto"/>
          </w:tcPr>
          <w:p w14:paraId="055273B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3 indoor endurance run</w:t>
            </w:r>
          </w:p>
        </w:tc>
      </w:tr>
      <w:tr w:rsidR="00DB1607" w:rsidRPr="00B95EB3" w14:paraId="05E51B1B" w14:textId="77777777">
        <w:tc>
          <w:tcPr>
            <w:tcW w:w="0" w:type="auto"/>
          </w:tcPr>
          <w:p w14:paraId="38551FB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N2</w:t>
            </w:r>
          </w:p>
        </w:tc>
        <w:tc>
          <w:tcPr>
            <w:tcW w:w="0" w:type="auto"/>
          </w:tcPr>
          <w:p w14:paraId="34AE252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Service interval between battery changes.</w:t>
            </w:r>
          </w:p>
        </w:tc>
        <w:tc>
          <w:tcPr>
            <w:tcW w:w="0" w:type="auto"/>
          </w:tcPr>
          <w:p>
            <w:r>
              <w:t>Measured and reported, with at least 7 days on the test pack at the 5-minute rate</w:t>
            </w:r>
          </w:p>
        </w:tc>
        <w:tc>
          <w:tcPr>
            <w:tcW w:w="0" w:type="auto"/>
          </w:tcPr>
          <w:p w14:paraId="2EAEE07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3 indoor endurance run</w:t>
            </w:r>
          </w:p>
        </w:tc>
      </w:tr>
      <w:tr w:rsidR="00DB1607" w:rsidRPr="00B95EB3" w14:paraId="4202294D" w14:textId="77777777">
        <w:tc>
          <w:tcPr>
            <w:tcW w:w="0" w:type="auto"/>
          </w:tcPr>
          <w:p w14:paraId="414D9C4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N3</w:t>
            </w:r>
          </w:p>
        </w:tc>
        <w:tc>
          <w:tcPr>
            <w:tcW w:w="0" w:type="auto"/>
          </w:tcPr>
          <w:p w14:paraId="5971E00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Each measured channel agrees with its datasheet accuracy figure.</w:t>
            </w:r>
          </w:p>
        </w:tc>
        <w:tc>
          <w:tcPr>
            <w:tcW w:w="0" w:type="auto"/>
          </w:tcPr>
          <w:p w14:paraId="00AB82C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Within the stated tolerance in Section 3.2</w:t>
            </w:r>
          </w:p>
        </w:tc>
        <w:tc>
          <w:tcPr>
            <w:tcW w:w="0" w:type="auto"/>
          </w:tcPr>
          <w:p w14:paraId="4EC3A0F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1</w:t>
            </w:r>
          </w:p>
        </w:tc>
      </w:tr>
      <w:tr w:rsidR="00DB1607" w:rsidRPr="00B95EB3" w14:paraId="5A0A3AAD" w14:textId="77777777">
        <w:tc>
          <w:tcPr>
            <w:tcW w:w="0" w:type="auto"/>
          </w:tcPr>
          <w:p w14:paraId="67F7358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N4</w:t>
            </w:r>
          </w:p>
        </w:tc>
        <w:tc>
          <w:tcPr>
            <w:tcW w:w="0" w:type="auto"/>
          </w:tcPr>
          <w:p w14:paraId="11CE667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System survives outdoor conditions including rain and direct sun.</w:t>
            </w:r>
          </w:p>
        </w:tc>
        <w:tc>
          <w:tcPr>
            <w:tcW w:w="0" w:type="auto"/>
          </w:tcPr>
          <w:p w14:paraId="363DFA4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No water ingress or reading loss over the soak period</w:t>
            </w:r>
          </w:p>
        </w:tc>
        <w:tc>
          <w:tcPr>
            <w:tcW w:w="0" w:type="auto"/>
          </w:tcPr>
          <w:p w14:paraId="02B7A38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2 and Tier 3 outdoor run</w:t>
            </w:r>
          </w:p>
        </w:tc>
      </w:tr>
      <w:tr w:rsidR="00DB1607" w:rsidRPr="00B95EB3" w14:paraId="46E44A4F" w14:textId="77777777">
        <w:tc>
          <w:tcPr>
            <w:tcW w:w="0" w:type="auto"/>
          </w:tcPr>
          <w:p w14:paraId="5579F29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N5</w:t>
            </w:r>
          </w:p>
        </w:tc>
        <w:tc>
          <w:tcPr>
            <w:tcW w:w="0" w:type="auto"/>
          </w:tcPr>
          <w:p w14:paraId="425D53D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 fault in one node or service does not stop the other node.</w:t>
            </w:r>
          </w:p>
        </w:tc>
        <w:tc>
          <w:tcPr>
            <w:tcW w:w="0" w:type="auto"/>
          </w:tcPr>
          <w:p w14:paraId="1167358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Independent schedules and fallbacks, Section 3.10.1</w:t>
            </w:r>
          </w:p>
        </w:tc>
        <w:tc>
          <w:tcPr>
            <w:tcW w:w="0" w:type="auto"/>
          </w:tcPr>
          <w:p w14:paraId="3F7D59A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3</w:t>
            </w:r>
          </w:p>
        </w:tc>
      </w:tr>
      <w:tr w:rsidR="00DB1607" w:rsidRPr="00B95EB3" w14:paraId="754F9309" w14:textId="77777777">
        <w:tc>
          <w:tcPr>
            <w:tcW w:w="0" w:type="auto"/>
          </w:tcPr>
          <w:p w14:paraId="3F0383D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N6</w:t>
            </w:r>
          </w:p>
        </w:tc>
        <w:tc>
          <w:tcPr>
            <w:tcW w:w="0" w:type="auto"/>
          </w:tcPr>
          <w:p w14:paraId="04E6232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Hardware cost remains within a home installation budget.</w:t>
            </w:r>
          </w:p>
        </w:tc>
        <w:tc>
          <w:tcPr>
            <w:tcW w:w="0" w:type="auto"/>
          </w:tcPr>
          <w:p w14:paraId="0BDF6AA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See Section 3.13</w:t>
            </w:r>
          </w:p>
        </w:tc>
        <w:tc>
          <w:tcPr>
            <w:tcW w:w="0" w:type="auto"/>
          </w:tcPr>
          <w:p w14:paraId="150B808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Design constraint</w:t>
            </w:r>
          </w:p>
        </w:tc>
      </w:tr>
      <w:tr w:rsidR="00DB1607" w:rsidRPr="00B95EB3" w14:paraId="119CE549" w14:textId="77777777">
        <w:tc>
          <w:tcPr>
            <w:tcW w:w="0" w:type="auto"/>
          </w:tcPr>
          <w:p w14:paraId="08C8BD1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N7</w:t>
            </w:r>
          </w:p>
        </w:tc>
        <w:tc>
          <w:tcPr>
            <w:tcW w:w="0" w:type="auto"/>
          </w:tcPr>
          <w:p w14:paraId="180B599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No automatic actuation of pond equipment or chemicals.</w:t>
            </w:r>
          </w:p>
        </w:tc>
        <w:tc>
          <w:tcPr>
            <w:tcW w:w="0" w:type="auto"/>
          </w:tcPr>
          <w:p w14:paraId="0679238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Advisory output only</w:t>
            </w:r>
          </w:p>
        </w:tc>
        <w:tc>
          <w:tcPr>
            <w:tcW w:w="0" w:type="auto"/>
          </w:tcPr>
          <w:p w14:paraId="7055409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Design constraint, Section 1.5</w:t>
            </w:r>
          </w:p>
        </w:tc>
      </w:tr>
      <w:tr w:rsidR="00DB1607" w:rsidRPr="00B95EB3" w14:paraId="1E78E1D5" w14:textId="77777777">
        <w:tc>
          <w:tcPr>
            <w:tcW w:w="0" w:type="auto"/>
          </w:tcPr>
          <w:p w14:paraId="4B14ECF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N8</w:t>
            </w:r>
          </w:p>
        </w:tc>
        <w:tc>
          <w:tcPr>
            <w:tcW w:w="0" w:type="auto"/>
          </w:tcPr>
          <w:p w14:paraId="7CD3E2E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xml:space="preserve">A failed or suspect reading is flagged </w:t>
            </w:r>
            <w:r w:rsidRPr="00B95EB3">
              <w:rPr>
                <w:rFonts w:asciiTheme="majorHAnsi" w:hAnsiTheme="majorHAnsi" w:cstheme="majorHAnsi"/>
                <w:sz w:val="19"/>
              </w:rPr>
              <w:lastRenderedPageBreak/>
              <w:t>rather than silently used.</w:t>
            </w:r>
          </w:p>
        </w:tc>
        <w:tc>
          <w:tcPr>
            <w:tcW w:w="0" w:type="auto"/>
          </w:tcPr>
          <w:p w14:paraId="67B5691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lastRenderedPageBreak/>
              <w:t xml:space="preserve">Device-side omission and server-side validation </w:t>
            </w:r>
            <w:r w:rsidRPr="00B95EB3">
              <w:rPr>
                <w:rFonts w:asciiTheme="majorHAnsi" w:hAnsiTheme="majorHAnsi" w:cstheme="majorHAnsi"/>
                <w:sz w:val="19"/>
              </w:rPr>
              <w:lastRenderedPageBreak/>
              <w:t>verdicts on every channel</w:t>
            </w:r>
          </w:p>
        </w:tc>
        <w:tc>
          <w:tcPr>
            <w:tcW w:w="0" w:type="auto"/>
          </w:tcPr>
          <w:p w14:paraId="358DDD8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lastRenderedPageBreak/>
              <w:t xml:space="preserve">Tier 1, Tier 3 and </w:t>
            </w:r>
            <w:r w:rsidRPr="00B95EB3">
              <w:rPr>
                <w:rFonts w:asciiTheme="majorHAnsi" w:hAnsiTheme="majorHAnsi" w:cstheme="majorHAnsi"/>
                <w:sz w:val="19"/>
              </w:rPr>
              <w:lastRenderedPageBreak/>
              <w:t>Chapter 5</w:t>
            </w:r>
          </w:p>
        </w:tc>
      </w:tr>
    </w:tbl>
    <w:p w14:paraId="1E7C7508"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The N2 target was lowered from 2 weeks when the power arrangement changed. Section 3.3.2 shows that a service interval of about 11 days on four AAA cells requires a low-sleep board and a buck converter, and about 4 weeks requires larger cells as well. Setting the target at 7 days on the test pack keeps it achievable with the planned board change, while the measurement itself decides the stated figure.</w:t>
      </w:r>
    </w:p>
    <w:p w14:paraId="27A286C7" w14:textId="77777777" w:rsidR="00DB1607" w:rsidRPr="00B95EB3" w:rsidRDefault="00000000">
      <w:pPr>
        <w:pStyle w:val="Heading2"/>
        <w:rPr>
          <w:rFonts w:asciiTheme="majorHAnsi" w:hAnsiTheme="majorHAnsi" w:cstheme="majorHAnsi"/>
        </w:rPr>
      </w:pPr>
      <w:bookmarkStart w:id="143" w:name="application-layer-and-mobile-client"/>
      <w:bookmarkStart w:id="144" w:name="_Toc241565731"/>
      <w:bookmarkEnd w:id="141"/>
      <w:r w:rsidRPr="00B95EB3">
        <w:rPr>
          <w:rFonts w:asciiTheme="majorHAnsi" w:hAnsiTheme="majorHAnsi" w:cstheme="majorHAnsi"/>
        </w:rPr>
        <w:t>3.12 Application Layer and Mobile Client</w:t>
      </w:r>
      <w:bookmarkEnd w:id="144"/>
    </w:p>
    <w:p w14:paraId="21195617"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mobile application is the only part of the system the owner uses directly. It has three jobs: it shows the current state of the pond, it shows what the digital twin expects to happen next, and it collects the owner events that the chemistry model depends on.</w:t>
      </w:r>
    </w:p>
    <w:p w14:paraId="64086301"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Flutter was selected for the client. Building separate native applications for Android and iOS would double the development effort for the same result. React Native was considered and set aside because its bridge between JavaScript and native code adds a performance cost that brings no benefit here. Flutter compiles to native code for both platforms from one Dart codebase and provides a large set of ready-made interface components, which suits an interface that must be clear rather than novel. The main cost of this choice was learning Dart.</w:t>
      </w:r>
    </w:p>
    <w:p w14:paraId="30CB1579"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client does not run the models. It reads computed assessments and forecasts from the digital twin and displays them, so the modelling logic exists in one place and a model change needs no matching change in the application. The one exception is the pH card: when the digital twin cannot be reached, the pH card falls back to a client-side assessment computed from the recent sensor history, so the dashboard still shows a pH status away from the local network. The card marks which source produced the status. The fallback is a simplified copy of the server’s pH rules and can disagree with them, which is the cost of keeping the dashboard useful off the network. It also still contains an older rule that combines incoming rain with a TDS below 150 ppm, which conflicts with the no-fixed-TDS-band principle in Section 3.2.4.1 and is to be removed.</w:t>
      </w:r>
    </w:p>
    <w:p w14:paraId="7A03A350"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xml:space="preserve">Owner events also feed the models directly. A feeding event is the main input to the modelled ammonia load, and a water change resets several modelled pools at once. The </w:t>
      </w:r>
      <w:r w:rsidRPr="00B95EB3">
        <w:rPr>
          <w:rFonts w:asciiTheme="majorHAnsi" w:hAnsiTheme="majorHAnsi" w:cstheme="majorHAnsi"/>
        </w:rPr>
        <w:lastRenderedPageBreak/>
        <w:t>application therefore makes logging quick: a single button opens a sheet with the four event types, and each form asks only for the amount that matters (feed mass and protein content, or the volume or percentage changed). A model fed with incomplete event history will drift away from the real pond without any sensor being at fault, so this is an interface problem as much as a modelling one.</w:t>
      </w:r>
    </w:p>
    <w:p w14:paraId="789D2487" w14:textId="77777777" w:rsidR="00DB1607" w:rsidRPr="00B95EB3" w:rsidRDefault="00000000">
      <w:pPr>
        <w:pStyle w:val="Heading3"/>
        <w:rPr>
          <w:rFonts w:asciiTheme="majorHAnsi" w:hAnsiTheme="majorHAnsi" w:cstheme="majorHAnsi"/>
        </w:rPr>
      </w:pPr>
      <w:bookmarkStart w:id="145" w:name="context-prompts-and-user-effort"/>
      <w:bookmarkStart w:id="146" w:name="_Toc241565732"/>
      <w:r w:rsidRPr="00B95EB3">
        <w:rPr>
          <w:rFonts w:asciiTheme="majorHAnsi" w:hAnsiTheme="majorHAnsi" w:cstheme="majorHAnsi"/>
        </w:rPr>
        <w:t>3.12.1 Context Prompts and User Effort</w:t>
      </w:r>
      <w:bookmarkEnd w:id="146"/>
    </w:p>
    <w:p w14:paraId="3F8F419C"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earlier design proposed prompts that ask the owner for context when TDS changes without an explanation. For the reasons in Section 3.9.4, these are deferred. The owner can still log any event at any time, and the detail screens show logged events as markers on the same timeline as the sensor readings, which lets the owner relate a change in a reading to something they did. The screens keep measured values, owner records and model estimates visually separate.</w:t>
      </w:r>
    </w:p>
    <w:p w14:paraId="75D4CD2B" w14:textId="77777777" w:rsidR="00DB1607" w:rsidRPr="00B95EB3" w:rsidRDefault="00000000">
      <w:pPr>
        <w:pStyle w:val="Heading2"/>
        <w:rPr>
          <w:rFonts w:asciiTheme="majorHAnsi" w:hAnsiTheme="majorHAnsi" w:cstheme="majorHAnsi"/>
        </w:rPr>
      </w:pPr>
      <w:bookmarkStart w:id="147" w:name="cost-summary-and-budget-position"/>
      <w:bookmarkStart w:id="148" w:name="_Toc241565733"/>
      <w:bookmarkEnd w:id="143"/>
      <w:bookmarkEnd w:id="145"/>
      <w:r w:rsidRPr="00B95EB3">
        <w:rPr>
          <w:rFonts w:asciiTheme="majorHAnsi" w:hAnsiTheme="majorHAnsi" w:cstheme="majorHAnsi"/>
        </w:rPr>
        <w:t>3.13 Cost Summary and Budget Position</w:t>
      </w:r>
      <w:bookmarkEnd w:id="148"/>
    </w:p>
    <w:p w14:paraId="7FCFE01B"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Cost limits the available chemical sensing methods. Table 3.12 records the selected parts and leaves unit prices to be completed from purchase records, so that the final total is tied to the hardware actually used.</w:t>
      </w:r>
    </w:p>
    <w:p w14:paraId="64D564D1"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3.12. Bill of materials. Prices to be completed from purchase records.</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3147"/>
        <w:gridCol w:w="904"/>
        <w:gridCol w:w="1635"/>
        <w:gridCol w:w="3500"/>
      </w:tblGrid>
      <w:tr w:rsidR="00DB1607" w:rsidRPr="00B95EB3" w14:paraId="7F94E821"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69898D4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Item</w:t>
            </w:r>
          </w:p>
        </w:tc>
        <w:tc>
          <w:tcPr>
            <w:tcW w:w="0" w:type="auto"/>
            <w:shd w:val="clear" w:color="auto" w:fill="EDEFF2"/>
          </w:tcPr>
          <w:p w14:paraId="5CFCBC9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Quantity</w:t>
            </w:r>
          </w:p>
        </w:tc>
        <w:tc>
          <w:tcPr>
            <w:tcW w:w="0" w:type="auto"/>
            <w:shd w:val="clear" w:color="auto" w:fill="EDEFF2"/>
          </w:tcPr>
          <w:p w14:paraId="66DC061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Unit cost</w:t>
            </w:r>
          </w:p>
        </w:tc>
        <w:tc>
          <w:tcPr>
            <w:tcW w:w="0" w:type="auto"/>
            <w:shd w:val="clear" w:color="auto" w:fill="EDEFF2"/>
          </w:tcPr>
          <w:p w14:paraId="21E23EE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Notes</w:t>
            </w:r>
          </w:p>
        </w:tc>
      </w:tr>
      <w:tr w:rsidR="00DB1607" w:rsidRPr="00B95EB3" w14:paraId="0BAE7D70" w14:textId="77777777">
        <w:tc>
          <w:tcPr>
            <w:tcW w:w="0" w:type="auto"/>
          </w:tcPr>
          <w:p w14:paraId="0E9A389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ESP32 DevKitC (WROOM-32)</w:t>
            </w:r>
          </w:p>
        </w:tc>
        <w:tc>
          <w:tcPr>
            <w:tcW w:w="0" w:type="auto"/>
          </w:tcPr>
          <w:p w14:paraId="4D7ADE5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w:t>
            </w:r>
          </w:p>
        </w:tc>
        <w:tc>
          <w:tcPr>
            <w:tcW w:w="0" w:type="auto"/>
          </w:tcPr>
          <w:p w14:paraId="7DB07A6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7653E61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Sensor node</w:t>
            </w:r>
          </w:p>
        </w:tc>
      </w:tr>
      <w:tr w:rsidR="00DB1607" w:rsidRPr="00B95EB3" w14:paraId="7E8DF67C" w14:textId="77777777">
        <w:tc>
          <w:tcPr>
            <w:tcW w:w="0" w:type="auto"/>
          </w:tcPr>
          <w:p w14:paraId="400EE20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ESP32-CAM module</w:t>
            </w:r>
          </w:p>
        </w:tc>
        <w:tc>
          <w:tcPr>
            <w:tcW w:w="0" w:type="auto"/>
          </w:tcPr>
          <w:p w14:paraId="1601935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w:t>
            </w:r>
          </w:p>
        </w:tc>
        <w:tc>
          <w:tcPr>
            <w:tcW w:w="0" w:type="auto"/>
          </w:tcPr>
          <w:p w14:paraId="557F1D7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08995CE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Imaging node</w:t>
            </w:r>
          </w:p>
        </w:tc>
      </w:tr>
      <w:tr w:rsidR="00DB1607" w:rsidRPr="00B95EB3" w14:paraId="7DB39E37" w14:textId="77777777">
        <w:tc>
          <w:tcPr>
            <w:tcW w:w="0" w:type="auto"/>
          </w:tcPr>
          <w:p w14:paraId="2735FAD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DS18B20 waterproof probe</w:t>
            </w:r>
          </w:p>
        </w:tc>
        <w:tc>
          <w:tcPr>
            <w:tcW w:w="0" w:type="auto"/>
          </w:tcPr>
          <w:p w14:paraId="5CE402D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w:t>
            </w:r>
          </w:p>
        </w:tc>
        <w:tc>
          <w:tcPr>
            <w:tcW w:w="0" w:type="auto"/>
          </w:tcPr>
          <w:p w14:paraId="324E911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0B20A05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Water temperature</w:t>
            </w:r>
          </w:p>
        </w:tc>
      </w:tr>
      <w:tr w:rsidR="00DB1607" w:rsidRPr="00B95EB3" w14:paraId="16EE810A" w14:textId="77777777">
        <w:tc>
          <w:tcPr>
            <w:tcW w:w="0" w:type="auto"/>
          </w:tcPr>
          <w:p w14:paraId="6EC98CC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Analogue TDS module and probe</w:t>
            </w:r>
          </w:p>
        </w:tc>
        <w:tc>
          <w:tcPr>
            <w:tcW w:w="0" w:type="auto"/>
          </w:tcPr>
          <w:p w14:paraId="452B992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w:t>
            </w:r>
          </w:p>
        </w:tc>
        <w:tc>
          <w:tcPr>
            <w:tcW w:w="0" w:type="auto"/>
          </w:tcPr>
          <w:p w14:paraId="349FFAD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7866B30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Total dissolved solids</w:t>
            </w:r>
          </w:p>
        </w:tc>
      </w:tr>
      <w:tr w:rsidR="00DB1607" w:rsidRPr="00B95EB3" w14:paraId="5E809D89" w14:textId="77777777">
        <w:tc>
          <w:tcPr>
            <w:tcW w:w="0" w:type="auto"/>
          </w:tcPr>
          <w:p w14:paraId="56D9155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Gravity analogue industrial pH kit V2</w:t>
            </w:r>
          </w:p>
        </w:tc>
        <w:tc>
          <w:tcPr>
            <w:tcW w:w="0" w:type="auto"/>
          </w:tcPr>
          <w:p w14:paraId="61150AC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w:t>
            </w:r>
          </w:p>
        </w:tc>
        <w:tc>
          <w:tcPr>
            <w:tcW w:w="0" w:type="auto"/>
          </w:tcPr>
          <w:p w14:paraId="7F4BD33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1AF25A5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Largest single sensor cost</w:t>
            </w:r>
          </w:p>
        </w:tc>
      </w:tr>
      <w:tr w:rsidR="00DB1607" w:rsidRPr="00B95EB3" w14:paraId="58C64170" w14:textId="77777777">
        <w:tc>
          <w:tcPr>
            <w:tcW w:w="0" w:type="auto"/>
          </w:tcPr>
          <w:p w14:paraId="07287A1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TSL2591 light sensor</w:t>
            </w:r>
          </w:p>
        </w:tc>
        <w:tc>
          <w:tcPr>
            <w:tcW w:w="0" w:type="auto"/>
          </w:tcPr>
          <w:p w14:paraId="36E1B99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w:t>
            </w:r>
          </w:p>
        </w:tc>
        <w:tc>
          <w:tcPr>
            <w:tcW w:w="0" w:type="auto"/>
          </w:tcPr>
          <w:p w14:paraId="0C990CB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668A0A9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Ambient light</w:t>
            </w:r>
          </w:p>
        </w:tc>
      </w:tr>
      <w:tr w:rsidR="00DB1607" w:rsidRPr="00B95EB3" w14:paraId="70983920" w14:textId="77777777">
        <w:tc>
          <w:tcPr>
            <w:tcW w:w="0" w:type="auto"/>
          </w:tcPr>
          <w:p w14:paraId="48C9510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GY-33 colour sensor module</w:t>
            </w:r>
          </w:p>
        </w:tc>
        <w:tc>
          <w:tcPr>
            <w:tcW w:w="0" w:type="auto"/>
          </w:tcPr>
          <w:p w14:paraId="6E37917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w:t>
            </w:r>
          </w:p>
        </w:tc>
        <w:tc>
          <w:tcPr>
            <w:tcW w:w="0" w:type="auto"/>
          </w:tcPr>
          <w:p w14:paraId="64D3E34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2FC340C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Ammonia indicator reader</w:t>
            </w:r>
          </w:p>
        </w:tc>
      </w:tr>
      <w:tr w:rsidR="00DB1607" w:rsidRPr="00B95EB3" w14:paraId="6A717945" w14:textId="77777777">
        <w:tc>
          <w:tcPr>
            <w:tcW w:w="0" w:type="auto"/>
          </w:tcPr>
          <w:p w14:paraId="1AD47AF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Colorimetric indicator badge</w:t>
            </w:r>
          </w:p>
        </w:tc>
        <w:tc>
          <w:tcPr>
            <w:tcW w:w="0" w:type="auto"/>
          </w:tcPr>
          <w:p w14:paraId="647EE0D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w:t>
            </w:r>
          </w:p>
        </w:tc>
        <w:tc>
          <w:tcPr>
            <w:tcW w:w="0" w:type="auto"/>
          </w:tcPr>
          <w:p w14:paraId="7284D3B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6CBB59D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Consumable, replaced periodically</w:t>
            </w:r>
          </w:p>
        </w:tc>
      </w:tr>
      <w:tr w:rsidR="00DB1607" w:rsidRPr="00B95EB3" w14:paraId="4AE6CF2F" w14:textId="77777777">
        <w:tc>
          <w:tcPr>
            <w:tcW w:w="0" w:type="auto"/>
          </w:tcPr>
          <w:p w14:paraId="1E463DE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Buck converter module</w:t>
            </w:r>
          </w:p>
        </w:tc>
        <w:tc>
          <w:tcPr>
            <w:tcW w:w="0" w:type="auto"/>
          </w:tcPr>
          <w:p w14:paraId="07C0DD9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w:t>
            </w:r>
          </w:p>
        </w:tc>
        <w:tc>
          <w:tcPr>
            <w:tcW w:w="0" w:type="auto"/>
          </w:tcPr>
          <w:p w14:paraId="0D00F50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78C57A0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Optional, for longer service</w:t>
            </w:r>
          </w:p>
        </w:tc>
      </w:tr>
      <w:tr w:rsidR="00DB1607" w:rsidRPr="00B95EB3" w14:paraId="2D390675" w14:textId="77777777">
        <w:tc>
          <w:tcPr>
            <w:tcW w:w="0" w:type="auto"/>
          </w:tcPr>
          <w:p w14:paraId="13A70EE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Battery holders and cells</w:t>
            </w:r>
          </w:p>
        </w:tc>
        <w:tc>
          <w:tcPr>
            <w:tcW w:w="0" w:type="auto"/>
          </w:tcPr>
          <w:p w14:paraId="0AF44D3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2 sets</w:t>
            </w:r>
          </w:p>
        </w:tc>
        <w:tc>
          <w:tcPr>
            <w:tcW w:w="0" w:type="auto"/>
          </w:tcPr>
          <w:p w14:paraId="594272B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6537EAD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One per node</w:t>
            </w:r>
          </w:p>
        </w:tc>
      </w:tr>
      <w:tr w:rsidR="00DB1607" w:rsidRPr="00B95EB3" w14:paraId="2CB482C7" w14:textId="77777777">
        <w:tc>
          <w:tcPr>
            <w:tcW w:w="0" w:type="auto"/>
          </w:tcPr>
          <w:p w14:paraId="7FB993D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Enclosure, glands and connectors</w:t>
            </w:r>
          </w:p>
        </w:tc>
        <w:tc>
          <w:tcPr>
            <w:tcW w:w="0" w:type="auto"/>
          </w:tcPr>
          <w:p w14:paraId="0D6A6B9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 set</w:t>
            </w:r>
          </w:p>
        </w:tc>
        <w:tc>
          <w:tcPr>
            <w:tcW w:w="0" w:type="auto"/>
          </w:tcPr>
          <w:p w14:paraId="46AD4AE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011F66B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Outdoor protection</w:t>
            </w:r>
          </w:p>
        </w:tc>
      </w:tr>
      <w:tr w:rsidR="00DB1607" w:rsidRPr="00B95EB3" w14:paraId="61E25E26" w14:textId="77777777">
        <w:tc>
          <w:tcPr>
            <w:tcW w:w="0" w:type="auto"/>
          </w:tcPr>
          <w:p w14:paraId="2409CF4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Total</w:t>
            </w:r>
          </w:p>
        </w:tc>
        <w:tc>
          <w:tcPr>
            <w:tcW w:w="0" w:type="auto"/>
          </w:tcPr>
          <w:p w14:paraId="2761CAF9" w14:textId="77777777" w:rsidR="00DB1607" w:rsidRPr="00B95EB3" w:rsidRDefault="00DB1607">
            <w:pPr>
              <w:pStyle w:val="Compact"/>
              <w:spacing w:before="20" w:after="20" w:line="264" w:lineRule="auto"/>
              <w:jc w:val="left"/>
              <w:rPr>
                <w:rFonts w:asciiTheme="majorHAnsi" w:hAnsiTheme="majorHAnsi" w:cstheme="majorHAnsi"/>
              </w:rPr>
            </w:pPr>
          </w:p>
        </w:tc>
        <w:tc>
          <w:tcPr>
            <w:tcW w:w="0" w:type="auto"/>
          </w:tcPr>
          <w:p w14:paraId="6DB46B1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3D7C3AA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Compare with direct sensing alternatives</w:t>
            </w:r>
          </w:p>
        </w:tc>
      </w:tr>
    </w:tbl>
    <w:p w14:paraId="4442B6F7"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The move from the RS485 pH front end to the analogue kit removed an 8 V buck converter, a 5 V buck converter and a 10-cell battery holder from the bill. The budget should be read against the direct-sensing alternatives reviewed in Chapter 2. Continuous nitrate instruments were reported at USD 15,000 to 25,000 per unit, and a lower-cost research prototype still reached about USD 800. Dissolved oxygen probes add recurring membrane costs. The colorimetric badge and the batteries are recurring costs an owner would carry, and both should be recorded rather than hidden in the one-off total.</w:t>
      </w:r>
    </w:p>
    <w:p w14:paraId="4E71EF6E" w14:textId="77777777" w:rsidR="00DB1607" w:rsidRPr="00B95EB3" w:rsidRDefault="00000000">
      <w:pPr>
        <w:pStyle w:val="Heading2"/>
        <w:rPr>
          <w:rFonts w:asciiTheme="majorHAnsi" w:hAnsiTheme="majorHAnsi" w:cstheme="majorHAnsi"/>
        </w:rPr>
      </w:pPr>
      <w:bookmarkStart w:id="149" w:name="chapter-summary"/>
      <w:bookmarkStart w:id="150" w:name="_Toc241565734"/>
      <w:bookmarkEnd w:id="147"/>
      <w:r w:rsidRPr="00B95EB3">
        <w:rPr>
          <w:rFonts w:asciiTheme="majorHAnsi" w:hAnsiTheme="majorHAnsi" w:cstheme="majorHAnsi"/>
        </w:rPr>
        <w:t>3.14 Chapter Summary</w:t>
      </w:r>
      <w:bookmarkEnd w:id="150"/>
    </w:p>
    <w:p w14:paraId="03FB36AA"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system uses two independent pond-side nodes, a hosted camera analysis service, a stateful digital twin service and a Flutter client, all sharing one Supabase store. The change from an RS485 pH front end to a 3.3 V analogue kit simplified the power design considerably: every sensor now runs from its own ESP32 GPIO pin, the 8 V and 5 V rails and their converters are gone, and battery life has become a question of the development board’s sleep current and the regulator’s efficiency, which the Tier 3 endurance run will measure.</w:t>
      </w:r>
    </w:p>
    <w:p w14:paraId="576CDA3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sensor node reads TDS first and pH last with only one sensor powered at a time and the radio off, which keeps TDS excitation and radio noise away from the pH reading. The camera service chooses the camera’s next wake from the current image and holds its baseline steady when the view is obstructed. The digital twin keeps its three engines in one locked, persisted object so that one event updates all of them together, and it validates every reading before use. The main implementation gaps are the sensor payload’s missing sample time and device identifier, single-frame state changes in the camera schedule, a poller that reads only the latest reading, and the deferred TDS prompting design, which now waits on the bench tests in Chapter 4.</w:t>
      </w:r>
    </w:p>
    <w:p w14:paraId="05FC749B" w14:textId="77777777" w:rsidR="00DB1607" w:rsidRPr="00B95EB3" w:rsidRDefault="00000000">
      <w:pPr>
        <w:pStyle w:val="Heading1"/>
        <w:rPr>
          <w:rFonts w:asciiTheme="majorHAnsi" w:hAnsiTheme="majorHAnsi" w:cstheme="majorHAnsi"/>
        </w:rPr>
      </w:pPr>
      <w:bookmarkStart w:id="151" w:name="chapter-4-experimental-framework"/>
      <w:bookmarkStart w:id="152" w:name="_Toc241565735"/>
      <w:bookmarkEnd w:id="60"/>
      <w:bookmarkEnd w:id="149"/>
      <w:r w:rsidRPr="00B95EB3">
        <w:rPr>
          <w:rFonts w:asciiTheme="majorHAnsi" w:hAnsiTheme="majorHAnsi" w:cstheme="majorHAnsi"/>
        </w:rPr>
        <w:lastRenderedPageBreak/>
        <w:t>Chapter 4: Experimental Framework</w:t>
      </w:r>
      <w:bookmarkEnd w:id="152"/>
    </w:p>
    <w:p w14:paraId="4112251E" w14:textId="77777777" w:rsidR="00DB1607" w:rsidRPr="00B95EB3" w:rsidRDefault="00000000">
      <w:pPr>
        <w:pStyle w:val="Heading2"/>
        <w:rPr>
          <w:rFonts w:asciiTheme="majorHAnsi" w:hAnsiTheme="majorHAnsi" w:cstheme="majorHAnsi"/>
        </w:rPr>
      </w:pPr>
      <w:bookmarkStart w:id="153" w:name="purpose-and-testing-philosophy"/>
      <w:bookmarkStart w:id="154" w:name="_Toc241565736"/>
      <w:r w:rsidRPr="00B95EB3">
        <w:rPr>
          <w:rFonts w:asciiTheme="majorHAnsi" w:hAnsiTheme="majorHAnsi" w:cstheme="majorHAnsi"/>
        </w:rPr>
        <w:t>4.1 Purpose and Testing Philosophy</w:t>
      </w:r>
      <w:bookmarkEnd w:id="154"/>
    </w:p>
    <w:p w14:paraId="7026BC53"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This chapter defines the test sequence, acceptance limits and records for the hardware and the assembled system. The criteria are fixed before testing so that the results in Chapter 7 are judged against targets set in advance rather than against whatever the data happened to show. The automated software tests, which verify the firmware logic, the camera service and the digital twin without hardware, are reported in Chapter 5.</w:t>
      </w:r>
    </w:p>
    <w:p w14:paraId="1913A07C"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Testing begins with bench checks on a current-limited supply because the pH probe, sensor boards and microcontrollers are slow to replace. Each part is checked alone before it is connected to the full system. This limits the hardware exposed to a wiring or supply fault and makes the cause of a failure easier to find. Short bench checks cover wiring, calibration and range faults. Longer outdoor runs are reserved for behaviour that depends on weather, mounting or a full day and night cycle.</w:t>
      </w:r>
    </w:p>
    <w:p w14:paraId="210070E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All tiers use the common record format in Section 4.7, which keeps the operating state, reference value and failure context needed for later analysis.</w:t>
      </w:r>
    </w:p>
    <w:p w14:paraId="28F89FDE" w14:textId="77777777" w:rsidR="00DB1607" w:rsidRPr="00B95EB3" w:rsidRDefault="00000000">
      <w:pPr>
        <w:pStyle w:val="Heading2"/>
        <w:rPr>
          <w:rFonts w:asciiTheme="majorHAnsi" w:hAnsiTheme="majorHAnsi" w:cstheme="majorHAnsi"/>
        </w:rPr>
      </w:pPr>
      <w:bookmarkStart w:id="155" w:name="three-test-tiers"/>
      <w:bookmarkStart w:id="156" w:name="_Toc241565737"/>
      <w:bookmarkEnd w:id="153"/>
      <w:r w:rsidRPr="00B95EB3">
        <w:rPr>
          <w:rFonts w:asciiTheme="majorHAnsi" w:hAnsiTheme="majorHAnsi" w:cstheme="majorHAnsi"/>
        </w:rPr>
        <w:t>4.2 Three Test Tiers</w:t>
      </w:r>
      <w:bookmarkEnd w:id="156"/>
    </w:p>
    <w:p w14:paraId="6519DFD6"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Testing is divided into bench checks, outdoor subsystem checks and full-system operation. A subsystem moves forward only after meeting the earlier tier’s acceptance limit.</w:t>
      </w:r>
    </w:p>
    <w:p w14:paraId="2CAD0CEE"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4.1. The three test tiers and what each is for.</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295"/>
        <w:gridCol w:w="3586"/>
        <w:gridCol w:w="1426"/>
        <w:gridCol w:w="1639"/>
        <w:gridCol w:w="1240"/>
      </w:tblGrid>
      <w:tr w:rsidR="00DB1607" w:rsidRPr="00B95EB3" w14:paraId="6012CD3E"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05D5C76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Tier</w:t>
            </w:r>
          </w:p>
        </w:tc>
        <w:tc>
          <w:tcPr>
            <w:tcW w:w="0" w:type="auto"/>
            <w:shd w:val="clear" w:color="auto" w:fill="EDEFF2"/>
          </w:tcPr>
          <w:p w14:paraId="7550669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Question answered</w:t>
            </w:r>
          </w:p>
        </w:tc>
        <w:tc>
          <w:tcPr>
            <w:tcW w:w="0" w:type="auto"/>
            <w:shd w:val="clear" w:color="auto" w:fill="EDEFF2"/>
          </w:tcPr>
          <w:p w14:paraId="287C2EA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Scope</w:t>
            </w:r>
          </w:p>
        </w:tc>
        <w:tc>
          <w:tcPr>
            <w:tcW w:w="0" w:type="auto"/>
            <w:shd w:val="clear" w:color="auto" w:fill="EDEFF2"/>
          </w:tcPr>
          <w:p w14:paraId="3F15C1D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Environment</w:t>
            </w:r>
          </w:p>
        </w:tc>
        <w:tc>
          <w:tcPr>
            <w:tcW w:w="0" w:type="auto"/>
            <w:shd w:val="clear" w:color="auto" w:fill="EDEFF2"/>
          </w:tcPr>
          <w:p w14:paraId="40BAF9E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Typical duration</w:t>
            </w:r>
          </w:p>
        </w:tc>
      </w:tr>
      <w:tr w:rsidR="00DB1607" w:rsidRPr="00B95EB3" w14:paraId="259395F3" w14:textId="77777777">
        <w:tc>
          <w:tcPr>
            <w:tcW w:w="0" w:type="auto"/>
          </w:tcPr>
          <w:p w14:paraId="4C589CB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1, Functional</w:t>
            </w:r>
          </w:p>
        </w:tc>
        <w:tc>
          <w:tcPr>
            <w:tcW w:w="0" w:type="auto"/>
          </w:tcPr>
          <w:p w14:paraId="7E7FEB9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Does this part behave the way its datasheet says it should?</w:t>
            </w:r>
          </w:p>
        </w:tc>
        <w:tc>
          <w:tcPr>
            <w:tcW w:w="0" w:type="auto"/>
          </w:tcPr>
          <w:p w14:paraId="0C7F0AE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One subsystem at a time</w:t>
            </w:r>
          </w:p>
        </w:tc>
        <w:tc>
          <w:tcPr>
            <w:tcW w:w="0" w:type="auto"/>
          </w:tcPr>
          <w:p w14:paraId="00D1249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Indoor bench</w:t>
            </w:r>
          </w:p>
        </w:tc>
        <w:tc>
          <w:tcPr>
            <w:tcW w:w="0" w:type="auto"/>
          </w:tcPr>
          <w:p w14:paraId="7275A04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Minutes to hours</w:t>
            </w:r>
          </w:p>
        </w:tc>
      </w:tr>
      <w:tr w:rsidR="00DB1607" w:rsidRPr="00B95EB3" w14:paraId="1CEC0F70" w14:textId="77777777">
        <w:tc>
          <w:tcPr>
            <w:tcW w:w="0" w:type="auto"/>
          </w:tcPr>
          <w:p w14:paraId="29EC408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2, Operational</w:t>
            </w:r>
          </w:p>
        </w:tc>
        <w:tc>
          <w:tcPr>
            <w:tcW w:w="0" w:type="auto"/>
          </w:tcPr>
          <w:p w14:paraId="677540A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Does that behaviour survive a real pond and produce useful data?</w:t>
            </w:r>
          </w:p>
        </w:tc>
        <w:tc>
          <w:tcPr>
            <w:tcW w:w="0" w:type="auto"/>
          </w:tcPr>
          <w:p w14:paraId="183F3CC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One subsystem at a time</w:t>
            </w:r>
          </w:p>
        </w:tc>
        <w:tc>
          <w:tcPr>
            <w:tcW w:w="0" w:type="auto"/>
          </w:tcPr>
          <w:p w14:paraId="4D0BC23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Outdoor, beside the pond</w:t>
            </w:r>
          </w:p>
        </w:tc>
        <w:tc>
          <w:tcPr>
            <w:tcW w:w="0" w:type="auto"/>
          </w:tcPr>
          <w:p>
            <w:r>
              <w:t>One to 2 days</w:t>
            </w:r>
          </w:p>
        </w:tc>
      </w:tr>
      <w:tr w:rsidR="00DB1607" w:rsidRPr="00B95EB3" w14:paraId="1053C7DD" w14:textId="77777777">
        <w:tc>
          <w:tcPr>
            <w:tcW w:w="0" w:type="auto"/>
          </w:tcPr>
          <w:p w14:paraId="2718FCC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Tier 3, Full system</w:t>
            </w:r>
          </w:p>
        </w:tc>
        <w:tc>
          <w:tcPr>
            <w:tcW w:w="0" w:type="auto"/>
          </w:tcPr>
          <w:p w14:paraId="04A7186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Do the parts work together, and does the assembled system meet its non-functional targets?</w:t>
            </w:r>
          </w:p>
        </w:tc>
        <w:tc>
          <w:tcPr>
            <w:tcW w:w="0" w:type="auto"/>
          </w:tcPr>
          <w:p w14:paraId="195F9EF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Complete system</w:t>
            </w:r>
          </w:p>
        </w:tc>
        <w:tc>
          <w:tcPr>
            <w:tcW w:w="0" w:type="auto"/>
          </w:tcPr>
          <w:p w14:paraId="0461BC5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Indoor run and outdoor run</w:t>
            </w:r>
          </w:p>
        </w:tc>
        <w:tc>
          <w:tcPr>
            <w:tcW w:w="0" w:type="auto"/>
          </w:tcPr>
          <w:p w14:paraId="3482932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Hours to several days</w:t>
            </w:r>
          </w:p>
        </w:tc>
      </w:tr>
    </w:tbl>
    <w:p w14:paraId="79271F75"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Tier 1 catches supply, wiring, response and calibration faults. Tier 2 checks whether a working subsystem stays useful beside the pond. Tier 3 is then limited to interactions between parts, communication reliability and power use.</w:t>
      </w:r>
    </w:p>
    <w:p w14:paraId="6CEEB1DB" w14:textId="77777777" w:rsidR="00DB1607" w:rsidRPr="00B95EB3" w:rsidRDefault="00000000">
      <w:pPr>
        <w:pStyle w:val="Heading2"/>
        <w:rPr>
          <w:rFonts w:asciiTheme="majorHAnsi" w:hAnsiTheme="majorHAnsi" w:cstheme="majorHAnsi"/>
        </w:rPr>
      </w:pPr>
      <w:bookmarkStart w:id="157" w:name="equipment-protection-protocol"/>
      <w:bookmarkStart w:id="158" w:name="_Toc241565738"/>
      <w:bookmarkEnd w:id="155"/>
      <w:r w:rsidRPr="00B95EB3">
        <w:rPr>
          <w:rFonts w:asciiTheme="majorHAnsi" w:hAnsiTheme="majorHAnsi" w:cstheme="majorHAnsi"/>
        </w:rPr>
        <w:lastRenderedPageBreak/>
        <w:t>4.3 Equipment Protection Protocol</w:t>
      </w:r>
      <w:bookmarkEnd w:id="158"/>
    </w:p>
    <w:p w14:paraId="1C29FD32"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following controls apply before powered testing.</w:t>
      </w:r>
    </w:p>
    <w:p w14:paraId="11E32A87" w14:textId="77777777" w:rsidR="00DB1607" w:rsidRPr="00B95EB3" w:rsidRDefault="00000000">
      <w:pPr>
        <w:pStyle w:val="Compact"/>
        <w:numPr>
          <w:ilvl w:val="0"/>
          <w:numId w:val="5"/>
        </w:numPr>
        <w:rPr>
          <w:rFonts w:asciiTheme="majorHAnsi" w:hAnsiTheme="majorHAnsi" w:cstheme="majorHAnsi"/>
        </w:rPr>
      </w:pPr>
      <w:r w:rsidRPr="00B95EB3">
        <w:rPr>
          <w:rFonts w:asciiTheme="majorHAnsi" w:hAnsiTheme="majorHAnsi" w:cstheme="majorHAnsi"/>
        </w:rPr>
        <w:t>Measure the regulated 3.3 V rail and each sensor power pin before connecting a module, and confirm signal levels before connecting a data line.</w:t>
      </w:r>
    </w:p>
    <w:p w14:paraId="52E33BD5" w14:textId="77777777" w:rsidR="00DB1607" w:rsidRPr="00B95EB3" w:rsidRDefault="00000000">
      <w:pPr>
        <w:pStyle w:val="Compact"/>
        <w:numPr>
          <w:ilvl w:val="0"/>
          <w:numId w:val="5"/>
        </w:numPr>
        <w:rPr>
          <w:rFonts w:asciiTheme="majorHAnsi" w:hAnsiTheme="majorHAnsi" w:cstheme="majorHAnsi"/>
        </w:rPr>
      </w:pPr>
      <w:r w:rsidRPr="00B95EB3">
        <w:rPr>
          <w:rFonts w:asciiTheme="majorHAnsi" w:hAnsiTheme="majorHAnsi" w:cstheme="majorHAnsi"/>
        </w:rPr>
        <w:t>Bring up new hardware from a current-limited bench supply. Add one sensor at a time and check its idle and active current before continuing.</w:t>
      </w:r>
    </w:p>
    <w:p w14:paraId="727B3C75" w14:textId="77777777" w:rsidR="00DB1607" w:rsidRPr="00B95EB3" w:rsidRDefault="00000000">
      <w:pPr>
        <w:pStyle w:val="Compact"/>
        <w:numPr>
          <w:ilvl w:val="0"/>
          <w:numId w:val="5"/>
        </w:numPr>
        <w:rPr>
          <w:rFonts w:asciiTheme="majorHAnsi" w:hAnsiTheme="majorHAnsi" w:cstheme="majorHAnsi"/>
        </w:rPr>
      </w:pPr>
      <w:r w:rsidRPr="00B95EB3">
        <w:rPr>
          <w:rFonts w:asciiTheme="majorHAnsi" w:hAnsiTheme="majorHAnsi" w:cstheme="majorHAnsi"/>
        </w:rPr>
        <w:t>Check water-contact probes in a bench container first. Keep the pH probe wet and return it to storage solution between checks.</w:t>
      </w:r>
    </w:p>
    <w:p w14:paraId="7CCB4BC9" w14:textId="77777777" w:rsidR="00DB1607" w:rsidRPr="00B95EB3" w:rsidRDefault="00000000">
      <w:pPr>
        <w:pStyle w:val="Compact"/>
        <w:numPr>
          <w:ilvl w:val="0"/>
          <w:numId w:val="5"/>
        </w:numPr>
        <w:rPr>
          <w:rFonts w:asciiTheme="majorHAnsi" w:hAnsiTheme="majorHAnsi" w:cstheme="majorHAnsi"/>
        </w:rPr>
      </w:pPr>
      <w:r w:rsidRPr="00B95EB3">
        <w:rPr>
          <w:rFonts w:asciiTheme="majorHAnsi" w:hAnsiTheme="majorHAnsi" w:cstheme="majorHAnsi"/>
        </w:rPr>
        <w:t>Check the empty enclosure for water entry before fitting electronics, including cable glands and the camera window.</w:t>
      </w:r>
    </w:p>
    <w:p w14:paraId="1E2764D1" w14:textId="77777777" w:rsidR="00DB1607" w:rsidRPr="00B95EB3" w:rsidRDefault="00000000">
      <w:pPr>
        <w:pStyle w:val="Compact"/>
        <w:numPr>
          <w:ilvl w:val="0"/>
          <w:numId w:val="5"/>
        </w:numPr>
        <w:rPr>
          <w:rFonts w:asciiTheme="majorHAnsi" w:hAnsiTheme="majorHAnsi" w:cstheme="majorHAnsi"/>
        </w:rPr>
      </w:pPr>
      <w:r w:rsidRPr="00B95EB3">
        <w:rPr>
          <w:rFonts w:asciiTheme="majorHAnsi" w:hAnsiTheme="majorHAnsi" w:cstheme="majorHAnsi"/>
        </w:rPr>
        <w:t>Use cells of the same type, age and charge state in each pack. Disconnect the pack from unfinished circuits when work stops.</w:t>
      </w:r>
    </w:p>
    <w:p w14:paraId="68537712" w14:textId="77777777" w:rsidR="00DB1607" w:rsidRPr="00B95EB3" w:rsidRDefault="00000000">
      <w:pPr>
        <w:pStyle w:val="Heading2"/>
        <w:rPr>
          <w:rFonts w:asciiTheme="majorHAnsi" w:hAnsiTheme="majorHAnsi" w:cstheme="majorHAnsi"/>
        </w:rPr>
      </w:pPr>
      <w:bookmarkStart w:id="159" w:name="tier-1-functional-subsystem-tests"/>
      <w:bookmarkStart w:id="160" w:name="_Toc241565739"/>
      <w:bookmarkEnd w:id="157"/>
      <w:r w:rsidRPr="00B95EB3">
        <w:rPr>
          <w:rFonts w:asciiTheme="majorHAnsi" w:hAnsiTheme="majorHAnsi" w:cstheme="majorHAnsi"/>
        </w:rPr>
        <w:t>4.4 Tier 1: Functional Subsystem Tests</w:t>
      </w:r>
      <w:bookmarkEnd w:id="160"/>
    </w:p>
    <w:p w14:paraId="650BE2E0"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Tier 1 checks response, calibration and current draw on the bench. Each sensor is exposed to a known input covering the intended pond range, and the reading is compared with a reference or with the limit stated in Chapter 3. The node’s service mode (Section 3.4.4) runs each of these tests without reflashing: it can read one sensor alone, calibrate against a buffer or standard, log a 30-second settling curve and scan the I2C buses.</w:t>
      </w:r>
    </w:p>
    <w:p w14:paraId="140B9673" w14:textId="77777777" w:rsidR="00DB1607" w:rsidRPr="00B95EB3" w:rsidRDefault="00000000">
      <w:pPr>
        <w:pStyle w:val="Heading3"/>
        <w:rPr>
          <w:rFonts w:asciiTheme="majorHAnsi" w:hAnsiTheme="majorHAnsi" w:cstheme="majorHAnsi"/>
        </w:rPr>
      </w:pPr>
      <w:bookmarkStart w:id="161" w:name="temperature-channel"/>
      <w:bookmarkStart w:id="162" w:name="_Toc241565740"/>
      <w:r w:rsidRPr="00B95EB3">
        <w:rPr>
          <w:rFonts w:asciiTheme="majorHAnsi" w:hAnsiTheme="majorHAnsi" w:cstheme="majorHAnsi"/>
        </w:rPr>
        <w:t>4.4.1 Temperature Channel</w:t>
      </w:r>
      <w:bookmarkEnd w:id="162"/>
    </w:p>
    <w:p w14:paraId="1B9782E9"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DS18B20 and a reference thermometer are placed in the same water bath at several settled points between about 20 °C and 40 °C. The channel passes when its reading stays within the stated ±0.5 °C. The time, both readings and their difference are recorded. The firmware’s rejection logic is also checked by disconnecting the data line during a reading, which should produce a logged failure and no reported temperature.</w:t>
      </w:r>
    </w:p>
    <w:p w14:paraId="1E85E2EA" w14:textId="77777777" w:rsidR="00DB1607" w:rsidRPr="00B95EB3" w:rsidRDefault="00000000">
      <w:pPr>
        <w:pStyle w:val="Heading3"/>
        <w:rPr>
          <w:rFonts w:asciiTheme="majorHAnsi" w:hAnsiTheme="majorHAnsi" w:cstheme="majorHAnsi"/>
        </w:rPr>
      </w:pPr>
      <w:bookmarkStart w:id="163" w:name="ph-channel"/>
      <w:bookmarkStart w:id="164" w:name="_Toc241565741"/>
      <w:bookmarkEnd w:id="161"/>
      <w:r w:rsidRPr="00B95EB3">
        <w:rPr>
          <w:rFonts w:asciiTheme="majorHAnsi" w:hAnsiTheme="majorHAnsi" w:cstheme="majorHAnsi"/>
        </w:rPr>
        <w:t>4.4.2 pH Channel</w:t>
      </w:r>
      <w:bookmarkEnd w:id="164"/>
    </w:p>
    <w:p w14:paraId="115EDC50"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b/>
          <w:bCs/>
        </w:rPr>
        <w:t>Calibration.</w:t>
      </w:r>
      <w:r w:rsidRPr="00B95EB3">
        <w:rPr>
          <w:rFonts w:asciiTheme="majorHAnsi" w:hAnsiTheme="majorHAnsi" w:cstheme="majorHAnsi"/>
        </w:rPr>
        <w:t xml:space="preserve"> The pH channel is calibrated with the buffers the firmware supports (pH 6.86, 7.00, 9.18 and 10.01), using at least two that bracket the expected pond range. A pH 4.0 buffer is used as an independent check point outside the fit. The sequence is repeated after rinsing. A valid response falls monotonically with rising pH, lies within ±0.1 pH of each buffer after calibration and repeats on the second pass. The record includes the buffer, its </w:t>
      </w:r>
      <w:r w:rsidRPr="00B95EB3">
        <w:rPr>
          <w:rFonts w:asciiTheme="majorHAnsi" w:hAnsiTheme="majorHAnsi" w:cstheme="majorHAnsi"/>
        </w:rPr>
        <w:lastRenderedPageBreak/>
        <w:t>temperature-corrected value, the raw millivolt reading, the converted pH and the water temperature.</w:t>
      </w:r>
    </w:p>
    <w:p w14:paraId="7F36B077"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Buffer solutions are used rather than household acids and bases because a defensible calibration needs a known pH. Vinegar and similar substances only show that the output moves in the right direction.</w:t>
      </w:r>
    </w:p>
    <w:p w14:paraId="701CC967"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b/>
          <w:bCs/>
        </w:rPr>
        <w:t>Settling time.</w:t>
      </w:r>
      <w:r w:rsidRPr="00B95EB3">
        <w:rPr>
          <w:rFonts w:asciiTheme="majorHAnsi" w:hAnsiTheme="majorHAnsi" w:cstheme="majorHAnsi"/>
        </w:rPr>
        <w:t xml:space="preserve"> The node’s settle log records the pH board’s output every 100 ms for 30 s after power-on, with the probe in a buffer and again in pond water. The curve shows when the output stops moving, which is used to check the 3 mV acceptance tolerance and the 5 s upper limit of the adaptive settle (Section 3.2.5). If the curve is still moving after 5 s, the upper limit is raised. Comparing the buffer and pond-water curves also tests the assumption that the settle window covers the board’s start-up and not the electrode’s chemical response.</w:t>
      </w:r>
    </w:p>
    <w:p w14:paraId="1B675E25"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b/>
          <w:bCs/>
        </w:rPr>
        <w:t>TDS interference.</w:t>
      </w:r>
      <w:r w:rsidRPr="00B95EB3">
        <w:rPr>
          <w:rFonts w:asciiTheme="majorHAnsi" w:hAnsiTheme="majorHAnsi" w:cstheme="majorHAnsi"/>
        </w:rPr>
        <w:t xml:space="preserve"> With both probes in the same container, pH is read over 20 cycles with the TDS probe in the water, then 20 cycles with it removed. The sequence already keeps the TDS board unpowered during the pH reading, so this test measures what remains: charge left in the water and any ground path between the probes. A mean shift larger than the probe’s ±0.1 pH accuracy means galvanic isolation is required (Section 3.4.3).</w:t>
      </w:r>
    </w:p>
    <w:p w14:paraId="6793704E" w14:textId="77777777" w:rsidR="00DB1607" w:rsidRPr="00B95EB3" w:rsidRDefault="00000000">
      <w:pPr>
        <w:pStyle w:val="Heading3"/>
        <w:rPr>
          <w:rFonts w:asciiTheme="majorHAnsi" w:hAnsiTheme="majorHAnsi" w:cstheme="majorHAnsi"/>
        </w:rPr>
      </w:pPr>
      <w:bookmarkStart w:id="165" w:name="tds-channel"/>
      <w:bookmarkStart w:id="166" w:name="_Toc241565742"/>
      <w:bookmarkEnd w:id="163"/>
      <w:r w:rsidRPr="00B95EB3">
        <w:rPr>
          <w:rFonts w:asciiTheme="majorHAnsi" w:hAnsiTheme="majorHAnsi" w:cstheme="majorHAnsi"/>
        </w:rPr>
        <w:t>4.4.3 TDS Channel</w:t>
      </w:r>
      <w:bookmarkEnd w:id="166"/>
    </w:p>
    <w:p w14:paraId="1E484963"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 xml:space="preserve">The TDS channel is checked across prepared conductivity levels and then at different temperatures with concentration held fixed. The reading must rise consistently with dissolved content and stay within the module’s stated tolerance. The corrected value should move less with temperature than the raw value. Raw millivolts, corrected TDS, temperature and the reference concentration are recorded together. The single-point </w:t>
      </w:r>
      <w:r w:rsidRPr="00B95EB3">
        <w:rPr>
          <w:rFonts w:asciiTheme="majorHAnsi" w:hAnsiTheme="majorHAnsi" w:cstheme="majorHAnsi"/>
          <w:i/>
          <w:iCs/>
        </w:rPr>
        <w:t>K</w:t>
      </w:r>
      <w:r w:rsidRPr="00B95EB3">
        <w:rPr>
          <w:rFonts w:asciiTheme="majorHAnsi" w:hAnsiTheme="majorHAnsi" w:cstheme="majorHAnsi"/>
        </w:rPr>
        <w:t xml:space="preserve"> calibration (Section 3.2.4) is checked at a second standard concentration. If the error at the second point exceeds 10 %, a two-point calibration is added.</w:t>
      </w:r>
    </w:p>
    <w:p w14:paraId="563427C4" w14:textId="77777777" w:rsidR="00DB1607" w:rsidRPr="00B95EB3" w:rsidRDefault="00000000">
      <w:pPr>
        <w:pStyle w:val="Heading4"/>
        <w:rPr>
          <w:rFonts w:asciiTheme="majorHAnsi" w:hAnsiTheme="majorHAnsi" w:cstheme="majorHAnsi"/>
        </w:rPr>
      </w:pPr>
      <w:bookmarkStart w:id="167" w:name="viability-of-tds-as-a-context-log"/>
      <w:r w:rsidRPr="00B95EB3">
        <w:rPr>
          <w:rFonts w:asciiTheme="majorHAnsi" w:hAnsiTheme="majorHAnsi" w:cstheme="majorHAnsi"/>
        </w:rPr>
        <w:t>4.4.3.1 Viability of TDS as a Context Log</w:t>
      </w:r>
    </w:p>
    <w:p w14:paraId="29E66B03"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 xml:space="preserve">Section 3.9.4 deferred the TDS prompting design until two questions are answered: can the channel resolve realistic event steps above its own noise, and would a simple detection rule prompt the owner too often on quiet days. The following tests answer both. They use the </w:t>
      </w:r>
      <w:r w:rsidRPr="00B95EB3">
        <w:rPr>
          <w:rFonts w:asciiTheme="majorHAnsi" w:hAnsiTheme="majorHAnsi" w:cstheme="majorHAnsi"/>
        </w:rPr>
        <w:lastRenderedPageBreak/>
        <w:t>existing node and a 100 L bucket without fish, and they need no new software beyond an offline script run on the logged data.</w:t>
      </w:r>
    </w:p>
    <w:p w14:paraId="07A41FA5"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4.2. Tests that decide whether TDS is useful as a context log.</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370"/>
        <w:gridCol w:w="3471"/>
        <w:gridCol w:w="2264"/>
        <w:gridCol w:w="2081"/>
      </w:tblGrid>
      <w:tr w:rsidR="00DB1607" w:rsidRPr="00B95EB3" w14:paraId="68DC8BC2"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3E5EB05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Test</w:t>
            </w:r>
          </w:p>
        </w:tc>
        <w:tc>
          <w:tcPr>
            <w:tcW w:w="0" w:type="auto"/>
            <w:shd w:val="clear" w:color="auto" w:fill="EDEFF2"/>
          </w:tcPr>
          <w:p w14:paraId="519FEAA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Method</w:t>
            </w:r>
          </w:p>
        </w:tc>
        <w:tc>
          <w:tcPr>
            <w:tcW w:w="0" w:type="auto"/>
            <w:shd w:val="clear" w:color="auto" w:fill="EDEFF2"/>
          </w:tcPr>
          <w:p w14:paraId="7EFAA5F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Measures</w:t>
            </w:r>
          </w:p>
        </w:tc>
        <w:tc>
          <w:tcPr>
            <w:tcW w:w="0" w:type="auto"/>
            <w:shd w:val="clear" w:color="auto" w:fill="EDEFF2"/>
          </w:tcPr>
          <w:p w14:paraId="70BEF57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Pass condition</w:t>
            </w:r>
          </w:p>
        </w:tc>
      </w:tr>
      <w:tr w:rsidR="00DB1607" w:rsidRPr="00B95EB3" w14:paraId="1AAB2281" w14:textId="77777777">
        <w:tc>
          <w:tcPr>
            <w:tcW w:w="0" w:type="auto"/>
          </w:tcPr>
          <w:p w14:paraId="6FEA791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T1 Detection floor</w:t>
            </w:r>
          </w:p>
        </w:tc>
        <w:tc>
          <w:tcPr>
            <w:tcW w:w="0" w:type="auto"/>
          </w:tcPr>
          <w:p w14:paraId="1134BC4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Probe in a sealed standard solution at steady temperature, logged for 24 h to 48 h with the normal power-on, settle, sample, power-off cycle</w:t>
            </w:r>
          </w:p>
        </w:tc>
        <w:tc>
          <w:tcPr>
            <w:tcW w:w="0" w:type="auto"/>
          </w:tcPr>
          <w:p w14:paraId="2F28B88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Spread between readings, drift per day, repeatability after each power cycle</w:t>
            </w:r>
          </w:p>
        </w:tc>
        <w:tc>
          <w:tcPr>
            <w:tcW w:w="0" w:type="auto"/>
          </w:tcPr>
          <w:p w14:paraId="483B013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Detection floor defined as three times the reading spread</w:t>
            </w:r>
          </w:p>
        </w:tc>
      </w:tr>
      <w:tr w:rsidR="00DB1607" w:rsidRPr="00B95EB3" w14:paraId="01A2248D" w14:textId="77777777">
        <w:tc>
          <w:tcPr>
            <w:tcW w:w="0" w:type="auto"/>
          </w:tcPr>
          <w:p w14:paraId="3257822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T2 Temperature residual</w:t>
            </w:r>
          </w:p>
        </w:tc>
        <w:tc>
          <w:tcPr>
            <w:tcW w:w="0" w:type="auto"/>
          </w:tcPr>
          <w:p w14:paraId="622A1E5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Same solution taken through a daily temperature swing of 4 °C to 6 °C, for example a covered bucket outdoors</w:t>
            </w:r>
          </w:p>
        </w:tc>
        <w:tc>
          <w:tcPr>
            <w:tcW w:w="0" w:type="auto"/>
          </w:tcPr>
          <w:p w14:paraId="04D9C9B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Movement of compensated TDS with temperature</w:t>
            </w:r>
          </w:p>
        </w:tc>
        <w:tc>
          <w:tcPr>
            <w:tcW w:w="0" w:type="auto"/>
          </w:tcPr>
          <w:p w14:paraId="321C457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Compensated TDS stays within the T1 floor across the swing</w:t>
            </w:r>
          </w:p>
        </w:tc>
      </w:tr>
      <w:tr w:rsidR="00DB1607" w:rsidRPr="00B95EB3" w14:paraId="6F25C07A" w14:textId="77777777">
        <w:tc>
          <w:tcPr>
            <w:tcW w:w="0" w:type="auto"/>
          </w:tcPr>
          <w:p w14:paraId="4460F6C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T3 Known-dose events</w:t>
            </w:r>
          </w:p>
        </w:tc>
        <w:tc>
          <w:tcPr>
            <w:tcW w:w="0" w:type="auto"/>
          </w:tcPr>
          <w:p w14:paraId="56E8546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Water change of known fraction with measured tap water, and a known salt dose, in the bucket</w:t>
            </w:r>
          </w:p>
        </w:tc>
        <w:tc>
          <w:tcPr>
            <w:tcW w:w="0" w:type="auto"/>
          </w:tcPr>
          <w:p w14:paraId="29FA375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Measured step against the step predicted in advance</w:t>
            </w:r>
          </w:p>
        </w:tc>
        <w:tc>
          <w:tcPr>
            <w:tcW w:w="0" w:type="auto"/>
          </w:tcPr>
          <w:p w14:paraId="7F29516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Measured step within ±20 % of prediction, or within the T1 floor</w:t>
            </w:r>
          </w:p>
        </w:tc>
      </w:tr>
      <w:tr w:rsidR="00DB1607" w:rsidRPr="00B95EB3" w14:paraId="31A5CEA3" w14:textId="77777777">
        <w:tc>
          <w:tcPr>
            <w:tcW w:w="0" w:type="auto"/>
          </w:tcPr>
          <w:p w14:paraId="1655E82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T4 False prompts</w:t>
            </w:r>
          </w:p>
        </w:tc>
        <w:tc>
          <w:tcPr>
            <w:tcW w:w="0" w:type="auto"/>
          </w:tcPr>
          <w:p w14:paraId="78B8064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 step rule applied offline to the logged series, flagging a change above the T1 floor that persists for more than one reading against a rolling baseline</w:t>
            </w:r>
          </w:p>
        </w:tc>
        <w:tc>
          <w:tcPr>
            <w:tcW w:w="0" w:type="auto"/>
          </w:tcPr>
          <w:p w14:paraId="46D65B3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Hits on the known events, and flags on days with no event</w:t>
            </w:r>
          </w:p>
        </w:tc>
        <w:tc>
          <w:tcPr>
            <w:tcW w:w="0" w:type="auto"/>
          </w:tcPr>
          <w:p w14:paraId="287528A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All T3 events detected and at most one false flag per week</w:t>
            </w:r>
          </w:p>
        </w:tc>
      </w:tr>
    </w:tbl>
    <w:p w14:paraId="40F504A1"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T1 comes first because its result sets the detection floor used by the other three tests. Powering the probe on and off every cycle is the part of the TDS measurement not yet characterised, since most published TDS results come from probes left powered.</w:t>
      </w:r>
    </w:p>
    <w:p w14:paraId="12BF5DEC"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T2 matters because an outdoor pond’s water temperature can swing 4 °C to 6 °C in a day. If the compensated reading still follows temperature, the daily cycle will look like a series of events, and T4 will fail.</w:t>
      </w:r>
    </w:p>
    <w:p w14:paraId="5282DA82"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 xml:space="preserve">T3 carries the most weight because the effect of each event on TDS can be calculated before it is applied. A water change of fraction </w:t>
      </w:r>
      <w:r w:rsidRPr="00B95EB3">
        <w:rPr>
          <w:rFonts w:asciiTheme="majorHAnsi" w:hAnsiTheme="majorHAnsi" w:cstheme="majorHAnsi"/>
          <w:i/>
          <w:iCs/>
        </w:rPr>
        <w:t>f</w:t>
      </w:r>
      <w:r w:rsidRPr="00B95EB3">
        <w:rPr>
          <w:rFonts w:asciiTheme="majorHAnsi" w:hAnsiTheme="majorHAnsi" w:cstheme="majorHAnsi"/>
        </w:rPr>
        <w:t xml:space="preserve"> gives TDS_new = TDS_old × (1 − </w:t>
      </w:r>
      <w:r w:rsidRPr="00B95EB3">
        <w:rPr>
          <w:rFonts w:asciiTheme="majorHAnsi" w:hAnsiTheme="majorHAnsi" w:cstheme="majorHAnsi"/>
          <w:i/>
          <w:iCs/>
        </w:rPr>
        <w:t>f</w:t>
      </w:r>
      <w:r w:rsidRPr="00B95EB3">
        <w:rPr>
          <w:rFonts w:asciiTheme="majorHAnsi" w:hAnsiTheme="majorHAnsi" w:cstheme="majorHAnsi"/>
        </w:rPr>
        <w:t xml:space="preserve">) + TDS_tap × </w:t>
      </w:r>
      <w:r w:rsidRPr="00B95EB3">
        <w:rPr>
          <w:rFonts w:asciiTheme="majorHAnsi" w:hAnsiTheme="majorHAnsi" w:cstheme="majorHAnsi"/>
          <w:i/>
          <w:iCs/>
        </w:rPr>
        <w:t>f</w:t>
      </w:r>
      <w:r w:rsidRPr="00B95EB3">
        <w:rPr>
          <w:rFonts w:asciiTheme="majorHAnsi" w:hAnsiTheme="majorHAnsi" w:cstheme="majorHAnsi"/>
        </w:rPr>
        <w:t>. In a 100 L bucket at about 250 ppm, a 20 % change with 50 ppm tap water should lower the reading by about 40 ppm. A 5 g salt dose in the same bucket should raise it by roughly 50 ppm. The tap water’s own TDS is measured first, since the digital twin currently assumes 30 ppm. Rain can be simulated as a water change with TDS_tap close to zero. An optional lid-on and lid-off bucket pair tests evaporation: at 5 mm per day on a 30 cm deep bucket, concentration should raise TDS by about 4 ppm per day, which is close to the likely detection floor and would appear only as a slope over several days. This is why the evaporation engine compares multi-day slopes rather than single steps.</w:t>
      </w:r>
    </w:p>
    <w:p w14:paraId="01059AC7"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T4 decides whether the prompting design is worth building. The false-flag rate on quiet days sets how often an owner would be asked a question with no good answer, and a target of at most one per week is a judgement about what an owner would tolerate.</w:t>
      </w:r>
    </w:p>
    <w:p w14:paraId="4F0F66D6"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tests also include one expected negative result. A daily feed of 10 g at 35 % protein in a 1000 L pond adds about 0.4 mg/L of ammonium nitrogen per day (using a 16 % nitrogen content of protein and 70 % excretion), which corresponds to roughly 1 ppm of TDS per day. This is likely below the T1 floor, so feeding should not be visible in TDS from day to day. Confirming this with bucket data turns the rule that TDS alone cannot raise the ammonia estimate (Section 3.9.4) from a stated assumption into a measured result.</w:t>
      </w:r>
    </w:p>
    <w:p w14:paraId="1CE8EF7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If all four tests pass, the prompting design in Section 3.9.4 has evidence behind it. If T1 or T2 fails, the TDS channel stays a logged trend and an evaporation cross-check, and the report records the reason.</w:t>
      </w:r>
    </w:p>
    <w:p w14:paraId="2F3797BA" w14:textId="77777777" w:rsidR="00DB1607" w:rsidRPr="00B95EB3" w:rsidRDefault="00000000">
      <w:pPr>
        <w:pStyle w:val="Heading3"/>
        <w:rPr>
          <w:rFonts w:asciiTheme="majorHAnsi" w:hAnsiTheme="majorHAnsi" w:cstheme="majorHAnsi"/>
        </w:rPr>
      </w:pPr>
      <w:bookmarkStart w:id="168" w:name="light-channel"/>
      <w:bookmarkStart w:id="169" w:name="_Toc241565743"/>
      <w:bookmarkEnd w:id="165"/>
      <w:bookmarkEnd w:id="167"/>
      <w:r w:rsidRPr="00B95EB3">
        <w:rPr>
          <w:rFonts w:asciiTheme="majorHAnsi" w:hAnsiTheme="majorHAnsi" w:cstheme="majorHAnsi"/>
        </w:rPr>
        <w:t>4.4.4 Light Channel</w:t>
      </w:r>
      <w:bookmarkEnd w:id="169"/>
    </w:p>
    <w:p w14:paraId="02C478D7"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light sensor is read in a dark enclosure, under indoor light, in outdoor shade and in direct sun. These conditions test both ends of its range and the automatic gain steps between them. The channel passes if the conditions stay clearly separated, with no unflagged saturation in sun and no false zero indoors. The selected gain is recorded with each reading.</w:t>
      </w:r>
    </w:p>
    <w:p w14:paraId="465C8169" w14:textId="77777777" w:rsidR="00DB1607" w:rsidRPr="00B95EB3" w:rsidRDefault="00000000">
      <w:pPr>
        <w:pStyle w:val="Heading3"/>
        <w:rPr>
          <w:rFonts w:asciiTheme="majorHAnsi" w:hAnsiTheme="majorHAnsi" w:cstheme="majorHAnsi"/>
        </w:rPr>
      </w:pPr>
      <w:bookmarkStart w:id="170" w:name="X576740eee65697c2e1fa426e446429ed530ad1a"/>
      <w:bookmarkStart w:id="171" w:name="_Toc241565744"/>
      <w:bookmarkEnd w:id="168"/>
      <w:r w:rsidRPr="00B95EB3">
        <w:rPr>
          <w:rFonts w:asciiTheme="majorHAnsi" w:hAnsiTheme="majorHAnsi" w:cstheme="majorHAnsi"/>
        </w:rPr>
        <w:t>4.4.5 Colour Sensor and Colorimetric Badge Channel</w:t>
      </w:r>
      <w:bookmarkEnd w:id="171"/>
    </w:p>
    <w:p w14:paraId="65DD608D"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This channel carries the most uncertainty of any in the system, because it has the least established precedent at this scale. It therefore receives the most careful functional test.</w:t>
      </w:r>
    </w:p>
    <w:p w14:paraId="78CDF60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Each printed badge band is presented at a fixed distance under the sensor’s own LEDs. The sequence is repeated with the enclosure closed. The raw colour channels and derived ratio must separate the bands and remain stable when ambient light is removed.</w:t>
      </w:r>
    </w:p>
    <w:p w14:paraId="106497E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reference chart is used at this stage rather than a real badge in pond water because the chart presents known colours on demand, while a real badge only changes colour when the water chemistry changes, which cannot be produced quickly or safely on a bench. Confirming the sensor can read known colours is a precondition for trusting it to read unknown ones.</w:t>
      </w:r>
    </w:p>
    <w:p w14:paraId="7E254539" w14:textId="77777777" w:rsidR="00DB1607" w:rsidRPr="00B95EB3" w:rsidRDefault="00000000">
      <w:pPr>
        <w:pStyle w:val="Heading3"/>
        <w:rPr>
          <w:rFonts w:asciiTheme="majorHAnsi" w:hAnsiTheme="majorHAnsi" w:cstheme="majorHAnsi"/>
        </w:rPr>
      </w:pPr>
      <w:bookmarkStart w:id="172" w:name="camera-and-hsv-channel"/>
      <w:bookmarkStart w:id="173" w:name="_Toc241565745"/>
      <w:bookmarkEnd w:id="170"/>
      <w:r w:rsidRPr="00B95EB3">
        <w:rPr>
          <w:rFonts w:asciiTheme="majorHAnsi" w:hAnsiTheme="majorHAnsi" w:cstheme="majorHAnsi"/>
        </w:rPr>
        <w:t>4.4.6 Camera and HSV Channel</w:t>
      </w:r>
      <w:bookmarkEnd w:id="173"/>
    </w:p>
    <w:p w14:paraId="76DD8BA6"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camera is presented with targets of increasing green coverage, and the computed ratio must follow the same order. One target is also captured under different lighting so the shift caused by illumination can be recorded beside the stored images.</w:t>
      </w:r>
    </w:p>
    <w:p w14:paraId="2C43478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state machine is tested separately with a labelled sequence of frames posted to the service in test mode: a steady sequence, a gradual rise, a sudden jump and a return to the original view. After each upload the stored state, smoothed baseline and returned wake interval are compared with the values expected from Table 3.8. The sequence must show entry to and exit from both the dynamic and obstruction states, and must show that the baseline does not move while the view is obstructed.</w:t>
      </w:r>
    </w:p>
    <w:p w14:paraId="2C1BF95C" w14:textId="77777777" w:rsidR="00DB1607" w:rsidRPr="00B95EB3" w:rsidRDefault="00000000">
      <w:pPr>
        <w:pStyle w:val="Heading3"/>
        <w:rPr>
          <w:rFonts w:asciiTheme="majorHAnsi" w:hAnsiTheme="majorHAnsi" w:cstheme="majorHAnsi"/>
        </w:rPr>
      </w:pPr>
      <w:bookmarkStart w:id="174" w:name="power-and-communication-path"/>
      <w:bookmarkStart w:id="175" w:name="_Toc241565746"/>
      <w:bookmarkEnd w:id="172"/>
      <w:r w:rsidRPr="00B95EB3">
        <w:rPr>
          <w:rFonts w:asciiTheme="majorHAnsi" w:hAnsiTheme="majorHAnsi" w:cstheme="majorHAnsi"/>
        </w:rPr>
        <w:t>4.4.7 Power and Communication Path</w:t>
      </w:r>
      <w:bookmarkEnd w:id="175"/>
    </w:p>
    <w:p w14:paraId="483A06CD"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Supply current is recorded for both nodes through sleep, each sensor window, Wi-Fi connection, upload and return to sleep. Each mode is compared with Table 3.4. Two figures from this test decide design choices: the development board’s sleep current, which Section 3.3.2 identifies as the main factor in battery life, and the pH board’s active current, which is not published. The current trace also confirms that the sensors are powered one at a time in the order of Section 3.4.2 and that no sensor window overlaps the radio. An overlap would appear as one combined step instead of two separate ones.</w:t>
      </w:r>
    </w:p>
    <w:p w14:paraId="7523D224"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Upload behaviour is checked by switching off the access point during a cycle. Both nodes must give up within their bounded connection time, back off as described in Section 3.7.4, and resume normal operation when the access point returns.</w:t>
      </w:r>
    </w:p>
    <w:p w14:paraId="7A41AFF4" w14:textId="77777777" w:rsidR="00DB1607" w:rsidRPr="00B95EB3" w:rsidRDefault="00000000">
      <w:pPr>
        <w:pStyle w:val="Heading2"/>
        <w:rPr>
          <w:rFonts w:asciiTheme="majorHAnsi" w:hAnsiTheme="majorHAnsi" w:cstheme="majorHAnsi"/>
        </w:rPr>
      </w:pPr>
      <w:bookmarkStart w:id="176" w:name="tier-2-operational-subsystem-tests"/>
      <w:bookmarkStart w:id="177" w:name="_Toc241565747"/>
      <w:bookmarkEnd w:id="159"/>
      <w:bookmarkEnd w:id="174"/>
      <w:r w:rsidRPr="00B95EB3">
        <w:rPr>
          <w:rFonts w:asciiTheme="majorHAnsi" w:hAnsiTheme="majorHAnsi" w:cstheme="majorHAnsi"/>
        </w:rPr>
        <w:t>4.5 Tier 2: Operational Subsystem Tests</w:t>
      </w:r>
      <w:bookmarkEnd w:id="177"/>
    </w:p>
    <w:p w14:paraId="45080DAA"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This outdoor test characterises two subsystems installed beside the pond. Subsystem A records water temperature, pH and light. Subsystem B captures pond images and records the camera service’s decisions. A 3-hour attended rehearsal comes before a planned 48-hour unattended run. The run is intended to span 2 day-and-night cycles, and the results report the period actually achieved and any gaps.</w:t>
      </w:r>
    </w:p>
    <w:p w14:paraId="61010D7F"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questions assessed are measurement variation over time, the usefulness of the temperature, pH and light records, enclosure behaviour, comparison with NEA observations, and the camera’s response to green content under changing light. The two nodes may run at the same time with independently identified records. TDS, colour badge sensing, final battery life and end-to-end application operation have separate evaluation plans. A working data transport may be used to collect records without counting this test as validation of the full backend or mobile client.</w:t>
      </w:r>
    </w:p>
    <w:p w14:paraId="006F99B5"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4.3. Observations and evidence for the pond sensor and camera field run.</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274"/>
        <w:gridCol w:w="4528"/>
        <w:gridCol w:w="3384"/>
      </w:tblGrid>
      <w:tr w:rsidR="00DB1607" w:rsidRPr="00B95EB3" w14:paraId="4015E9BD"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54685CB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Subsystem</w:t>
            </w:r>
          </w:p>
        </w:tc>
        <w:tc>
          <w:tcPr>
            <w:tcW w:w="0" w:type="auto"/>
            <w:shd w:val="clear" w:color="auto" w:fill="EDEFF2"/>
          </w:tcPr>
          <w:p w14:paraId="42B8C50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What to collect outdoors</w:t>
            </w:r>
          </w:p>
        </w:tc>
        <w:tc>
          <w:tcPr>
            <w:tcW w:w="0" w:type="auto"/>
            <w:shd w:val="clear" w:color="auto" w:fill="EDEFF2"/>
          </w:tcPr>
          <w:p w14:paraId="456B4A8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Interpretation</w:t>
            </w:r>
          </w:p>
        </w:tc>
      </w:tr>
      <w:tr w:rsidR="00DB1607" w:rsidRPr="00B95EB3" w14:paraId="2CDAE5C6" w14:textId="77777777">
        <w:tc>
          <w:tcPr>
            <w:tcW w:w="0" w:type="auto"/>
          </w:tcPr>
          <w:p w14:paraId="23B4DE5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Temperature</w:t>
            </w:r>
          </w:p>
        </w:tc>
        <w:tc>
          <w:tcPr>
            <w:tcW w:w="0" w:type="auto"/>
          </w:tcPr>
          <w:p w14:paraId="6CC1770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Timestamped DS18B20 readings, missing samples and comparison with a reference at setup</w:t>
            </w:r>
          </w:p>
        </w:tc>
        <w:tc>
          <w:tcPr>
            <w:tcW w:w="0" w:type="auto"/>
          </w:tcPr>
          <w:p w14:paraId="550145A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Check continuity and plausible day and night variation. Quantify gaps and abrupt changes</w:t>
            </w:r>
          </w:p>
        </w:tc>
      </w:tr>
      <w:tr w:rsidR="00DB1607" w:rsidRPr="00B95EB3" w14:paraId="77E45EC1" w14:textId="77777777">
        <w:tc>
          <w:tcPr>
            <w:tcW w:w="0" w:type="auto"/>
          </w:tcPr>
          <w:p w14:paraId="64ADB44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pH</w:t>
            </w:r>
          </w:p>
        </w:tc>
        <w:tc>
          <w:tcPr>
            <w:tcW w:w="0" w:type="auto"/>
          </w:tcPr>
          <w:p w14:paraId="76EA998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Readings per cycle, calibration record and buffer checks before and after the run where feasible</w:t>
            </w:r>
          </w:p>
        </w:tc>
        <w:tc>
          <w:tcPr>
            <w:tcW w:w="0" w:type="auto"/>
          </w:tcPr>
          <w:p w14:paraId="210FD82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Report within-window spread and longer changes separately. Flag unexplained shifts</w:t>
            </w:r>
          </w:p>
        </w:tc>
      </w:tr>
      <w:tr w:rsidR="00DB1607" w:rsidRPr="00B95EB3" w14:paraId="569E7FE2" w14:textId="77777777">
        <w:tc>
          <w:tcPr>
            <w:tcW w:w="0" w:type="auto"/>
          </w:tcPr>
          <w:p w14:paraId="0F14055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Light</w:t>
            </w:r>
          </w:p>
        </w:tc>
        <w:tc>
          <w:tcPr>
            <w:tcW w:w="0" w:type="auto"/>
          </w:tcPr>
          <w:p w14:paraId="0E1E35A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Readings, selected gain, and observed shade, weather and enclosure position</w:t>
            </w:r>
          </w:p>
        </w:tc>
        <w:tc>
          <w:tcPr>
            <w:tcW w:w="0" w:type="auto"/>
          </w:tcPr>
          <w:p w14:paraId="37FBEC2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Check sunrise and sunset response, daylight saturation and unexpected zero values</w:t>
            </w:r>
          </w:p>
        </w:tc>
      </w:tr>
      <w:tr w:rsidR="00DB1607" w:rsidRPr="00B95EB3" w14:paraId="264E51AA" w14:textId="77777777">
        <w:tc>
          <w:tcPr>
            <w:tcW w:w="0" w:type="auto"/>
          </w:tcPr>
          <w:p w14:paraId="199CEF6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Enclosure</w:t>
            </w:r>
          </w:p>
        </w:tc>
        <w:tc>
          <w:tcPr>
            <w:tcW w:w="0" w:type="auto"/>
          </w:tcPr>
          <w:p w14:paraId="3498DDE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Photos and observations before and after, internal temperature if available, moisture indicator and connection state</w:t>
            </w:r>
          </w:p>
        </w:tc>
        <w:tc>
          <w:tcPr>
            <w:tcW w:w="0" w:type="auto"/>
          </w:tcPr>
          <w:p w14:paraId="67864D3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Record ingress, condensation, heat, cable movement and any interruption</w:t>
            </w:r>
          </w:p>
        </w:tc>
      </w:tr>
      <w:tr w:rsidR="00DB1607" w:rsidRPr="00B95EB3" w14:paraId="7895EA54" w14:textId="77777777">
        <w:tc>
          <w:tcPr>
            <w:tcW w:w="0" w:type="auto"/>
          </w:tcPr>
          <w:p w14:paraId="259FB03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Camera and HSV</w:t>
            </w:r>
          </w:p>
        </w:tc>
        <w:tc>
          <w:tcPr>
            <w:tcW w:w="0" w:type="auto"/>
          </w:tcPr>
          <w:p w14:paraId="7A36FB9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Scheduled frames, green ratio, state, smoothed baseline, capture reason and a labelled set of ordinary and misleading green scenes</w:t>
            </w:r>
          </w:p>
        </w:tc>
        <w:tc>
          <w:tcPr>
            <w:tcW w:w="0" w:type="auto"/>
          </w:tcPr>
          <w:p w14:paraId="2A5E23F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Compare decisions with the stored images and count missed changes and false triggers</w:t>
            </w:r>
          </w:p>
        </w:tc>
      </w:tr>
    </w:tbl>
    <w:p w14:paraId="2A4B9C8A" w14:textId="77777777" w:rsidR="00DB1607" w:rsidRPr="00B95EB3" w:rsidRDefault="00000000">
      <w:pPr>
        <w:pStyle w:val="Heading3"/>
        <w:rPr>
          <w:rFonts w:asciiTheme="majorHAnsi" w:hAnsiTheme="majorHAnsi" w:cstheme="majorHAnsi"/>
        </w:rPr>
      </w:pPr>
      <w:bookmarkStart w:id="178" w:name="Xb05fd343ea6f47ad237212475be9720e37f236c"/>
      <w:bookmarkStart w:id="179" w:name="_Toc241565748"/>
      <w:r w:rsidRPr="00B95EB3">
        <w:rPr>
          <w:rFonts w:asciiTheme="majorHAnsi" w:hAnsiTheme="majorHAnsi" w:cstheme="majorHAnsi"/>
        </w:rPr>
        <w:t>4.5.1 Environmental Data and Measurement Variation</w:t>
      </w:r>
      <w:bookmarkEnd w:id="179"/>
    </w:p>
    <w:p w14:paraId="31C13612"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Subsystem A records each channel at each cycle. Variation within a short run of cycles gives a practical estimate of measurement noise while the pond is nearly unchanged. Variation over longer periods also includes real pond changes and possible drift, so it is interpreted alongside calibration checks and observed conditions. The pH probe is checked against a reference buffer before and after the run if practical.</w:t>
      </w:r>
    </w:p>
    <w:p w14:paraId="5C442582"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Each record keeps its sample time separately from its upload time, together with the device, cycle number, units, calibration state and any interruption (Section 4.5.5). Water temperature and local light are compared with the nearest NEA air temperature, rainfall and forecast records by their observation or validity times, with the station identity and distance kept. Weather records are coarser and less local than the pond readings, and 2 days of aligned data can support exploratory model tuning but not a causal claim.</w:t>
      </w:r>
    </w:p>
    <w:p w14:paraId="3D5FC551"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analysis looks for a plausible water temperature cycle, the light curve through sunrise and sunset, and pH movement larger than the within-window spread. Daylight saturation, implausible jumps, missing cycles and restarts are marked rather than filled. Rain, shade changes, maintenance and probe movement are logged with their times.</w:t>
      </w:r>
    </w:p>
    <w:p w14:paraId="1E218D25"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Temperature, pH and light are the assessed channels. If the TDS probe is connected, its readings are labelled exploratory and excluded from acceptance decisions, since the TDS channel has its own test plan (Section 4.4.3.1).</w:t>
      </w:r>
    </w:p>
    <w:p w14:paraId="08307A52" w14:textId="77777777" w:rsidR="00DB1607" w:rsidRPr="00B95EB3" w:rsidRDefault="00000000">
      <w:pPr>
        <w:pStyle w:val="Heading3"/>
        <w:rPr>
          <w:rFonts w:asciiTheme="majorHAnsi" w:hAnsiTheme="majorHAnsi" w:cstheme="majorHAnsi"/>
        </w:rPr>
      </w:pPr>
      <w:bookmarkStart w:id="180" w:name="deployment-supply-and-enclosure"/>
      <w:bookmarkStart w:id="181" w:name="_Toc241565749"/>
      <w:bookmarkEnd w:id="178"/>
      <w:r w:rsidRPr="00B95EB3">
        <w:rPr>
          <w:rFonts w:asciiTheme="majorHAnsi" w:hAnsiTheme="majorHAnsi" w:cstheme="majorHAnsi"/>
        </w:rPr>
        <w:t>4.5.2 Deployment, Supply and Enclosure</w:t>
      </w:r>
      <w:bookmarkEnd w:id="181"/>
    </w:p>
    <w:p w14:paraId="46D13FE8"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Before the unattended run, the assembled subsystems run for three attended hours between 11 am and 5 pm, preferably during the hotter part of the day. Normal readings and repeated camera captures are exercised while supply voltage under load, restarts, upload gaps, regulator temperature and the inside of the enclosure are checked. The actual sleep intervals, including an overnight camera wake, are rehearsed before the camera is left unattended. The daytime stress configuration is kept separate from the normal field schedule.</w:t>
      </w:r>
    </w:p>
    <w:p w14:paraId="648D6FE3"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Each node runs from its own pack through its regulator (Section 3.2.8). The pack voltage is measured fresh and under load, and the regulator’s input rating is checked against it. These temporary supplies support data collection and do not stand in for the service interval measurement in Tier 3.</w:t>
      </w:r>
    </w:p>
    <w:p w14:paraId="210A31A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electronics are mounted beside the pond on a weighted stand with a secondary restraint where needed, under a light-coloured overhanging roof, with strain relief at the enclosure wall and cable exits facing down. Any drainage or ventilation openings are inspected during the empty-enclosure water test, since an opening may also admit wind-driven rain or insects. The same joints and moisture indicator are photographed before and after the run. If a supply shuts off at low load or the enclosure admits water, the event is recorded and the affected run is stopped.</w:t>
      </w:r>
    </w:p>
    <w:p w14:paraId="1F20AE5D" w14:textId="77777777" w:rsidR="00DB1607" w:rsidRPr="00B95EB3" w:rsidRDefault="00000000">
      <w:pPr>
        <w:pStyle w:val="Heading3"/>
        <w:rPr>
          <w:rFonts w:asciiTheme="majorHAnsi" w:hAnsiTheme="majorHAnsi" w:cstheme="majorHAnsi"/>
        </w:rPr>
      </w:pPr>
      <w:bookmarkStart w:id="182" w:name="camera-observation-and-decision-record"/>
      <w:bookmarkStart w:id="183" w:name="_Toc241565750"/>
      <w:bookmarkEnd w:id="180"/>
      <w:r w:rsidRPr="00B95EB3">
        <w:rPr>
          <w:rFonts w:asciiTheme="majorHAnsi" w:hAnsiTheme="majorHAnsi" w:cstheme="majorHAnsi"/>
        </w:rPr>
        <w:t>4.5.3 Camera Observation and Decision Record</w:t>
      </w:r>
      <w:bookmarkEnd w:id="183"/>
    </w:p>
    <w:p w14:paraId="43CDEA92"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For this evaluation, the camera captures periodic reference images during daylight, including frames the scheduler would not request. A 30 to 60 minute reference interval gives material for checking missed changes. The scheduled slots and any state-driven captures are logged with their reasons. The camera can sleep overnight once its next daylight wake has been confirmed in rehearsal. The service’s test mode is switched off for the run and the actual intervals are recorded.</w:t>
      </w:r>
    </w:p>
    <w:p w14:paraId="4DACB323"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camera position is fixed and the water region in each image is defined before green ratios are compared, since the service currently analyses the whole frame (Section 3.7.2). The labelled review set includes ordinary water, glare, floating leaves, shadows and green objects near the pond. The original image, green ratio, previous baseline, state, capture reason and image time are kept together. False triggers and missed visible changes are counted from the reference frames. A green ratio is an image feature, and the test must show whether it tracks the pond’s appearance under outdoor light.</w:t>
      </w:r>
    </w:p>
    <w:p w14:paraId="75612638" w14:textId="77777777" w:rsidR="00DB1607" w:rsidRPr="00B95EB3" w:rsidRDefault="00000000">
      <w:pPr>
        <w:pStyle w:val="Heading3"/>
        <w:rPr>
          <w:rFonts w:asciiTheme="majorHAnsi" w:hAnsiTheme="majorHAnsi" w:cstheme="majorHAnsi"/>
        </w:rPr>
      </w:pPr>
      <w:bookmarkStart w:id="184" w:name="field-run-records-and-completion"/>
      <w:bookmarkStart w:id="185" w:name="_Toc241565751"/>
      <w:bookmarkEnd w:id="182"/>
      <w:r w:rsidRPr="00B95EB3">
        <w:rPr>
          <w:rFonts w:asciiTheme="majorHAnsi" w:hAnsiTheme="majorHAnsi" w:cstheme="majorHAnsi"/>
        </w:rPr>
        <w:t>4.5.4 Field Run Records and Completion</w:t>
      </w:r>
      <w:bookmarkEnd w:id="185"/>
    </w:p>
    <w:p w14:paraId="2B0430C0"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Subsystem A runs at the 5-minute production interval with sample and upload times logged. A full 48-hour run would contain 576 scheduled cycles. Every attempted cycle is kept, including failed reads and failed uploads. The report states the achieved duration, completed and missing cycles, reset count, per-channel spread, and the number of reference and state-driven camera frames. The weather export and the exact camera settings are kept with the dataset so later model work can reproduce the comparisons.</w:t>
      </w:r>
    </w:p>
    <w:p w14:paraId="5ACEF9B5"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A channel’s run is usable when its records show the daily pattern and give enough consecutive cycles to assess variation and interruptions. Each channel’s coverage and failure modes are reported separately rather than as one pass mark. Enclosure findings and the camera’s false trigger and missed change counts are reported alongside.</w:t>
      </w:r>
    </w:p>
    <w:p w14:paraId="514E8B4A" w14:textId="77777777" w:rsidR="00DB1607" w:rsidRPr="00B95EB3" w:rsidRDefault="00000000">
      <w:pPr>
        <w:pStyle w:val="Heading3"/>
        <w:rPr>
          <w:rFonts w:asciiTheme="majorHAnsi" w:hAnsiTheme="majorHAnsi" w:cstheme="majorHAnsi"/>
        </w:rPr>
      </w:pPr>
      <w:bookmarkStart w:id="186" w:name="record-design-for-the-field-experiment"/>
      <w:bookmarkStart w:id="187" w:name="_Toc241565752"/>
      <w:bookmarkEnd w:id="184"/>
      <w:r w:rsidRPr="00B95EB3">
        <w:rPr>
          <w:rFonts w:asciiTheme="majorHAnsi" w:hAnsiTheme="majorHAnsi" w:cstheme="majorHAnsi"/>
        </w:rPr>
        <w:t>4.5.5 Record Design for the Field Experiment</w:t>
      </w:r>
      <w:bookmarkEnd w:id="187"/>
    </w:p>
    <w:p w14:paraId="4D427D5C"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SensorData table holds a sensor type, a value, a user identifier and the database insertion time. These fields are enough to display a current value, but the insertion time is not the sample time: a node that reconnects after an outage would insert an old reading with a recent time. Before the field run, the payload change in Section 3.6.2 adds a device identifier, the node’s cycle counter and the sample time to each row. The upload time stays separate. Missing cycles and delayed uploads can then be counted without mistaking network delay for a change in the pond, and a repeated upload of the same cycle can be recognised by its device and cycle number.</w:t>
      </w:r>
    </w:p>
    <w:p w14:paraId="0AD0065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analysis uses the raw rows rather than the daily aggregates or the dashboard function. The aggregates were designed for display, and a display function may exclude night-time light values or fill a missing channel with a default so that a screen always has a number to show. Before the run, each database function used in the analysis is checked for such behaviour. Any hourly or daily summary is derived from the raw rows, keeps missing observations as missing and carries the count of valid samples behind each value.</w:t>
      </w:r>
    </w:p>
    <w:p w14:paraId="6990223A"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NEA weather data needs the same care over time. Observations are paired with pond readings by their observation period. Forecasts are paired by the time they were issued and the future period they predict. Recording both times prevents a forecast retrieved after an event from being counted as a warning available before it.</w:t>
      </w:r>
    </w:p>
    <w:p w14:paraId="597DF71E" w14:textId="77777777" w:rsidR="00DB1607" w:rsidRPr="00B95EB3" w:rsidRDefault="00000000">
      <w:pPr>
        <w:pStyle w:val="Heading3"/>
        <w:rPr>
          <w:rFonts w:asciiTheme="majorHAnsi" w:hAnsiTheme="majorHAnsi" w:cstheme="majorHAnsi"/>
        </w:rPr>
      </w:pPr>
      <w:bookmarkStart w:id="188" w:name="server-processing-during-the-field-run"/>
      <w:bookmarkStart w:id="189" w:name="_Toc241565753"/>
      <w:bookmarkEnd w:id="186"/>
      <w:r w:rsidRPr="00B95EB3">
        <w:rPr>
          <w:rFonts w:asciiTheme="majorHAnsi" w:hAnsiTheme="majorHAnsi" w:cstheme="majorHAnsi"/>
        </w:rPr>
        <w:t>4.5.6 Server Processing During the Field Run</w:t>
      </w:r>
      <w:bookmarkEnd w:id="189"/>
    </w:p>
    <w:p w14:paraId="507E10E4"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camera service’s analysis and scheduling (Section 3.7) and the digital twin’s engines (Section 3.9) run during the field run as they would in use. For the camera, the stored frame, green ratio, state pair and returned interval allow each decision to be recomputed from the image and inspected where it disagrees with the reviewer’s label. For the digital twin, each evaluation row records the model’s assessment at a time, so the chemistry, evaporation and algae outputs can be lined up with the sensor and weather record.</w:t>
      </w:r>
    </w:p>
    <w:p w14:paraId="0F5AD040"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Two limits apply to what these outputs can show. First, there are no direct ammonia, nitrite, nitrate or algae reference measurements in this run, so the chemistry and algae projections are reported as unvalidated model outputs. Second, 2 days give a working example of the pipeline and the pond’s short-term response, but little evidence about seasonal behaviour.</w:t>
      </w:r>
    </w:p>
    <w:p w14:paraId="29F3DD6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run does support one model check. The evaporation engine’s water temperature prediction uses air temperature plus a fitted offset (Section 3.9.2). With the pond’s own temperature record, the offset can be fitted on the first part of the run and tested on the rest. The error is compared with a persistence prediction that carries forward the last observed water temperature. If the fitted offset does not beat persistence, the extra model is not justified by this data.</w:t>
      </w:r>
    </w:p>
    <w:p w14:paraId="0B825E97" w14:textId="77777777" w:rsidR="00DB1607" w:rsidRPr="00B95EB3" w:rsidRDefault="00000000">
      <w:pPr>
        <w:pStyle w:val="Heading3"/>
        <w:rPr>
          <w:rFonts w:asciiTheme="majorHAnsi" w:hAnsiTheme="majorHAnsi" w:cstheme="majorHAnsi"/>
        </w:rPr>
      </w:pPr>
      <w:bookmarkStart w:id="190" w:name="mobile-presentation-during-the-field-run"/>
      <w:bookmarkStart w:id="191" w:name="_Toc241565754"/>
      <w:bookmarkEnd w:id="188"/>
      <w:r w:rsidRPr="00B95EB3">
        <w:rPr>
          <w:rFonts w:asciiTheme="majorHAnsi" w:hAnsiTheme="majorHAnsi" w:cstheme="majorHAnsi"/>
        </w:rPr>
        <w:t>4.5.7 Mobile Presentation During the Field Run</w:t>
      </w:r>
      <w:bookmarkEnd w:id="191"/>
    </w:p>
    <w:p w14:paraId="23737EFB"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application’s dashboard, detail screens and event logging are in place (Chapter 5). During the field run the application serves as an inspection tool. Each card shows the latest reading, and the detail screens show the history with logged events marked on the timeline. A selected point on a chart can be compared with the underlying database row and the device log. A match across all three confirms the presentation path for that observation, without claiming that the full advisory workflow has been validated.</w:t>
      </w:r>
    </w:p>
    <w:p w14:paraId="20DB1889"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Events that happen during the run, such as a real feed or a top-up, are logged through the application at the time. This records them in the intervention table, applies them to the digital twin, and gives the later analysis context for unusual readings.</w:t>
      </w:r>
    </w:p>
    <w:p w14:paraId="1048FFD6" w14:textId="77777777" w:rsidR="00DB1607" w:rsidRPr="00B95EB3" w:rsidRDefault="00000000">
      <w:pPr>
        <w:pStyle w:val="Heading2"/>
        <w:rPr>
          <w:rFonts w:asciiTheme="majorHAnsi" w:hAnsiTheme="majorHAnsi" w:cstheme="majorHAnsi"/>
        </w:rPr>
      </w:pPr>
      <w:bookmarkStart w:id="192" w:name="tier-3-full-system-tests"/>
      <w:bookmarkStart w:id="193" w:name="_Toc241565755"/>
      <w:bookmarkEnd w:id="176"/>
      <w:bookmarkEnd w:id="190"/>
      <w:r w:rsidRPr="00B95EB3">
        <w:rPr>
          <w:rFonts w:asciiTheme="majorHAnsi" w:hAnsiTheme="majorHAnsi" w:cstheme="majorHAnsi"/>
        </w:rPr>
        <w:t>4.6 Tier 3: Full System Tests</w:t>
      </w:r>
      <w:bookmarkEnd w:id="193"/>
    </w:p>
    <w:p w14:paraId="5B8B73D5"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Tier 3 assembles the confirmed subsystems into the complete system and tests it as a whole. Two sessions are planned, each answering a different question.</w:t>
      </w:r>
    </w:p>
    <w:p w14:paraId="0FE789F9" w14:textId="77777777" w:rsidR="00DB1607" w:rsidRPr="00B95EB3" w:rsidRDefault="00000000">
      <w:pPr>
        <w:pStyle w:val="Heading3"/>
        <w:rPr>
          <w:rFonts w:asciiTheme="majorHAnsi" w:hAnsiTheme="majorHAnsi" w:cstheme="majorHAnsi"/>
        </w:rPr>
      </w:pPr>
      <w:bookmarkStart w:id="194" w:name="indoor-endurance-session"/>
      <w:bookmarkStart w:id="195" w:name="_Toc241565756"/>
      <w:r w:rsidRPr="00B95EB3">
        <w:rPr>
          <w:rFonts w:asciiTheme="majorHAnsi" w:hAnsiTheme="majorHAnsi" w:cstheme="majorHAnsi"/>
        </w:rPr>
        <w:t>4.6.1 Indoor Endurance Session</w:t>
      </w:r>
      <w:bookmarkEnd w:id="195"/>
    </w:p>
    <w:p w14:paraId="40A4D5E5"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4.4. Tier 3 indoor endurance session.</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110"/>
        <w:gridCol w:w="8076"/>
      </w:tblGrid>
      <w:tr w:rsidR="00DB1607" w:rsidRPr="00B95EB3" w14:paraId="61EF1358"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0EAE942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Field</w:t>
            </w:r>
          </w:p>
        </w:tc>
        <w:tc>
          <w:tcPr>
            <w:tcW w:w="0" w:type="auto"/>
            <w:shd w:val="clear" w:color="auto" w:fill="EDEFF2"/>
          </w:tcPr>
          <w:p w14:paraId="5A75529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Detail</w:t>
            </w:r>
          </w:p>
        </w:tc>
      </w:tr>
      <w:tr w:rsidR="00DB1607" w:rsidRPr="00B95EB3" w14:paraId="645DB24E" w14:textId="77777777">
        <w:tc>
          <w:tcPr>
            <w:tcW w:w="0" w:type="auto"/>
          </w:tcPr>
          <w:p w14:paraId="2BC60DA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Objective</w:t>
            </w:r>
          </w:p>
        </w:tc>
        <w:tc>
          <w:tcPr>
            <w:tcW w:w="0" w:type="auto"/>
          </w:tcPr>
          <w:p w14:paraId="6806B51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Measure the service interval of the sensor node and confirm that it runs unattended without intervention</w:t>
            </w:r>
          </w:p>
        </w:tc>
      </w:tr>
      <w:tr w:rsidR="00DB1607" w:rsidRPr="00B95EB3" w14:paraId="5DF0879F" w14:textId="77777777">
        <w:tc>
          <w:tcPr>
            <w:tcW w:w="0" w:type="auto"/>
          </w:tcPr>
          <w:p w14:paraId="798E45B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Method</w:t>
            </w:r>
          </w:p>
        </w:tc>
        <w:tc>
          <w:tcPr>
            <w:tcW w:w="0" w:type="auto"/>
          </w:tcPr>
          <w:p>
            <w:r>
              <w:t>Run the complete sensor node indoors with probes in a container of water, from a fresh pack, at the 5-minute production interval, until the regulator loses regulation. Do not intervene during the run</w:t>
            </w:r>
          </w:p>
        </w:tc>
      </w:tr>
      <w:tr w:rsidR="00DB1607" w:rsidRPr="00B95EB3" w14:paraId="656276D8" w14:textId="77777777">
        <w:tc>
          <w:tcPr>
            <w:tcW w:w="0" w:type="auto"/>
          </w:tcPr>
          <w:p w14:paraId="6F8FB7E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Why indoors</w:t>
            </w:r>
          </w:p>
        </w:tc>
        <w:tc>
          <w:tcPr>
            <w:tcW w:w="0" w:type="auto"/>
          </w:tcPr>
          <w:p w14:paraId="778FDEC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Weather is removed as a variable so the result measures the system rather than the conditions, and the hardware is protected during the longest single run of the project</w:t>
            </w:r>
          </w:p>
        </w:tc>
      </w:tr>
      <w:tr w:rsidR="00DB1607" w:rsidRPr="00B95EB3" w14:paraId="29A15383" w14:textId="77777777">
        <w:tc>
          <w:tcPr>
            <w:tcW w:w="0" w:type="auto"/>
          </w:tcPr>
          <w:p w14:paraId="0D7634B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Acceptance</w:t>
            </w:r>
          </w:p>
        </w:tc>
        <w:tc>
          <w:tcPr>
            <w:tcW w:w="0" w:type="auto"/>
          </w:tcPr>
          <w:p w14:paraId="0AD1B1D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The node reaches the N2 target (Section 3.11) without a manual restart, and the measured average current is within 25 % of the estimate built from the Tier 1 current measurements</w:t>
            </w:r>
          </w:p>
        </w:tc>
      </w:tr>
      <w:tr w:rsidR="00DB1607" w:rsidRPr="00B95EB3" w14:paraId="16F0BC29" w14:textId="77777777">
        <w:tc>
          <w:tcPr>
            <w:tcW w:w="0" w:type="auto"/>
          </w:tcPr>
          <w:p w14:paraId="2D0D957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Logged fields</w:t>
            </w:r>
          </w:p>
        </w:tc>
        <w:tc>
          <w:tcPr>
            <w:tcW w:w="0" w:type="auto"/>
          </w:tcPr>
          <w:p w14:paraId="7D2BDE0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All sensor channels, pack voltage where measured, upload success or failure, cycle count</w:t>
            </w:r>
          </w:p>
        </w:tc>
      </w:tr>
      <w:tr w:rsidR="00DB1607" w:rsidRPr="00B95EB3" w14:paraId="7DECE606" w14:textId="77777777">
        <w:tc>
          <w:tcPr>
            <w:tcW w:w="0" w:type="auto"/>
          </w:tcPr>
          <w:p w14:paraId="2C6F24A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Output</w:t>
            </w:r>
          </w:p>
        </w:tc>
        <w:tc>
          <w:tcPr>
            <w:tcW w:w="0" w:type="auto"/>
          </w:tcPr>
          <w:p w14:paraId="3EDEA1A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Pack voltage against time, achieved service interval, measured average current against the estimate, and a count of faults recovered automatically</w:t>
            </w:r>
          </w:p>
        </w:tc>
      </w:tr>
      <w:tr w:rsidR="00DB1607" w:rsidRPr="00B95EB3" w14:paraId="18217095" w14:textId="77777777">
        <w:tc>
          <w:tcPr>
            <w:tcW w:w="0" w:type="auto"/>
          </w:tcPr>
          <w:p w14:paraId="04416A4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Duration</w:t>
            </w:r>
          </w:p>
        </w:tc>
        <w:tc>
          <w:tcPr>
            <w:tcW w:w="0" w:type="auto"/>
          </w:tcPr>
          <w:p w14:paraId="5C9696B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Until the pack is depleted, expected to be several days</w:t>
            </w:r>
          </w:p>
        </w:tc>
      </w:tr>
    </w:tbl>
    <w:p w14:paraId="55E8C624"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The session runs indoors because battery life is a property of the system and its schedule, and weather would only add variance to a number meant to be a controlled measurement. Indoors, the longest unattended run happens where the hardware is safe and a fault can be noticed quickly. The regulator configuration used (linear or buck, and the board’s sleep current) is recorded with the result, since Section 3.3.2 shows these dominate the outcome.</w:t>
      </w:r>
    </w:p>
    <w:p w14:paraId="5E062DE4" w14:textId="77777777" w:rsidR="00DB1607" w:rsidRPr="00B95EB3" w:rsidRDefault="00000000">
      <w:pPr>
        <w:pStyle w:val="Heading3"/>
        <w:rPr>
          <w:rFonts w:asciiTheme="majorHAnsi" w:hAnsiTheme="majorHAnsi" w:cstheme="majorHAnsi"/>
        </w:rPr>
      </w:pPr>
      <w:bookmarkStart w:id="196" w:name="outdoor-integration-session"/>
      <w:bookmarkStart w:id="197" w:name="_Toc241565757"/>
      <w:bookmarkEnd w:id="194"/>
      <w:r w:rsidRPr="00B95EB3">
        <w:rPr>
          <w:rFonts w:asciiTheme="majorHAnsi" w:hAnsiTheme="majorHAnsi" w:cstheme="majorHAnsi"/>
        </w:rPr>
        <w:t>4.6.2 Outdoor Integration Session</w:t>
      </w:r>
      <w:bookmarkEnd w:id="197"/>
    </w:p>
    <w:p w14:paraId="2E1B635D"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4.5. Tier 3 outdoor integration session.</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106"/>
        <w:gridCol w:w="8080"/>
      </w:tblGrid>
      <w:tr w:rsidR="00DB1607" w:rsidRPr="00B95EB3" w14:paraId="507C776D"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6BBFB0F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Field</w:t>
            </w:r>
          </w:p>
        </w:tc>
        <w:tc>
          <w:tcPr>
            <w:tcW w:w="0" w:type="auto"/>
            <w:shd w:val="clear" w:color="auto" w:fill="EDEFF2"/>
          </w:tcPr>
          <w:p w14:paraId="33F4C6D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Detail</w:t>
            </w:r>
          </w:p>
        </w:tc>
      </w:tr>
      <w:tr w:rsidR="00DB1607" w:rsidRPr="00B95EB3" w14:paraId="63E679E2" w14:textId="77777777">
        <w:tc>
          <w:tcPr>
            <w:tcW w:w="0" w:type="auto"/>
          </w:tcPr>
          <w:p w14:paraId="51FE643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Objective</w:t>
            </w:r>
          </w:p>
        </w:tc>
        <w:tc>
          <w:tcPr>
            <w:tcW w:w="0" w:type="auto"/>
          </w:tcPr>
          <w:p w14:paraId="2757871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Confirm the complete system works end to end in its intended setting, from sensing through to the assessment shown in the mobile application</w:t>
            </w:r>
          </w:p>
        </w:tc>
      </w:tr>
      <w:tr w:rsidR="00DB1607" w:rsidRPr="00B95EB3" w14:paraId="6B070D75" w14:textId="77777777">
        <w:tc>
          <w:tcPr>
            <w:tcW w:w="0" w:type="auto"/>
          </w:tcPr>
          <w:p w14:paraId="1BDECEF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Method</w:t>
            </w:r>
          </w:p>
        </w:tc>
        <w:tc>
          <w:tcPr>
            <w:tcW w:w="0" w:type="auto"/>
          </w:tcPr>
          <w:p>
            <w:r>
              <w:t>Deploy the complete system at the pond for several hours up to 1 day. Log a real feeding event and a top-up during the session and observe the resulting change in the modelled state</w:t>
            </w:r>
          </w:p>
        </w:tc>
      </w:tr>
      <w:tr w:rsidR="00DB1607" w:rsidRPr="00B95EB3" w14:paraId="53B17362" w14:textId="77777777">
        <w:tc>
          <w:tcPr>
            <w:tcW w:w="0" w:type="auto"/>
          </w:tcPr>
          <w:p w14:paraId="089C205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Acceptance</w:t>
            </w:r>
          </w:p>
        </w:tc>
        <w:tc>
          <w:tcPr>
            <w:tcW w:w="0" w:type="auto"/>
          </w:tcPr>
          <w:p w14:paraId="6892682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Data flows from both nodes to the application without manual intervention. Logged events change the modelled state as expected. Forecast data is retrieved and used. A status level changes when a threshold is crossed</w:t>
            </w:r>
          </w:p>
        </w:tc>
      </w:tr>
      <w:tr w:rsidR="00DB1607" w:rsidRPr="00B95EB3" w14:paraId="67CB16F1" w14:textId="77777777">
        <w:tc>
          <w:tcPr>
            <w:tcW w:w="0" w:type="auto"/>
          </w:tcPr>
          <w:p w14:paraId="59A455A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Logged fields</w:t>
            </w:r>
          </w:p>
        </w:tc>
        <w:tc>
          <w:tcPr>
            <w:tcW w:w="0" w:type="auto"/>
          </w:tcPr>
          <w:p w14:paraId="107807A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All channels, both node schedules, upload results, retrieved forecast values, model outputs, status changes and owner events</w:t>
            </w:r>
          </w:p>
        </w:tc>
      </w:tr>
      <w:tr w:rsidR="00DB1607" w:rsidRPr="00B95EB3" w14:paraId="2F51B525" w14:textId="77777777">
        <w:tc>
          <w:tcPr>
            <w:tcW w:w="0" w:type="auto"/>
          </w:tcPr>
          <w:p w14:paraId="753C03F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Output</w:t>
            </w:r>
          </w:p>
        </w:tc>
        <w:tc>
          <w:tcPr>
            <w:tcW w:w="0" w:type="auto"/>
          </w:tcPr>
          <w:p w14:paraId="1A7255C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 timeline showing a reading captured at the pond appearing in the application, and a record of the model responding to a logged event</w:t>
            </w:r>
          </w:p>
        </w:tc>
      </w:tr>
      <w:tr w:rsidR="00DB1607" w:rsidRPr="00B95EB3" w14:paraId="453CD99E" w14:textId="77777777">
        <w:tc>
          <w:tcPr>
            <w:tcW w:w="0" w:type="auto"/>
          </w:tcPr>
          <w:p w14:paraId="6C9F1DF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Duration</w:t>
            </w:r>
          </w:p>
        </w:tc>
        <w:tc>
          <w:tcPr>
            <w:tcW w:w="0" w:type="auto"/>
          </w:tcPr>
          <w:p>
            <w:r>
              <w:t>Several hours to 1 day</w:t>
            </w:r>
          </w:p>
        </w:tc>
      </w:tr>
    </w:tbl>
    <w:p w14:paraId="4A75545F"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This session is shorter than the indoor one. Its purpose is to show that the parts work together in the real setting, which a day is enough to show. A longer outdoor session would mostly repeat the same evidence while leaving the full system exposed for longer. The digital twin must be reachable from the application during the session (Section 3.9.5), so either the phone stays on the same network as the machine running it or the twin is hosted for the session.</w:t>
      </w:r>
    </w:p>
    <w:p w14:paraId="12328F6A" w14:textId="77777777" w:rsidR="00DB1607" w:rsidRPr="00B95EB3" w:rsidRDefault="00000000">
      <w:pPr>
        <w:pStyle w:val="Heading2"/>
        <w:rPr>
          <w:rFonts w:asciiTheme="majorHAnsi" w:hAnsiTheme="majorHAnsi" w:cstheme="majorHAnsi"/>
        </w:rPr>
      </w:pPr>
      <w:bookmarkStart w:id="198" w:name="data-capture-and-reporting-format"/>
      <w:bookmarkStart w:id="199" w:name="_Toc241565758"/>
      <w:bookmarkEnd w:id="192"/>
      <w:bookmarkEnd w:id="196"/>
      <w:r w:rsidRPr="00B95EB3">
        <w:rPr>
          <w:rFonts w:asciiTheme="majorHAnsi" w:hAnsiTheme="majorHAnsi" w:cstheme="majorHAnsi"/>
        </w:rPr>
        <w:t>4.7 Data Capture and Reporting Format</w:t>
      </w:r>
      <w:bookmarkEnd w:id="199"/>
    </w:p>
    <w:p w14:paraId="38B49340"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A single record format is used across all three tiers so that results can be compared and plotted without reformatting. Every record carries the fields below, whichever test produced it.</w:t>
      </w:r>
    </w:p>
    <w:p w14:paraId="0281CB81"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4.6. Common record fields used across all test tiers.</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645"/>
        <w:gridCol w:w="7541"/>
      </w:tblGrid>
      <w:tr w:rsidR="00DB1607" w:rsidRPr="00B95EB3" w14:paraId="5868E0FD"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4868D1C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Field</w:t>
            </w:r>
          </w:p>
        </w:tc>
        <w:tc>
          <w:tcPr>
            <w:tcW w:w="0" w:type="auto"/>
            <w:shd w:val="clear" w:color="auto" w:fill="EDEFF2"/>
          </w:tcPr>
          <w:p w14:paraId="7843B44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Purpose</w:t>
            </w:r>
          </w:p>
        </w:tc>
      </w:tr>
      <w:tr w:rsidR="00DB1607" w:rsidRPr="00B95EB3" w14:paraId="1F3350AF" w14:textId="77777777">
        <w:tc>
          <w:tcPr>
            <w:tcW w:w="0" w:type="auto"/>
          </w:tcPr>
          <w:p w14:paraId="4A8C1CD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Test identifier</w:t>
            </w:r>
          </w:p>
        </w:tc>
        <w:tc>
          <w:tcPr>
            <w:tcW w:w="0" w:type="auto"/>
          </w:tcPr>
          <w:p w14:paraId="7C3BDA5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Which test and tier produced this record</w:t>
            </w:r>
          </w:p>
        </w:tc>
      </w:tr>
      <w:tr w:rsidR="00DB1607" w:rsidRPr="00B95EB3" w14:paraId="41606C41" w14:textId="77777777">
        <w:tc>
          <w:tcPr>
            <w:tcW w:w="0" w:type="auto"/>
          </w:tcPr>
          <w:p w14:paraId="0EAB1BC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Sample time</w:t>
            </w:r>
          </w:p>
        </w:tc>
        <w:tc>
          <w:tcPr>
            <w:tcW w:w="0" w:type="auto"/>
          </w:tcPr>
          <w:p w14:paraId="5555385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When the sample was taken, not when it was uploaded</w:t>
            </w:r>
          </w:p>
        </w:tc>
      </w:tr>
      <w:tr w:rsidR="00DB1607" w:rsidRPr="00B95EB3" w14:paraId="431AEDAE" w14:textId="77777777">
        <w:tc>
          <w:tcPr>
            <w:tcW w:w="0" w:type="auto"/>
          </w:tcPr>
          <w:p w14:paraId="2B25C7F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Device and cycle</w:t>
            </w:r>
          </w:p>
        </w:tc>
        <w:tc>
          <w:tcPr>
            <w:tcW w:w="0" w:type="auto"/>
          </w:tcPr>
          <w:p w14:paraId="63760E9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Which node produced the record and its cycle number</w:t>
            </w:r>
          </w:p>
        </w:tc>
      </w:tr>
      <w:tr w:rsidR="00DB1607" w:rsidRPr="00B95EB3" w14:paraId="7E63EADB" w14:textId="77777777">
        <w:tc>
          <w:tcPr>
            <w:tcW w:w="0" w:type="auto"/>
          </w:tcPr>
          <w:p w14:paraId="7B1D0DD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Channel</w:t>
            </w:r>
          </w:p>
        </w:tc>
        <w:tc>
          <w:tcPr>
            <w:tcW w:w="0" w:type="auto"/>
          </w:tcPr>
          <w:p w14:paraId="24A8E4F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Which sensor or derived value this record holds</w:t>
            </w:r>
          </w:p>
        </w:tc>
      </w:tr>
      <w:tr w:rsidR="00DB1607" w:rsidRPr="00B95EB3" w14:paraId="01ABA976" w14:textId="77777777">
        <w:tc>
          <w:tcPr>
            <w:tcW w:w="0" w:type="auto"/>
          </w:tcPr>
          <w:p w14:paraId="5A35D6A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Value</w:t>
            </w:r>
          </w:p>
        </w:tc>
        <w:tc>
          <w:tcPr>
            <w:tcW w:w="0" w:type="auto"/>
          </w:tcPr>
          <w:p w14:paraId="5E79CC9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The reading itself</w:t>
            </w:r>
          </w:p>
        </w:tc>
      </w:tr>
      <w:tr w:rsidR="00DB1607" w:rsidRPr="00B95EB3" w14:paraId="6F142B9F" w14:textId="77777777">
        <w:tc>
          <w:tcPr>
            <w:tcW w:w="0" w:type="auto"/>
          </w:tcPr>
          <w:p w14:paraId="3190C21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Reference value</w:t>
            </w:r>
          </w:p>
        </w:tc>
        <w:tc>
          <w:tcPr>
            <w:tcW w:w="0" w:type="auto"/>
          </w:tcPr>
          <w:p w14:paraId="197315B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The known or reference value where one exists, blank otherwise</w:t>
            </w:r>
          </w:p>
        </w:tc>
      </w:tr>
      <w:tr w:rsidR="00DB1607" w:rsidRPr="00B95EB3" w14:paraId="1129E438" w14:textId="77777777">
        <w:tc>
          <w:tcPr>
            <w:tcW w:w="0" w:type="auto"/>
          </w:tcPr>
          <w:p w14:paraId="73DA6A6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Validity</w:t>
            </w:r>
          </w:p>
        </w:tc>
        <w:tc>
          <w:tcPr>
            <w:tcW w:w="0" w:type="auto"/>
          </w:tcPr>
          <w:p w14:paraId="1D318E3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Whether the reading passed the device-side checks and the server’s validation gate</w:t>
            </w:r>
          </w:p>
        </w:tc>
      </w:tr>
      <w:tr w:rsidR="00DB1607" w:rsidRPr="00B95EB3" w14:paraId="324B23E9" w14:textId="77777777">
        <w:tc>
          <w:tcPr>
            <w:tcW w:w="0" w:type="auto"/>
          </w:tcPr>
          <w:p w14:paraId="0F25051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Pack voltage</w:t>
            </w:r>
          </w:p>
        </w:tc>
        <w:tc>
          <w:tcPr>
            <w:tcW w:w="0" w:type="auto"/>
          </w:tcPr>
          <w:p w14:paraId="1A405D6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Battery voltage at the time of the reading, where measured</w:t>
            </w:r>
          </w:p>
        </w:tc>
      </w:tr>
      <w:tr w:rsidR="00DB1607" w:rsidRPr="00B95EB3" w14:paraId="691291E3" w14:textId="77777777">
        <w:tc>
          <w:tcPr>
            <w:tcW w:w="0" w:type="auto"/>
          </w:tcPr>
          <w:p w14:paraId="07AD7B0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Condition note</w:t>
            </w:r>
          </w:p>
        </w:tc>
        <w:tc>
          <w:tcPr>
            <w:tcW w:w="0" w:type="auto"/>
          </w:tcPr>
          <w:p w14:paraId="2555D67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Environmental or setup condition, such as the buffer used, lighting or weather</w:t>
            </w:r>
          </w:p>
        </w:tc>
      </w:tr>
    </w:tbl>
    <w:p w14:paraId="0873A3CF"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Each record gets its test identifier when it is created, which links the input condition, device state and reference value without relying on later reconstruction.</w:t>
      </w:r>
    </w:p>
    <w:p w14:paraId="575FF6B8" w14:textId="77777777" w:rsidR="00DB1607" w:rsidRPr="00B95EB3" w:rsidRDefault="00000000">
      <w:pPr>
        <w:pStyle w:val="Heading2"/>
        <w:rPr>
          <w:rFonts w:asciiTheme="majorHAnsi" w:hAnsiTheme="majorHAnsi" w:cstheme="majorHAnsi"/>
        </w:rPr>
      </w:pPr>
      <w:bookmarkStart w:id="200" w:name="iterative-development-and-change-control"/>
      <w:bookmarkStart w:id="201" w:name="_Toc241565759"/>
      <w:bookmarkEnd w:id="198"/>
      <w:r w:rsidRPr="00B95EB3">
        <w:rPr>
          <w:rFonts w:asciiTheme="majorHAnsi" w:hAnsiTheme="majorHAnsi" w:cstheme="majorHAnsi"/>
        </w:rPr>
        <w:t>4.8 Iterative Development and Change Control</w:t>
      </w:r>
      <w:bookmarkEnd w:id="201"/>
    </w:p>
    <w:p w14:paraId="1788C55E"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A hardware or firmware change returns the affected subsystem to Tier 1. It can re-enter the outdoor and integration tiers once the bench checks pass. This rule applies even when a change appears unrelated to the failed check, since shared supplies, pins and timing can create side effects. The change of pH front end (Section 3.2.5) is an example: it altered the supply arrangement for every sensor, so all channels returned to Tier 1.</w:t>
      </w:r>
    </w:p>
    <w:p w14:paraId="7508566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Changes are recorded as they are made, with the date, what changed, why and which test prompted it. The repository’s commit history serves as this record for firmware and software, and the automated tests in Chapter 5 are re-run after every change to the server code.</w:t>
      </w:r>
    </w:p>
    <w:p w14:paraId="5BE8850A" w14:textId="77777777" w:rsidR="00DB1607" w:rsidRPr="00B95EB3" w:rsidRDefault="00000000">
      <w:pPr>
        <w:pStyle w:val="Heading2"/>
        <w:rPr>
          <w:rFonts w:asciiTheme="majorHAnsi" w:hAnsiTheme="majorHAnsi" w:cstheme="majorHAnsi"/>
        </w:rPr>
      </w:pPr>
      <w:bookmarkStart w:id="202" w:name="test-risks-and-mitigations"/>
      <w:bookmarkStart w:id="203" w:name="_Toc241565760"/>
      <w:bookmarkEnd w:id="200"/>
      <w:r w:rsidRPr="00B95EB3">
        <w:rPr>
          <w:rFonts w:asciiTheme="majorHAnsi" w:hAnsiTheme="majorHAnsi" w:cstheme="majorHAnsi"/>
        </w:rPr>
        <w:t>4.9 Test Risks and Mitigations</w:t>
      </w:r>
      <w:bookmarkEnd w:id="203"/>
    </w:p>
    <w:p w14:paraId="0244AAC7"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4.7. Test risks and how each is managed.</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898"/>
        <w:gridCol w:w="2703"/>
        <w:gridCol w:w="4585"/>
      </w:tblGrid>
      <w:tr w:rsidR="00DB1607" w:rsidRPr="00B95EB3" w14:paraId="1C900042"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1F58351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Risk</w:t>
            </w:r>
          </w:p>
        </w:tc>
        <w:tc>
          <w:tcPr>
            <w:tcW w:w="0" w:type="auto"/>
            <w:shd w:val="clear" w:color="auto" w:fill="EDEFF2"/>
          </w:tcPr>
          <w:p w14:paraId="15FA627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Effect if it happens</w:t>
            </w:r>
          </w:p>
        </w:tc>
        <w:tc>
          <w:tcPr>
            <w:tcW w:w="0" w:type="auto"/>
            <w:shd w:val="clear" w:color="auto" w:fill="EDEFF2"/>
          </w:tcPr>
          <w:p w14:paraId="419F6FC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Mitigation</w:t>
            </w:r>
          </w:p>
        </w:tc>
      </w:tr>
      <w:tr w:rsidR="00DB1607" w:rsidRPr="00B95EB3" w14:paraId="6A36E5FD" w14:textId="77777777">
        <w:tc>
          <w:tcPr>
            <w:tcW w:w="0" w:type="auto"/>
          </w:tcPr>
          <w:p w14:paraId="5B66AB1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pH probe fails or degrades</w:t>
            </w:r>
          </w:p>
        </w:tc>
        <w:tc>
          <w:tcPr>
            <w:tcW w:w="0" w:type="auto"/>
          </w:tcPr>
          <w:p w14:paraId="0CBE2CE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Loss of the most expensive sensor and of three derived quantities</w:t>
            </w:r>
          </w:p>
        </w:tc>
        <w:tc>
          <w:tcPr>
            <w:tcW w:w="0" w:type="auto"/>
          </w:tcPr>
          <w:p w14:paraId="76CE7A4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Keep the probe wet and stored correctly. Test in a beaker before the pond. Order a spare early</w:t>
            </w:r>
          </w:p>
        </w:tc>
      </w:tr>
      <w:tr w:rsidR="00DB1607" w:rsidRPr="00B95EB3" w14:paraId="28BB002F" w14:textId="77777777">
        <w:tc>
          <w:tcPr>
            <w:tcW w:w="0" w:type="auto"/>
          </w:tcPr>
          <w:p w14:paraId="57220B3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Water enters the enclosure</w:t>
            </w:r>
          </w:p>
        </w:tc>
        <w:tc>
          <w:tcPr>
            <w:tcW w:w="0" w:type="auto"/>
          </w:tcPr>
          <w:p w14:paraId="501594A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Loss of several components at once</w:t>
            </w:r>
          </w:p>
        </w:tc>
        <w:tc>
          <w:tcPr>
            <w:tcW w:w="0" w:type="auto"/>
          </w:tcPr>
          <w:p w14:paraId="66F38ED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Seal test with no electronics inside. Downward-facing connectors and drip loops. Check the enclosure before each outdoor tier</w:t>
            </w:r>
          </w:p>
        </w:tc>
      </w:tr>
      <w:tr w:rsidR="00DB1607" w:rsidRPr="00B95EB3" w14:paraId="109F2617" w14:textId="77777777">
        <w:tc>
          <w:tcPr>
            <w:tcW w:w="0" w:type="auto"/>
          </w:tcPr>
          <w:p w14:paraId="2902C22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Pack over-discharge</w:t>
            </w:r>
          </w:p>
        </w:tc>
        <w:tc>
          <w:tcPr>
            <w:tcW w:w="0" w:type="auto"/>
          </w:tcPr>
          <w:p w14:paraId="69DEF2A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Cell damage and an unreliable pack for later tests</w:t>
            </w:r>
          </w:p>
        </w:tc>
        <w:tc>
          <w:tcPr>
            <w:tcW w:w="0" w:type="auto"/>
          </w:tcPr>
          <w:p w14:paraId="29111D5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Stop the endurance run when the regulator loses regulation. Never leave a partly assembled circuit on the pack</w:t>
            </w:r>
          </w:p>
        </w:tc>
      </w:tr>
      <w:tr w:rsidR="00DB1607" w:rsidRPr="00B95EB3" w14:paraId="7E67BE47" w14:textId="77777777">
        <w:tc>
          <w:tcPr>
            <w:tcW w:w="0" w:type="auto"/>
          </w:tcPr>
          <w:p w14:paraId="4484FC8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Weather does not cooperate</w:t>
            </w:r>
          </w:p>
        </w:tc>
        <w:tc>
          <w:tcPr>
            <w:tcW w:w="0" w:type="auto"/>
          </w:tcPr>
          <w:p w14:paraId="3CD8750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 planned observation is not possible in the time available</w:t>
            </w:r>
          </w:p>
        </w:tc>
        <w:tc>
          <w:tcPr>
            <w:tcW w:w="0" w:type="auto"/>
          </w:tcPr>
          <w:p w14:paraId="570F3B6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Treat weather-dependent observations as opportunistic. No acceptance decision depends on a specific weather event</w:t>
            </w:r>
          </w:p>
        </w:tc>
      </w:tr>
      <w:tr w:rsidR="00DB1607" w:rsidRPr="00B95EB3" w14:paraId="78FA8DB7" w14:textId="77777777">
        <w:tc>
          <w:tcPr>
            <w:tcW w:w="0" w:type="auto"/>
          </w:tcPr>
          <w:p w14:paraId="6CFBA96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 fault appears only during integration</w:t>
            </w:r>
          </w:p>
        </w:tc>
        <w:tc>
          <w:tcPr>
            <w:tcW w:w="0" w:type="auto"/>
          </w:tcPr>
          <w:p w14:paraId="0D9E6E6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Slow diagnosis late in the project</w:t>
            </w:r>
          </w:p>
        </w:tc>
        <w:tc>
          <w:tcPr>
            <w:tcW w:w="0" w:type="auto"/>
          </w:tcPr>
          <w:p w14:paraId="11FED9E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Strict tier order so each part is already known to work. Independent node schedules so faults stay isolated</w:t>
            </w:r>
          </w:p>
        </w:tc>
      </w:tr>
      <w:tr w:rsidR="00DB1607" w:rsidRPr="00B95EB3" w14:paraId="23CED5E5" w14:textId="77777777">
        <w:tc>
          <w:tcPr>
            <w:tcW w:w="0" w:type="auto"/>
          </w:tcPr>
          <w:p w14:paraId="3F1BB00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Time runs short for the endurance run</w:t>
            </w:r>
          </w:p>
        </w:tc>
        <w:tc>
          <w:tcPr>
            <w:tcW w:w="0" w:type="auto"/>
          </w:tcPr>
          <w:p w14:paraId="243CAA7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No defensible battery life figure</w:t>
            </w:r>
          </w:p>
        </w:tc>
        <w:tc>
          <w:tcPr>
            <w:tcW w:w="0" w:type="auto"/>
          </w:tcPr>
          <w:p w14:paraId="4664CB0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Start the indoor endurance session as early as the assembled node allows, since it is the longest run and cannot be shortened</w:t>
            </w:r>
          </w:p>
        </w:tc>
      </w:tr>
      <w:tr w:rsidR="00DB1607" w:rsidRPr="00B95EB3" w14:paraId="5F5DBD4D" w14:textId="77777777">
        <w:tc>
          <w:tcPr>
            <w:tcW w:w="0" w:type="auto"/>
          </w:tcPr>
          <w:p w14:paraId="50F064B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Digital twin unreachable in the field</w:t>
            </w:r>
          </w:p>
        </w:tc>
        <w:tc>
          <w:tcPr>
            <w:tcW w:w="0" w:type="auto"/>
          </w:tcPr>
          <w:p w14:paraId="3153C47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No model outputs during the outdoor session</w:t>
            </w:r>
          </w:p>
        </w:tc>
        <w:tc>
          <w:tcPr>
            <w:tcW w:w="0" w:type="auto"/>
          </w:tcPr>
          <w:p w14:paraId="75A53E8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Keep the phone on the twin’s network, or host the twin for the session</w:t>
            </w:r>
          </w:p>
        </w:tc>
      </w:tr>
    </w:tbl>
    <w:p w14:paraId="2A342C95" w14:textId="77777777" w:rsidR="00DB1607" w:rsidRPr="00B95EB3" w:rsidRDefault="00000000">
      <w:pPr>
        <w:pStyle w:val="Heading1"/>
        <w:rPr>
          <w:rFonts w:asciiTheme="majorHAnsi" w:hAnsiTheme="majorHAnsi" w:cstheme="majorHAnsi"/>
        </w:rPr>
      </w:pPr>
      <w:bookmarkStart w:id="204" w:name="X56c9ff0b49de88ae4f7daf67a35adbf1406b1d3"/>
      <w:bookmarkStart w:id="205" w:name="_Toc241565761"/>
      <w:bookmarkEnd w:id="151"/>
      <w:bookmarkEnd w:id="202"/>
      <w:r w:rsidRPr="00B95EB3">
        <w:rPr>
          <w:rFonts w:asciiTheme="majorHAnsi" w:hAnsiTheme="majorHAnsi" w:cstheme="majorHAnsi"/>
        </w:rPr>
        <w:t>Chapter 5: Software Implementation and Verification</w:t>
      </w:r>
      <w:bookmarkEnd w:id="205"/>
    </w:p>
    <w:p w14:paraId="2E9F2267"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This chapter describes how the software was built and how it was checked. Chapter 3 gave the design and the reasons for it. Here the focus is on implementation decisions that affect correctness, on a three-round refactoring pass carried out over the whole codebase, and on the automated tests that now verify the firmware logic, the digital twin and the contract between the server and the mobile application.</w:t>
      </w:r>
    </w:p>
    <w:p w14:paraId="29F78DD4" w14:textId="77777777" w:rsidR="00DB1607" w:rsidRPr="00B95EB3" w:rsidRDefault="00000000">
      <w:pPr>
        <w:pStyle w:val="Heading2"/>
        <w:rPr>
          <w:rFonts w:asciiTheme="majorHAnsi" w:hAnsiTheme="majorHAnsi" w:cstheme="majorHAnsi"/>
        </w:rPr>
      </w:pPr>
      <w:bookmarkStart w:id="206" w:name="repository-and-development-approach"/>
      <w:bookmarkStart w:id="207" w:name="_Toc241565762"/>
      <w:r w:rsidRPr="00B95EB3">
        <w:rPr>
          <w:rFonts w:asciiTheme="majorHAnsi" w:hAnsiTheme="majorHAnsi" w:cstheme="majorHAnsi"/>
        </w:rPr>
        <w:t>5.1 Repository and Development Approach</w:t>
      </w:r>
      <w:bookmarkEnd w:id="207"/>
    </w:p>
    <w:p w14:paraId="1908D1A3"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All code is kept in one repository with a folder per component: embedded firmware, the backend services (the digital twin, the camera service and the NEA data retrieval), the Flutter application, the historical NEA analysis and a scraper that builds the species database used by the application’s care guide. Keeping everything together means a change that crosses a boundary, such as renaming a field the application reads, can be made and tested in one commit.</w:t>
      </w:r>
    </w:p>
    <w:p w14:paraId="025F28F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system grew feature by feature over about 3 months, and by late September 2026 each component worked but carried duplicated logic and some untested paths. A refactoring pass was then made in a separate working folder, component by component, in three rounds each. Each round looked for duplicated logic, dead code, inefficient work and untested behaviour, made the changes, and added tests for anything it touched. The refactored code keeps the original behaviour, wiring and interfaces unless a change is stated. Working in a separate folder kept the original, known-working code available for comparison while the refactored firmware is flashed and checked against it.</w:t>
      </w:r>
    </w:p>
    <w:p w14:paraId="17B361E7"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testing approach was shaped by what could run without hardware. Firmware logic that needs no hardware, such as the TDS curve, the pH fit or the DS18B20 checks, was moved out of the Arduino sketch into plain C++ headers that compile and run on an ordinary computer. The digital twin’s tests stub out Supabase with an in-memory fake, so they run without network access or credentials. This lets most of the logic be checked in seconds after every change, and leaves the bench tests in Chapter 4 to cover what only hardware can show.</w:t>
      </w:r>
    </w:p>
    <w:p w14:paraId="57BF8A0D" w14:textId="77777777" w:rsidR="00DB1607" w:rsidRPr="00B95EB3" w:rsidRDefault="00000000">
      <w:pPr>
        <w:pStyle w:val="Heading2"/>
        <w:rPr>
          <w:rFonts w:asciiTheme="majorHAnsi" w:hAnsiTheme="majorHAnsi" w:cstheme="majorHAnsi"/>
        </w:rPr>
      </w:pPr>
      <w:bookmarkStart w:id="208" w:name="sensor-node-firmware"/>
      <w:bookmarkStart w:id="209" w:name="_Toc241565763"/>
      <w:bookmarkEnd w:id="206"/>
      <w:r w:rsidRPr="00B95EB3">
        <w:rPr>
          <w:rFonts w:asciiTheme="majorHAnsi" w:hAnsiTheme="majorHAnsi" w:cstheme="majorHAnsi"/>
        </w:rPr>
        <w:t>5.2 Sensor Node Firmware</w:t>
      </w:r>
      <w:bookmarkEnd w:id="209"/>
    </w:p>
    <w:p w14:paraId="6A1FE8DD" w14:textId="77777777" w:rsidR="00DB1607" w:rsidRPr="00B95EB3" w:rsidRDefault="00000000">
      <w:pPr>
        <w:pStyle w:val="Heading3"/>
        <w:rPr>
          <w:rFonts w:asciiTheme="majorHAnsi" w:hAnsiTheme="majorHAnsi" w:cstheme="majorHAnsi"/>
        </w:rPr>
      </w:pPr>
      <w:bookmarkStart w:id="210" w:name="structure-1"/>
      <w:bookmarkStart w:id="211" w:name="_Toc241565764"/>
      <w:r w:rsidRPr="00B95EB3">
        <w:rPr>
          <w:rFonts w:asciiTheme="majorHAnsi" w:hAnsiTheme="majorHAnsi" w:cstheme="majorHAnsi"/>
        </w:rPr>
        <w:t>5.2.1 Structure</w:t>
      </w:r>
      <w:bookmarkEnd w:id="211"/>
    </w:p>
    <w:p w14:paraId="653565D0"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sensor node firmware has three parts: the wake cycle described in Section 3.4.2, the service mode described in Section 3.4.4, and six small libraries holding the logic that does not need hardware (Table 5.1). The sketch keeps only what touches the hardware directly: pin control, bus transactions, timing and non-volatile storage.</w:t>
      </w:r>
    </w:p>
    <w:p w14:paraId="4C8FBC3F"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5.1. Firmware libraries extracted from the sensor sketch.</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359"/>
        <w:gridCol w:w="4163"/>
        <w:gridCol w:w="3664"/>
      </w:tblGrid>
      <w:tr w:rsidR="00DB1607" w:rsidRPr="00B95EB3" w14:paraId="216D4892"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4135950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Library</w:t>
            </w:r>
          </w:p>
        </w:tc>
        <w:tc>
          <w:tcPr>
            <w:tcW w:w="0" w:type="auto"/>
            <w:shd w:val="clear" w:color="auto" w:fill="EDEFF2"/>
          </w:tcPr>
          <w:p w14:paraId="3FA2123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Contents</w:t>
            </w:r>
          </w:p>
        </w:tc>
        <w:tc>
          <w:tcPr>
            <w:tcW w:w="0" w:type="auto"/>
            <w:shd w:val="clear" w:color="auto" w:fill="EDEFF2"/>
          </w:tcPr>
          <w:p w14:paraId="47A1B36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Reason for extraction</w:t>
            </w:r>
          </w:p>
        </w:tc>
      </w:tr>
      <w:tr w:rsidR="00DB1607" w:rsidRPr="00B95EB3" w14:paraId="2573474E" w14:textId="77777777">
        <w:tc>
          <w:tcPr>
            <w:tcW w:w="0" w:type="auto"/>
          </w:tcPr>
          <w:p w14:paraId="7885D90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median_filter</w:t>
            </w:r>
          </w:p>
        </w:tc>
        <w:tc>
          <w:tcPr>
            <w:tcW w:w="0" w:type="auto"/>
          </w:tcPr>
          <w:p w14:paraId="41E5145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Median of a sample buffer</w:t>
            </w:r>
          </w:p>
        </w:tc>
        <w:tc>
          <w:tcPr>
            <w:tcW w:w="0" w:type="auto"/>
          </w:tcPr>
          <w:p w14:paraId="0C4A9CE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Shared by the TDS and pH reads</w:t>
            </w:r>
          </w:p>
        </w:tc>
      </w:tr>
      <w:tr w:rsidR="00DB1607" w:rsidRPr="00B95EB3" w14:paraId="66CFFED7" w14:textId="77777777">
        <w:tc>
          <w:tcPr>
            <w:tcW w:w="0" w:type="auto"/>
          </w:tcPr>
          <w:p w14:paraId="528343F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tds_sensor</w:t>
            </w:r>
          </w:p>
        </w:tc>
        <w:tc>
          <w:tcPr>
            <w:tcW w:w="0" w:type="auto"/>
          </w:tcPr>
          <w:p w14:paraId="10D24EC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Millivolt-to-TDS curve, temperature compensation, calibration factor</w:t>
            </w:r>
          </w:p>
        </w:tc>
        <w:tc>
          <w:tcPr>
            <w:tcW w:w="0" w:type="auto"/>
          </w:tcPr>
          <w:p w14:paraId="6F24835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The same formula had been copied into two sketches</w:t>
            </w:r>
          </w:p>
        </w:tc>
      </w:tr>
      <w:tr w:rsidR="00DB1607" w:rsidRPr="00B95EB3" w14:paraId="08025145" w14:textId="77777777">
        <w:tc>
          <w:tcPr>
            <w:tcW w:w="0" w:type="auto"/>
          </w:tcPr>
          <w:p w14:paraId="547074B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ph_sensor</w:t>
            </w:r>
          </w:p>
        </w:tc>
        <w:tc>
          <w:tcPr>
            <w:tcW w:w="0" w:type="auto"/>
          </w:tcPr>
          <w:p w14:paraId="793A7EE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Temperature table for buffers, least-squares fit, Nernst slope scaling</w:t>
            </w:r>
          </w:p>
        </w:tc>
        <w:tc>
          <w:tcPr>
            <w:tcW w:w="0" w:type="auto"/>
          </w:tcPr>
          <w:p w14:paraId="542419E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Calibration errors are silent in use, so this needs its own tests</w:t>
            </w:r>
          </w:p>
        </w:tc>
      </w:tr>
      <w:tr w:rsidR="00DB1607" w:rsidRPr="00B95EB3" w14:paraId="4B6F4C19" w14:textId="77777777">
        <w:tc>
          <w:tcPr>
            <w:tcW w:w="0" w:type="auto"/>
          </w:tcPr>
          <w:p w14:paraId="5BF466D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ds18b20_parse</w:t>
            </w:r>
          </w:p>
        </w:tc>
        <w:tc>
          <w:tcPr>
            <w:tcW w:w="0" w:type="auto"/>
          </w:tcPr>
          <w:p w14:paraId="4A19DE0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CRC check, configuration check, 85 °C power-on value</w:t>
            </w:r>
          </w:p>
        </w:tc>
        <w:tc>
          <w:tcPr>
            <w:tcW w:w="0" w:type="auto"/>
          </w:tcPr>
          <w:p w14:paraId="5D66CA6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Duplicated between two sketches</w:t>
            </w:r>
          </w:p>
        </w:tc>
      </w:tr>
      <w:tr w:rsidR="00DB1607" w:rsidRPr="00B95EB3" w14:paraId="7BBA3EF4" w14:textId="77777777">
        <w:tc>
          <w:tcPr>
            <w:tcW w:w="0" w:type="auto"/>
          </w:tcPr>
          <w:p w14:paraId="07C738E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tsl2591_lux</w:t>
            </w:r>
          </w:p>
        </w:tc>
        <w:tc>
          <w:tcPr>
            <w:tcW w:w="0" w:type="auto"/>
          </w:tcPr>
          <w:p w14:paraId="00DE6C8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Gain decision and lux formula</w:t>
            </w:r>
          </w:p>
        </w:tc>
        <w:tc>
          <w:tcPr>
            <w:tcW w:w="0" w:type="auto"/>
          </w:tcPr>
          <w:p w14:paraId="6FF7426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Gain stepping is easy to get wrong at the range ends</w:t>
            </w:r>
          </w:p>
        </w:tc>
      </w:tr>
      <w:tr w:rsidR="00DB1607" w:rsidRPr="00B95EB3" w14:paraId="30561F03" w14:textId="77777777">
        <w:tc>
          <w:tcPr>
            <w:tcW w:w="0" w:type="auto"/>
          </w:tcPr>
          <w:p w14:paraId="330E198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adaptive_settle</w:t>
            </w:r>
          </w:p>
        </w:tc>
        <w:tc>
          <w:tcPr>
            <w:tcW w:w="0" w:type="auto"/>
          </w:tcPr>
          <w:p w14:paraId="3EF6A98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Settling tracker for the pH read (Section 3.2.5)</w:t>
            </w:r>
          </w:p>
        </w:tc>
        <w:tc>
          <w:tcPr>
            <w:tcW w:w="0" w:type="auto"/>
          </w:tcPr>
          <w:p w14:paraId="17D3B86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New in the refactor</w:t>
            </w:r>
          </w:p>
        </w:tc>
      </w:tr>
    </w:tbl>
    <w:p w14:paraId="72F07687" w14:textId="77777777" w:rsidR="00DB1607" w:rsidRPr="00B95EB3" w:rsidRDefault="00000000">
      <w:pPr>
        <w:pStyle w:val="Heading3"/>
        <w:rPr>
          <w:rFonts w:asciiTheme="majorHAnsi" w:hAnsiTheme="majorHAnsi" w:cstheme="majorHAnsi"/>
        </w:rPr>
      </w:pPr>
      <w:bookmarkStart w:id="212" w:name="changes-made-in-the-refactor"/>
      <w:bookmarkStart w:id="213" w:name="_Toc241565765"/>
      <w:bookmarkEnd w:id="210"/>
      <w:r w:rsidRPr="00B95EB3">
        <w:rPr>
          <w:rFonts w:asciiTheme="majorHAnsi" w:hAnsiTheme="majorHAnsi" w:cstheme="majorHAnsi"/>
        </w:rPr>
        <w:t>5.2.2 Changes Made in the Refactor</w:t>
      </w:r>
      <w:bookmarkEnd w:id="213"/>
    </w:p>
    <w:p w14:paraId="0DFFFAFA"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Most firmware changes removed duplication. The TDS formula and the DS18B20 scratchpad checks each existed in two sketches and now exist once. The one behavioural change is the adaptive pH settle, which replaces the fixed 5 s wait with a poll that stops once three readings agree within 3 mV, keeping 5 s as the upper limit. The worst case is unchanged, so this cannot make a reading worse than before, while the typical wake should be shorter. The tolerance is a starting value to be tuned from the settle log (Section 4.4.2).</w:t>
      </w:r>
    </w:p>
    <w:p w14:paraId="304C0BE2"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refactor also produced a networked version of the sensor node. The main sketch had the careful sensing sequence but only printed its results to the serial port, while a separate test sketch uploaded to Supabase but never slept, had no Wi-Fi timeout and sent a fixed placeholder instead of a real light reading. The networked version combines the two: the refactored sensing sequence, the camera’s bounded Wi-Fi retry and backoff logic (extracted into two further headers), and a single batched insert. It also leaves a failed temperature reading out of the upload instead of sending the compensation fallback. This version has been reviewed but not yet compiled for the ESP32. It is to be flashed and checked against the original sketch, cycle by cycle, before it replaces it.</w:t>
      </w:r>
    </w:p>
    <w:p w14:paraId="7070A661" w14:textId="77777777" w:rsidR="00DB1607" w:rsidRPr="00B95EB3" w:rsidRDefault="00000000">
      <w:pPr>
        <w:pStyle w:val="Heading3"/>
        <w:rPr>
          <w:rFonts w:asciiTheme="majorHAnsi" w:hAnsiTheme="majorHAnsi" w:cstheme="majorHAnsi"/>
        </w:rPr>
      </w:pPr>
      <w:bookmarkStart w:id="214" w:name="verification"/>
      <w:bookmarkStart w:id="215" w:name="_Toc241565766"/>
      <w:bookmarkEnd w:id="212"/>
      <w:r w:rsidRPr="00B95EB3">
        <w:rPr>
          <w:rFonts w:asciiTheme="majorHAnsi" w:hAnsiTheme="majorHAnsi" w:cstheme="majorHAnsi"/>
        </w:rPr>
        <w:t>5.2.3 Verification</w:t>
      </w:r>
      <w:bookmarkEnd w:id="215"/>
    </w:p>
    <w:p w14:paraId="2CABC9CE"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six sensing libraries and the two Wi-Fi headers are covered by a host test program with 66 checks. Table 5.2 lists what each group tests, and all 66 checks pass.</w:t>
      </w:r>
    </w:p>
    <w:p w14:paraId="5569B355"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5.2. Firmware host tests.</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091"/>
        <w:gridCol w:w="8095"/>
      </w:tblGrid>
      <w:tr w:rsidR="00DB1607" w:rsidRPr="00B95EB3" w14:paraId="47E0DBFF"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5311B95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Test group</w:t>
            </w:r>
          </w:p>
        </w:tc>
        <w:tc>
          <w:tcPr>
            <w:tcW w:w="0" w:type="auto"/>
            <w:shd w:val="clear" w:color="auto" w:fill="EDEFF2"/>
          </w:tcPr>
          <w:p w14:paraId="6A011DC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What is checked</w:t>
            </w:r>
          </w:p>
        </w:tc>
      </w:tr>
      <w:tr w:rsidR="00DB1607" w:rsidRPr="00B95EB3" w14:paraId="7AF488D2" w14:textId="77777777">
        <w:tc>
          <w:tcPr>
            <w:tcW w:w="0" w:type="auto"/>
          </w:tcPr>
          <w:p w14:paraId="1864AB0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Median filter</w:t>
            </w:r>
          </w:p>
        </w:tc>
        <w:tc>
          <w:tcPr>
            <w:tcW w:w="0" w:type="auto"/>
          </w:tcPr>
          <w:p w14:paraId="6901891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Odd and even lengths, unsorted input, repeated values, and the upper-median convention for even lengths</w:t>
            </w:r>
          </w:p>
        </w:tc>
      </w:tr>
      <w:tr w:rsidR="00DB1607" w:rsidRPr="00B95EB3" w14:paraId="44173049" w14:textId="77777777">
        <w:tc>
          <w:tcPr>
            <w:tcW w:w="0" w:type="auto"/>
          </w:tcPr>
          <w:p w14:paraId="1231E83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TDS</w:t>
            </w:r>
          </w:p>
        </w:tc>
        <w:tc>
          <w:tcPr>
            <w:tcW w:w="0" w:type="auto"/>
          </w:tcPr>
          <w:p w14:paraId="1FA6264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Zero input, a hand-calculated reference point, compensation direction above and below 25 °C, calibration factor scaling, conversion to conductivity</w:t>
            </w:r>
          </w:p>
        </w:tc>
      </w:tr>
      <w:tr w:rsidR="00DB1607" w:rsidRPr="00B95EB3" w14:paraId="186FEBC2" w14:textId="77777777">
        <w:tc>
          <w:tcPr>
            <w:tcW w:w="0" w:type="auto"/>
          </w:tcPr>
          <w:p w14:paraId="48A426B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pH</w:t>
            </w:r>
          </w:p>
        </w:tc>
        <w:tc>
          <w:tcPr>
            <w:tcW w:w="0" w:type="auto"/>
          </w:tcPr>
          <w:p w14:paraId="5C6E8EF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Buffer interpolation between and beyond table temperatures, reproduction of the factory default fit, refitting from two points, rejection with fewer than two points or near-identical voltages</w:t>
            </w:r>
          </w:p>
        </w:tc>
      </w:tr>
      <w:tr w:rsidR="00DB1607" w:rsidRPr="00B95EB3" w14:paraId="262112B1" w14:textId="77777777">
        <w:tc>
          <w:tcPr>
            <w:tcW w:w="0" w:type="auto"/>
          </w:tcPr>
          <w:p w14:paraId="18B42A4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DS18B20</w:t>
            </w:r>
          </w:p>
        </w:tc>
        <w:tc>
          <w:tcPr>
            <w:tcW w:w="0" w:type="auto"/>
          </w:tcPr>
          <w:p w14:paraId="52C68D2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CRC against hand-worked values, a valid reading, a corrupted CRC, an invalid configuration byte and the 85 °C power-on value, with no temperature returned on any error</w:t>
            </w:r>
          </w:p>
        </w:tc>
      </w:tr>
      <w:tr w:rsidR="00DB1607" w:rsidRPr="00B95EB3" w14:paraId="2D79E941" w14:textId="77777777">
        <w:tc>
          <w:tcPr>
            <w:tcW w:w="0" w:type="auto"/>
          </w:tcPr>
          <w:p w14:paraId="5DD6D2C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TSL2591</w:t>
            </w:r>
          </w:p>
        </w:tc>
        <w:tc>
          <w:tcPr>
            <w:tcW w:w="0" w:type="auto"/>
          </w:tcPr>
          <w:p w14:paraId="1560611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Lowering gain on saturation, raising it in the dark, no step past either end, the lux formula at zero and typical counts</w:t>
            </w:r>
          </w:p>
        </w:tc>
      </w:tr>
      <w:tr w:rsidR="00DB1607" w:rsidRPr="00B95EB3" w14:paraId="1D1B9D87" w14:textId="77777777">
        <w:tc>
          <w:tcPr>
            <w:tcW w:w="0" w:type="auto"/>
          </w:tcPr>
          <w:p w14:paraId="38F62F0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Sleep backoff</w:t>
            </w:r>
          </w:p>
        </w:tc>
        <w:tc>
          <w:tcPr>
            <w:tcW w:w="0" w:type="auto"/>
          </w:tcPr>
          <w:p w14:paraId="577776F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The 5, 15 and 30 minute sequence and interval clamping</w:t>
            </w:r>
          </w:p>
        </w:tc>
      </w:tr>
      <w:tr w:rsidR="00DB1607" w:rsidRPr="00B95EB3" w14:paraId="590E5424" w14:textId="77777777">
        <w:tc>
          <w:tcPr>
            <w:tcW w:w="0" w:type="auto"/>
          </w:tcPr>
          <w:p w14:paraId="4776F59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Adaptive settle</w:t>
            </w:r>
          </w:p>
        </w:tc>
        <w:tc>
          <w:tcPr>
            <w:tcW w:w="0" w:type="auto"/>
          </w:tcPr>
          <w:p w14:paraId="39B7BE5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Acceptance on agreement, rejection on spread, timeout at the upper limit</w:t>
            </w:r>
          </w:p>
        </w:tc>
      </w:tr>
      <w:tr w:rsidR="00DB1607" w:rsidRPr="00B95EB3" w14:paraId="0B47FB92" w14:textId="77777777">
        <w:tc>
          <w:tcPr>
            <w:tcW w:w="0" w:type="auto"/>
          </w:tcPr>
          <w:p w14:paraId="15BED3E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Wi-Fi retry</w:t>
            </w:r>
          </w:p>
        </w:tc>
        <w:tc>
          <w:tcPr>
            <w:tcW w:w="0" w:type="auto"/>
          </w:tcPr>
          <w:p w14:paraId="54D505A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Attempt counting and per-attempt timeout</w:t>
            </w:r>
          </w:p>
        </w:tc>
      </w:tr>
    </w:tbl>
    <w:p w14:paraId="638AC037"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These tests check the logic only. The sketches that call them have not been compiled against the ESP32 toolchain in the refactoring environment, so the bench tests in Section 4.4 remain the evidence that the node reads correctly.</w:t>
      </w:r>
    </w:p>
    <w:p w14:paraId="5CFCF650" w14:textId="77777777" w:rsidR="00DB1607" w:rsidRPr="00B95EB3" w:rsidRDefault="00000000">
      <w:pPr>
        <w:pStyle w:val="Heading2"/>
        <w:rPr>
          <w:rFonts w:asciiTheme="majorHAnsi" w:hAnsiTheme="majorHAnsi" w:cstheme="majorHAnsi"/>
        </w:rPr>
      </w:pPr>
      <w:bookmarkStart w:id="216" w:name="camera-firmware-and-analysis-service"/>
      <w:bookmarkStart w:id="217" w:name="_Toc241565767"/>
      <w:bookmarkEnd w:id="208"/>
      <w:bookmarkEnd w:id="214"/>
      <w:r w:rsidRPr="00B95EB3">
        <w:rPr>
          <w:rFonts w:asciiTheme="majorHAnsi" w:hAnsiTheme="majorHAnsi" w:cstheme="majorHAnsi"/>
        </w:rPr>
        <w:t>5.3 Camera Firmware and Analysis Service</w:t>
      </w:r>
      <w:bookmarkEnd w:id="217"/>
    </w:p>
    <w:p w14:paraId="6F825053" w14:textId="77777777" w:rsidR="00DB1607" w:rsidRPr="00B95EB3" w:rsidRDefault="00000000">
      <w:pPr>
        <w:pStyle w:val="Heading3"/>
        <w:rPr>
          <w:rFonts w:asciiTheme="majorHAnsi" w:hAnsiTheme="majorHAnsi" w:cstheme="majorHAnsi"/>
        </w:rPr>
      </w:pPr>
      <w:bookmarkStart w:id="218" w:name="camera-firmware"/>
      <w:bookmarkStart w:id="219" w:name="_Toc241565768"/>
      <w:r w:rsidRPr="00B95EB3">
        <w:rPr>
          <w:rFonts w:asciiTheme="majorHAnsi" w:hAnsiTheme="majorHAnsi" w:cstheme="majorHAnsi"/>
        </w:rPr>
        <w:t>5.3.1 Camera Firmware</w:t>
      </w:r>
      <w:bookmarkEnd w:id="219"/>
    </w:p>
    <w:p w14:paraId="75506441"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camera firmware wakes, initialises the camera, captures one frame and switches the camera off before starting Wi-Fi, so the two largest loads never run together. It posts the JPEG to the analysis service over HTTPS with the device token and user identifier in the headers, reads the wake interval from the reply and sleeps. Section 3.7.4 lists its safeguards. Two details came from failures during development. The original fallback slept for 60 s when the server did not reply, which would have drained a battery in hours during a router outage, so it became 30 minutes with a 5, 15 and 30 minute backoff. The original also read the wake interval only from a successful reply, so an error reply that carried an interval was ignored. It now reads the interval from any reply that contains one.</w:t>
      </w:r>
    </w:p>
    <w:p w14:paraId="2823053B" w14:textId="77777777" w:rsidR="00DB1607" w:rsidRPr="00B95EB3" w:rsidRDefault="00000000">
      <w:pPr>
        <w:pStyle w:val="Heading3"/>
        <w:rPr>
          <w:rFonts w:asciiTheme="majorHAnsi" w:hAnsiTheme="majorHAnsi" w:cstheme="majorHAnsi"/>
        </w:rPr>
      </w:pPr>
      <w:bookmarkStart w:id="220" w:name="corrections-to-the-state-machine"/>
      <w:bookmarkStart w:id="221" w:name="_Toc241565769"/>
      <w:bookmarkEnd w:id="218"/>
      <w:r w:rsidRPr="00B95EB3">
        <w:rPr>
          <w:rFonts w:asciiTheme="majorHAnsi" w:hAnsiTheme="majorHAnsi" w:cstheme="majorHAnsi"/>
        </w:rPr>
        <w:t>5.3.2 Corrections to the State Machine</w:t>
      </w:r>
      <w:bookmarkEnd w:id="221"/>
    </w:p>
    <w:p w14:paraId="628C6666"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A review of the analysis service before hosting found four faults in the camera state machine, each of which would have made the recorded camera series misrepresent the stated design.</w:t>
      </w:r>
    </w:p>
    <w:p w14:paraId="3F413936" w14:textId="77777777" w:rsidR="00DB1607" w:rsidRPr="00B95EB3" w:rsidRDefault="00000000">
      <w:pPr>
        <w:pStyle w:val="Compact"/>
        <w:numPr>
          <w:ilvl w:val="0"/>
          <w:numId w:val="6"/>
        </w:numPr>
        <w:rPr>
          <w:rFonts w:asciiTheme="majorHAnsi" w:hAnsiTheme="majorHAnsi" w:cstheme="majorHAnsi"/>
        </w:rPr>
      </w:pPr>
      <w:r w:rsidRPr="00B95EB3">
        <w:rPr>
          <w:rFonts w:asciiTheme="majorHAnsi" w:hAnsiTheme="majorHAnsi" w:cstheme="majorHAnsi"/>
        </w:rPr>
        <w:t>The obstruction state could never be reported. The code assigned it, but a later branch always overwrote it with the dynamic or base state, because a jump large enough to count as an obstruction is also large enough to count as dynamic. The branches are now exclusive and checked in priority order: obstruction, then dynamic, then base.</w:t>
      </w:r>
    </w:p>
    <w:p w14:paraId="443CA482" w14:textId="77777777" w:rsidR="00DB1607" w:rsidRPr="00B95EB3" w:rsidRDefault="00000000">
      <w:pPr>
        <w:pStyle w:val="Compact"/>
        <w:numPr>
          <w:ilvl w:val="0"/>
          <w:numId w:val="6"/>
        </w:numPr>
        <w:rPr>
          <w:rFonts w:asciiTheme="majorHAnsi" w:hAnsiTheme="majorHAnsi" w:cstheme="majorHAnsi"/>
        </w:rPr>
      </w:pPr>
      <w:r w:rsidRPr="00B95EB3">
        <w:rPr>
          <w:rFonts w:asciiTheme="majorHAnsi" w:hAnsiTheme="majorHAnsi" w:cstheme="majorHAnsi"/>
        </w:rPr>
        <w:t>The state and the smoothed baseline were returned together but stored as one text value, so the next frame could not recover the baseline. They are now stored as a pair, and the reader accepts both the old and the new forms.</w:t>
      </w:r>
    </w:p>
    <w:p w14:paraId="657FEB89" w14:textId="77777777" w:rsidR="00DB1607" w:rsidRPr="00B95EB3" w:rsidRDefault="00000000">
      <w:pPr>
        <w:pStyle w:val="Compact"/>
        <w:numPr>
          <w:ilvl w:val="0"/>
          <w:numId w:val="6"/>
        </w:numPr>
        <w:rPr>
          <w:rFonts w:asciiTheme="majorHAnsi" w:hAnsiTheme="majorHAnsi" w:cstheme="majorHAnsi"/>
        </w:rPr>
      </w:pPr>
      <w:r w:rsidRPr="00B95EB3">
        <w:rPr>
          <w:rFonts w:asciiTheme="majorHAnsi" w:hAnsiTheme="majorHAnsi" w:cstheme="majorHAnsi"/>
        </w:rPr>
        <w:t>The comparison used the previous frame’s raw green ratio as its baseline instead of the smoothed value, which meant the smoothing had no effect. The smoothed value is now recovered from the stored pair.</w:t>
      </w:r>
    </w:p>
    <w:p w14:paraId="777BDE94" w14:textId="77777777" w:rsidR="00DB1607" w:rsidRPr="00B95EB3" w:rsidRDefault="00000000">
      <w:pPr>
        <w:pStyle w:val="Compact"/>
        <w:numPr>
          <w:ilvl w:val="0"/>
          <w:numId w:val="6"/>
        </w:numPr>
        <w:rPr>
          <w:rFonts w:asciiTheme="majorHAnsi" w:hAnsiTheme="majorHAnsi" w:cstheme="majorHAnsi"/>
        </w:rPr>
      </w:pPr>
      <w:r w:rsidRPr="00B95EB3">
        <w:rPr>
          <w:rFonts w:asciiTheme="majorHAnsi" w:hAnsiTheme="majorHAnsi" w:cstheme="majorHAnsi"/>
        </w:rPr>
        <w:t>The obstruction state had no exit, so once entered, the camera stayed on the obstruction schedule indefinitely. It now returns to base when a frame comes back within 0.15 of the baseline.</w:t>
      </w:r>
    </w:p>
    <w:p w14:paraId="6616BE9D"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schedule also contained test intervals of 60 s to 100 s in its active path, and it computed times in the server’s own time zone. The real daylight slots were restored, times are computed in Singapore time, and the test intervals are available only when a test-mode setting is switched on.</w:t>
      </w:r>
    </w:p>
    <w:p w14:paraId="119B67C7" w14:textId="77777777" w:rsidR="00DB1607" w:rsidRPr="00B95EB3" w:rsidRDefault="00000000">
      <w:pPr>
        <w:pStyle w:val="Heading3"/>
        <w:rPr>
          <w:rFonts w:asciiTheme="majorHAnsi" w:hAnsiTheme="majorHAnsi" w:cstheme="majorHAnsi"/>
        </w:rPr>
      </w:pPr>
      <w:bookmarkStart w:id="222" w:name="verification-1"/>
      <w:bookmarkStart w:id="223" w:name="_Toc241565770"/>
      <w:bookmarkEnd w:id="220"/>
      <w:r w:rsidRPr="00B95EB3">
        <w:rPr>
          <w:rFonts w:asciiTheme="majorHAnsi" w:hAnsiTheme="majorHAnsi" w:cstheme="majorHAnsi"/>
        </w:rPr>
        <w:t>5.3.3 Verification</w:t>
      </w:r>
      <w:bookmarkEnd w:id="223"/>
    </w:p>
    <w:p w14:paraId="11E8EF80"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camera service does not yet have an automated test suite in the repository. An earlier upload test script was removed with the old service. The corrections above have therefore not yet been checked by an automated test, and Section 4.4.6 defines the labelled-sequence test that will check them. Adding that sequence as an automated test, with Supabase replaced by an in-memory fake as the digital twin’s tests do, is a straightforward extension and is listed in Section 8.4.</w:t>
      </w:r>
    </w:p>
    <w:p w14:paraId="3038A970" w14:textId="77777777" w:rsidR="00DB1607" w:rsidRPr="00B95EB3" w:rsidRDefault="00000000">
      <w:pPr>
        <w:pStyle w:val="Heading2"/>
        <w:rPr>
          <w:rFonts w:asciiTheme="majorHAnsi" w:hAnsiTheme="majorHAnsi" w:cstheme="majorHAnsi"/>
        </w:rPr>
      </w:pPr>
      <w:bookmarkStart w:id="224" w:name="digital-twin-service-1"/>
      <w:bookmarkStart w:id="225" w:name="_Toc241565771"/>
      <w:bookmarkEnd w:id="216"/>
      <w:bookmarkEnd w:id="222"/>
      <w:r w:rsidRPr="00B95EB3">
        <w:rPr>
          <w:rFonts w:asciiTheme="majorHAnsi" w:hAnsiTheme="majorHAnsi" w:cstheme="majorHAnsi"/>
        </w:rPr>
        <w:t>5.4 Digital Twin Service</w:t>
      </w:r>
      <w:bookmarkEnd w:id="225"/>
    </w:p>
    <w:p w14:paraId="08C90069" w14:textId="77777777" w:rsidR="00DB1607" w:rsidRPr="00B95EB3" w:rsidRDefault="00000000">
      <w:pPr>
        <w:pStyle w:val="Heading3"/>
        <w:rPr>
          <w:rFonts w:asciiTheme="majorHAnsi" w:hAnsiTheme="majorHAnsi" w:cstheme="majorHAnsi"/>
        </w:rPr>
      </w:pPr>
      <w:bookmarkStart w:id="226" w:name="from-client-side-rules-to-a-server-model"/>
      <w:bookmarkStart w:id="227" w:name="_Toc241565772"/>
      <w:r w:rsidRPr="00B95EB3">
        <w:rPr>
          <w:rFonts w:asciiTheme="majorHAnsi" w:hAnsiTheme="majorHAnsi" w:cstheme="majorHAnsi"/>
        </w:rPr>
        <w:t>5.4.1 From Client-Side Rules to a Server Model</w:t>
      </w:r>
      <w:bookmarkEnd w:id="227"/>
    </w:p>
    <w:p w14:paraId="22218401"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chemistry rules were first written in Dart inside the mobile application, where each card computed its own assessment from the sensor history. This caused two problems. The logic could not advance while the application was closed, so the modelled nitrogen pools had no way to follow the pond between uses. The same rules also had to be kept identical across several cards. The rules were therefore ported to Python as a server-side engine, with the same rate constants and validation logic, and the application now reads the result. The Python engine is the single source of the chemistry rules. The evaporation and algae engines were written on the server from the start.</w:t>
      </w:r>
    </w:p>
    <w:p w14:paraId="7AD1D541" w14:textId="77777777" w:rsidR="00DB1607" w:rsidRPr="00B95EB3" w:rsidRDefault="00000000">
      <w:pPr>
        <w:pStyle w:val="Heading3"/>
        <w:rPr>
          <w:rFonts w:asciiTheme="majorHAnsi" w:hAnsiTheme="majorHAnsi" w:cstheme="majorHAnsi"/>
        </w:rPr>
      </w:pPr>
      <w:bookmarkStart w:id="228" w:name="validation-gate"/>
      <w:bookmarkStart w:id="229" w:name="_Toc241565773"/>
      <w:bookmarkEnd w:id="226"/>
      <w:r w:rsidRPr="00B95EB3">
        <w:rPr>
          <w:rFonts w:asciiTheme="majorHAnsi" w:hAnsiTheme="majorHAnsi" w:cstheme="majorHAnsi"/>
        </w:rPr>
        <w:t>5.4.2 Validation Gate</w:t>
      </w:r>
      <w:bookmarkEnd w:id="229"/>
    </w:p>
    <w:p w14:paraId="5EEF15F9"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Every sensor sample passes through a validation gate before any engine uses it (Section 3.9.3). Table 5.3 lists the rules. Each rejected or flagged value is replaced by the last trusted value for that channel and carries a reason that reaches the application as a sensor warning.</w:t>
      </w:r>
    </w:p>
    <w:p w14:paraId="152AD8F0"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5.3. Validation gate rules. The rate check is skipped when a water change or top-up was logged within 6 hours, and every channel is flagged as possibly stalled after four identical readings.</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271"/>
        <w:gridCol w:w="1514"/>
        <w:gridCol w:w="1683"/>
        <w:gridCol w:w="4718"/>
      </w:tblGrid>
      <w:tr w:rsidR="00DB1607" w:rsidRPr="00B95EB3" w14:paraId="55A18B56"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27D11CB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Channel</w:t>
            </w:r>
          </w:p>
        </w:tc>
        <w:tc>
          <w:tcPr>
            <w:tcW w:w="0" w:type="auto"/>
            <w:shd w:val="clear" w:color="auto" w:fill="EDEFF2"/>
          </w:tcPr>
          <w:p w14:paraId="1C488FA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Plausible range</w:t>
            </w:r>
          </w:p>
        </w:tc>
        <w:tc>
          <w:tcPr>
            <w:tcW w:w="0" w:type="auto"/>
            <w:shd w:val="clear" w:color="auto" w:fill="EDEFF2"/>
          </w:tcPr>
          <w:p w14:paraId="26BB98F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Maximum rate</w:t>
            </w:r>
          </w:p>
        </w:tc>
        <w:tc>
          <w:tcPr>
            <w:tcW w:w="0" w:type="auto"/>
            <w:shd w:val="clear" w:color="auto" w:fill="EDEFF2"/>
          </w:tcPr>
          <w:p w14:paraId="05E8F8E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Extra rule</w:t>
            </w:r>
          </w:p>
        </w:tc>
      </w:tr>
      <w:tr w:rsidR="00DB1607" w:rsidRPr="00B95EB3" w14:paraId="11CDF800" w14:textId="77777777">
        <w:tc>
          <w:tcPr>
            <w:tcW w:w="0" w:type="auto"/>
          </w:tcPr>
          <w:p w14:paraId="316B3EC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pH</w:t>
            </w:r>
          </w:p>
        </w:tc>
        <w:tc>
          <w:tcPr>
            <w:tcW w:w="0" w:type="auto"/>
          </w:tcPr>
          <w:p w14:paraId="7A543EA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4.0 to 10.0</w:t>
            </w:r>
          </w:p>
        </w:tc>
        <w:tc>
          <w:tcPr>
            <w:tcW w:w="0" w:type="auto"/>
          </w:tcPr>
          <w:p w14:paraId="0CF41E6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1.0 pH per hour</w:t>
            </w:r>
          </w:p>
        </w:tc>
        <w:tc>
          <w:tcPr>
            <w:tcW w:w="0" w:type="auto"/>
          </w:tcPr>
          <w:p>
            <w:r>
              <w:t>N/A</w:t>
            </w:r>
          </w:p>
        </w:tc>
      </w:tr>
      <w:tr w:rsidR="00DB1607" w:rsidRPr="00B95EB3" w14:paraId="52CBA433" w14:textId="77777777">
        <w:tc>
          <w:tcPr>
            <w:tcW w:w="0" w:type="auto"/>
          </w:tcPr>
          <w:p w14:paraId="25AFD2F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Temperature</w:t>
            </w:r>
          </w:p>
        </w:tc>
        <w:tc>
          <w:tcPr>
            <w:tcW w:w="0" w:type="auto"/>
          </w:tcPr>
          <w:p w14:paraId="653D4C0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−5 °C to 45 °C</w:t>
            </w:r>
          </w:p>
        </w:tc>
        <w:tc>
          <w:tcPr>
            <w:tcW w:w="0" w:type="auto"/>
          </w:tcPr>
          <w:p w14:paraId="7B9BBEB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5 °C per hour</w:t>
            </w:r>
          </w:p>
        </w:tc>
        <w:tc>
          <w:tcPr>
            <w:tcW w:w="0" w:type="auto"/>
          </w:tcPr>
          <w:p>
            <w:r>
              <w:t>N/A</w:t>
            </w:r>
          </w:p>
        </w:tc>
      </w:tr>
      <w:tr w:rsidR="00DB1607" w:rsidRPr="00B95EB3" w14:paraId="7B5EFEC9" w14:textId="77777777">
        <w:tc>
          <w:tcPr>
            <w:tcW w:w="0" w:type="auto"/>
          </w:tcPr>
          <w:p w14:paraId="69670F9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TDS</w:t>
            </w:r>
          </w:p>
        </w:tc>
        <w:tc>
          <w:tcPr>
            <w:tcW w:w="0" w:type="auto"/>
          </w:tcPr>
          <w:p w14:paraId="31CE169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0 to 3000 ppm</w:t>
            </w:r>
          </w:p>
        </w:tc>
        <w:tc>
          <w:tcPr>
            <w:tcW w:w="0" w:type="auto"/>
          </w:tcPr>
          <w:p w14:paraId="4A4610B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150 ppm per hour</w:t>
            </w:r>
          </w:p>
        </w:tc>
        <w:tc>
          <w:tcPr>
            <w:tcW w:w="0" w:type="auto"/>
          </w:tcPr>
          <w:p w14:paraId="7CFC6FE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Below 5 ppm the probe is taken to be out of the water</w:t>
            </w:r>
          </w:p>
        </w:tc>
      </w:tr>
      <w:tr w:rsidR="00DB1607" w:rsidRPr="00B95EB3" w14:paraId="38AD8DED" w14:textId="77777777">
        <w:tc>
          <w:tcPr>
            <w:tcW w:w="0" w:type="auto"/>
          </w:tcPr>
          <w:p w14:paraId="066152A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Light</w:t>
            </w:r>
          </w:p>
        </w:tc>
        <w:tc>
          <w:tcPr>
            <w:tcW w:w="0" w:type="auto"/>
          </w:tcPr>
          <w:p w14:paraId="5EAC2D8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0 to 150,000 lux</w:t>
            </w:r>
          </w:p>
        </w:tc>
        <w:tc>
          <w:tcPr>
            <w:tcW w:w="0" w:type="auto"/>
          </w:tcPr>
          <w:p w14:paraId="0E5B669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No rate check</w:t>
            </w:r>
          </w:p>
        </w:tc>
        <w:tc>
          <w:tcPr>
            <w:tcW w:w="0" w:type="auto"/>
          </w:tcPr>
          <w:p w14:paraId="637C755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Light changes legitimately in seconds</w:t>
            </w:r>
          </w:p>
        </w:tc>
      </w:tr>
    </w:tbl>
    <w:p w14:paraId="752A8D58"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The rate limit is what connects owner events to sensor validation. A 20 % water change can move TDS by tens of ppm within an hour, which would otherwise look like drift. Checking for a logged volume event within 6 hours lets the gate accept a real step while still rejecting an unexplained one.</w:t>
      </w:r>
    </w:p>
    <w:p w14:paraId="7C7D5769" w14:textId="77777777" w:rsidR="00DB1607" w:rsidRPr="00B95EB3" w:rsidRDefault="00000000">
      <w:pPr>
        <w:pStyle w:val="Heading3"/>
        <w:rPr>
          <w:rFonts w:asciiTheme="majorHAnsi" w:hAnsiTheme="majorHAnsi" w:cstheme="majorHAnsi"/>
        </w:rPr>
      </w:pPr>
      <w:bookmarkStart w:id="230" w:name="one-aggregate-one-lock-one-snapshot"/>
      <w:bookmarkStart w:id="231" w:name="_Toc241565774"/>
      <w:bookmarkEnd w:id="228"/>
      <w:r w:rsidRPr="00B95EB3">
        <w:rPr>
          <w:rFonts w:asciiTheme="majorHAnsi" w:hAnsiTheme="majorHAnsi" w:cstheme="majorHAnsi"/>
        </w:rPr>
        <w:t>5.4.3 One Aggregate, One Lock, One Snapshot</w:t>
      </w:r>
      <w:bookmarkEnd w:id="231"/>
    </w:p>
    <w:p w14:paraId="6F8F4D74"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Section 3.9.1 explained why the three engines live in one pond twin object. In the implementation, every change goes through one registry function that takes the pond’s lock, loads the twin (restoring it from its Supabase snapshot if it is not in memory), applies the change, saves the new snapshot and releases the lock. The event endpoints and the poller both use this function, so there is exactly one path by which state can change. Snapshots carry a version and a separate section per engine. Snapshots from before the three engines were combined held only the chemistry engine, and the loader recognises this older form and wraps it, so no pond lost its accumulated state when the structure changed.</w:t>
      </w:r>
    </w:p>
    <w:p w14:paraId="679B5426" w14:textId="77777777" w:rsidR="00DB1607" w:rsidRPr="00B95EB3" w:rsidRDefault="00000000">
      <w:pPr>
        <w:pStyle w:val="Heading3"/>
        <w:rPr>
          <w:rFonts w:asciiTheme="majorHAnsi" w:hAnsiTheme="majorHAnsi" w:cstheme="majorHAnsi"/>
        </w:rPr>
      </w:pPr>
      <w:bookmarkStart w:id="232" w:name="forward-projection"/>
      <w:bookmarkStart w:id="233" w:name="_Toc241565775"/>
      <w:bookmarkEnd w:id="230"/>
      <w:r w:rsidRPr="00B95EB3">
        <w:rPr>
          <w:rFonts w:asciiTheme="majorHAnsi" w:hAnsiTheme="majorHAnsi" w:cstheme="majorHAnsi"/>
        </w:rPr>
        <w:t>5.4.4 Forward Projection</w:t>
      </w:r>
      <w:bookmarkEnd w:id="233"/>
    </w:p>
    <w:p w14:paraId="4CF81D21"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Each engine can project forward day by day under the NEA 4-day outlook. The chemistry projection assumes the pond’s average daily feed over its recent feeding history, and reports the first day each risk level is reached. Beyond the 4-day outlook it uses the pond’s own recent daily sensor averages as the assumed conditions. Two implementation choices keep projections consistent with the live status. The chemistry engine’s time step is a single function used both for real elapsed time and for simulated days, so a forecast day and a real day behave identically under the same conditions. The risk thresholds are also shared constants used by both the live assessment and the projection, so “first day at watch level” means the same thing as the current watch status. Projections run on copies of the engine state and never change it, so a read-only request cannot corrupt a pond’s state.</w:t>
      </w:r>
    </w:p>
    <w:p w14:paraId="65826755" w14:textId="77777777" w:rsidR="00DB1607" w:rsidRPr="00B95EB3" w:rsidRDefault="00000000">
      <w:pPr>
        <w:pStyle w:val="Heading3"/>
        <w:rPr>
          <w:rFonts w:asciiTheme="majorHAnsi" w:hAnsiTheme="majorHAnsi" w:cstheme="majorHAnsi"/>
        </w:rPr>
      </w:pPr>
      <w:bookmarkStart w:id="234" w:name="grounding-the-algae-model"/>
      <w:bookmarkStart w:id="235" w:name="_Toc241565776"/>
      <w:bookmarkEnd w:id="232"/>
      <w:r w:rsidRPr="00B95EB3">
        <w:rPr>
          <w:rFonts w:asciiTheme="majorHAnsi" w:hAnsiTheme="majorHAnsi" w:cstheme="majorHAnsi"/>
        </w:rPr>
        <w:t>5.4.5 Grounding the Algae Model</w:t>
      </w:r>
      <w:bookmarkEnd w:id="235"/>
    </w:p>
    <w:p w14:paraId="56C31ABE"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algae engine combines three kinds of evidence with different reliability. The model fills the hours between camera frames. Each new camera frame pulls the modelled level toward the measurement with a weight of 0.7, so the measurement dominates without a single noisy frame replacing the model outright. An owner’s rating of a frame (none, minor, moderate, severe, or blocked view) pulls with a weight of 0.85, above the camera, because a person looking at the pond is not fooled by glare or a leaf on the lens.</w:t>
      </w:r>
    </w:p>
    <w:p w14:paraId="15E5D653"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Ratings do more than correct the current level. With at least two ratings in each class, the engine places the watch threshold between the minor and moderate ratings and the action threshold between moderate and severe, so the thresholds follow what this owner considers minor or severe in this camera’s view. Until then it uses absolute thresholds of 0.25 and 0.40. A rating of “blocked view” removes nearby frames from the growth fit. The frames an owner rates as clear are also used to detect camera drift: if their green ratio in the later half of the history is at least 1.4 times the earlier half, the engine reports possible drift, and at 2.0 times it reports suspected drift, with a suggestion to clean the lens. The engine reports drift instead of correcting for it silently, because the right response to a fouled lens is to clean it. A rating can be undone, which restores the thresholds and history exactly as they were.</w:t>
      </w:r>
    </w:p>
    <w:p w14:paraId="2D5BE5D3"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Figure 5.2b shows the rating screen. It marks each class that still needs ratings, so the owner can see what the calibration is waiting for.</w:t>
      </w:r>
    </w:p>
    <w:p w14:paraId="398CA7EB" w14:textId="77777777" w:rsidR="00DB1607" w:rsidRPr="00B95EB3" w:rsidRDefault="00000000">
      <w:pPr>
        <w:pStyle w:val="Heading3"/>
        <w:rPr>
          <w:rFonts w:asciiTheme="majorHAnsi" w:hAnsiTheme="majorHAnsi" w:cstheme="majorHAnsi"/>
        </w:rPr>
      </w:pPr>
      <w:bookmarkStart w:id="236" w:name="faults-found-and-fixed-in-the-refactor"/>
      <w:bookmarkStart w:id="237" w:name="_Toc241565777"/>
      <w:bookmarkEnd w:id="234"/>
      <w:r w:rsidRPr="00B95EB3">
        <w:rPr>
          <w:rFonts w:asciiTheme="majorHAnsi" w:hAnsiTheme="majorHAnsi" w:cstheme="majorHAnsi"/>
        </w:rPr>
        <w:t>5.4.6 Faults Found and Fixed in the Refactor</w:t>
      </w:r>
      <w:bookmarkEnd w:id="237"/>
    </w:p>
    <w:p w14:paraId="6412BB29"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refactor rounds on the digital twin found two faults that the existing tests could not have caught.</w:t>
      </w:r>
    </w:p>
    <w:p w14:paraId="3DA2F71A"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chemistry engine kept a record per day of trusted pH, light and TDS readings, used for the buffering and TDS trends, and never removed old days. On a long-running service this grows without limit. A 30-day retention limit was added. While adding it, a second fault appeared: day keys were built as text without zero padding, so “2026-10-5” sorted before “2026-9-1,” and a pruning rule based on comparing keys would have deleted the wrong days around month boundaries. The pruning now compares real dates. A dedicated test covers both the retention limit and the month-boundary case.</w:t>
      </w:r>
    </w:p>
    <w:p w14:paraId="2FEE66C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algae engine parsed the full camera history twice per poll, once to assimilate new frames and once to refit the growth rate. The parsed history is now cached between the two steps, with a test confirming that the cached copy always matches a fresh parse.</w:t>
      </w:r>
    </w:p>
    <w:p w14:paraId="67EAB5D0" w14:textId="77777777" w:rsidR="00DB1607" w:rsidRPr="00B95EB3" w:rsidRDefault="00000000">
      <w:pPr>
        <w:pStyle w:val="Heading2"/>
        <w:rPr>
          <w:rFonts w:asciiTheme="majorHAnsi" w:hAnsiTheme="majorHAnsi" w:cstheme="majorHAnsi"/>
        </w:rPr>
      </w:pPr>
      <w:bookmarkStart w:id="238" w:name="X10fb94826ca9adc5b241bb60f3188a376c9fc7e"/>
      <w:bookmarkStart w:id="239" w:name="_Toc241565778"/>
      <w:bookmarkEnd w:id="224"/>
      <w:bookmarkEnd w:id="236"/>
      <w:r w:rsidRPr="00B95EB3">
        <w:rPr>
          <w:rFonts w:asciiTheme="majorHAnsi" w:hAnsiTheme="majorHAnsi" w:cstheme="majorHAnsi"/>
        </w:rPr>
        <w:t>5.5 Data Pipeline and the Server–Client Contract</w:t>
      </w:r>
      <w:bookmarkEnd w:id="239"/>
    </w:p>
    <w:p w14:paraId="324DE99E"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NEA observations and forecasts reach Supabase through a retrieval service that calls the data.gov.sg real-time API. The poller and the application both read them through the bundled dashboard function, which also carries the latest sensor values (Section 3.8). A shared module converts the NEA forecast into model inputs: the 2-hour nowcast text, falling back to the 4-day outlook, gives the rain context, and the outlook’s temperature, humidity and wind bands give each forecast day’s conditions, with wind converted from knots to metres per second for the Penman formula. Keeping this conversion in one module means the poller’s rain decision and the forecast endpoint’s cannot drift apart.</w:t>
      </w:r>
    </w:p>
    <w:p w14:paraId="7208324E"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main risk at the boundary between server and client is a field name. In Dart, reading a key that the server does not send returns null rather than raising an error, so a typing mistake shows up only as a blank or default value on screen. A contract test was written for this case. It extracts every key the Dart models read from the JSON, generates real responses from the Python engines, and checks that each key is present and has one of the values the Dart code handles. The test runs without a Dart compiler, which was not available in the refactoring environment.</w:t>
      </w:r>
    </w:p>
    <w:p w14:paraId="3F7EC75B" w14:textId="77777777" w:rsidR="00DB1607" w:rsidRPr="00B95EB3" w:rsidRDefault="00000000">
      <w:pPr>
        <w:pStyle w:val="Heading2"/>
        <w:rPr>
          <w:rFonts w:asciiTheme="majorHAnsi" w:hAnsiTheme="majorHAnsi" w:cstheme="majorHAnsi"/>
        </w:rPr>
      </w:pPr>
      <w:bookmarkStart w:id="240" w:name="mobile-application"/>
      <w:bookmarkStart w:id="241" w:name="_Toc241565779"/>
      <w:bookmarkEnd w:id="238"/>
      <w:r w:rsidRPr="00B95EB3">
        <w:rPr>
          <w:rFonts w:asciiTheme="majorHAnsi" w:hAnsiTheme="majorHAnsi" w:cstheme="majorHAnsi"/>
        </w:rPr>
        <w:t>5.6 Mobile Application</w:t>
      </w:r>
      <w:bookmarkEnd w:id="241"/>
    </w:p>
    <w:p w14:paraId="7DB2D2FC" w14:textId="77777777" w:rsidR="00DB1607" w:rsidRPr="00B95EB3" w:rsidRDefault="00000000">
      <w:pPr>
        <w:pStyle w:val="Heading3"/>
        <w:rPr>
          <w:rFonts w:asciiTheme="majorHAnsi" w:hAnsiTheme="majorHAnsi" w:cstheme="majorHAnsi"/>
        </w:rPr>
      </w:pPr>
      <w:bookmarkStart w:id="242" w:name="screens"/>
      <w:bookmarkStart w:id="243" w:name="_Toc241565780"/>
      <w:r w:rsidRPr="00B95EB3">
        <w:rPr>
          <w:rFonts w:asciiTheme="majorHAnsi" w:hAnsiTheme="majorHAnsi" w:cstheme="majorHAnsi"/>
        </w:rPr>
        <w:t>5.6.1 Screens</w:t>
      </w:r>
      <w:bookmarkEnd w:id="243"/>
    </w:p>
    <w:p w14:paraId="50550116"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dashboard (Figure 5.1a) opens with a weather ribbon showing the current NEA conditions and three outcome cards: temperature and feeding, pH and buffering, and algae and light. Each card leads with the value, gives a status level and a short advisory message, and opens a detail screen. The cards were redesigned in several rounds to lead with the outcome and cut explanatory text, since an owner checking the pond wants the status first.</w:t>
      </w:r>
    </w:p>
    <w:p w14:paraId="6817866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detail screens (Figure 5.2a) show the sensor history over 7 or 30 days with owner events marked on the same timeline, followed by the model’s lookahead cards: the evaporation and feed outlook for temperature, the water buffer status for pH and the algae outlook for light. A placeholder replaces a chart when there is too little data, rather than drawing a line through two points.</w:t>
      </w:r>
    </w:p>
    <w:p w14:paraId="698CF0D7"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log button opens a sheet with the four event types (Figure 5.1b). Each form asks only for the amount that matters to the model. The application writes the event to the intervention table first and then sends it to the digital twin. The write to Supabase is what the timeline reads, so it is done first and must succeed. Sending the event to the digital twin is treated as best effort, so a slow or unreachable model service does not block saving. The cost of this ordering is discussed in Section 5.8.</w:t>
      </w:r>
    </w:p>
    <w:p w14:paraId="5F0061DD"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Onboarding records the pond’s location, volume and estimated fish biomass, which set the model’s scale and select the weather stations. A species guide gives care parameters for common pond and aquarium species, drawn from a database built by the project’s scraper.</w:t>
      </w:r>
    </w:p>
    <w:p w14:paraId="2CB73B7F" w14:textId="77777777" w:rsidR="00DB1607" w:rsidRPr="00B95EB3" w:rsidRDefault="00000000">
      <w:pPr>
        <w:pStyle w:val="CaptionedFigure"/>
        <w:jc w:val="center"/>
        <w:rPr>
          <w:rFonts w:asciiTheme="majorHAnsi" w:hAnsiTheme="majorHAnsi" w:cstheme="majorHAnsi"/>
        </w:rPr>
      </w:pPr>
      <w:r w:rsidRPr="00B95EB3">
        <w:rPr>
          <w:rFonts w:asciiTheme="majorHAnsi" w:hAnsiTheme="majorHAnsi" w:cstheme="majorHAnsi"/>
          <w:noProof/>
        </w:rPr>
        <w:drawing>
          <wp:inline distT="0" distB="0" distL="0" distR="0" wp14:anchorId="6494DEF8" wp14:editId="3E3ABC4A">
            <wp:extent cx="4868545" cy="5437266"/>
            <wp:effectExtent l="0" t="0" r="0" b="0"/>
            <wp:docPr id="145" name="Picture" descr="Figure 5.1. (a) Dashboard with the NEA weather ribbon and the three outcome cards. (b) Event logging sheet."/>
            <wp:cNvGraphicFramePr/>
            <a:graphic xmlns:a="http://schemas.openxmlformats.org/drawingml/2006/main">
              <a:graphicData uri="http://schemas.openxmlformats.org/drawingml/2006/picture">
                <pic:pic xmlns:pic="http://schemas.openxmlformats.org/drawingml/2006/picture">
                  <pic:nvPicPr>
                    <pic:cNvPr id="146" name="Picture" descr="figs/app_dashboard_log.png"/>
                    <pic:cNvPicPr>
                      <a:picLocks noChangeAspect="1" noChangeArrowheads="1"/>
                    </pic:cNvPicPr>
                  </pic:nvPicPr>
                  <pic:blipFill>
                    <a:blip r:embed="rId8"/>
                    <a:stretch>
                      <a:fillRect/>
                    </a:stretch>
                  </pic:blipFill>
                  <pic:spPr bwMode="auto">
                    <a:xfrm>
                      <a:off x="0" y="0"/>
                      <a:ext cx="4868545" cy="5437266"/>
                    </a:xfrm>
                    <a:prstGeom prst="rect">
                      <a:avLst/>
                    </a:prstGeom>
                    <a:noFill/>
                    <a:ln w="9525">
                      <a:noFill/>
                      <a:headEnd/>
                      <a:tailEnd/>
                    </a:ln>
                  </pic:spPr>
                </pic:pic>
              </a:graphicData>
            </a:graphic>
          </wp:inline>
        </w:drawing>
      </w:r>
    </w:p>
    <w:p w14:paraId="0C72334F" w14:textId="77777777" w:rsidR="00DB1607" w:rsidRPr="00B95EB3" w:rsidRDefault="00000000">
      <w:pPr>
        <w:pStyle w:val="ImageCaption"/>
        <w:rPr>
          <w:rFonts w:asciiTheme="majorHAnsi" w:hAnsiTheme="majorHAnsi" w:cstheme="majorHAnsi"/>
        </w:rPr>
      </w:pPr>
      <w:r w:rsidRPr="00B95EB3">
        <w:rPr>
          <w:rFonts w:asciiTheme="majorHAnsi" w:hAnsiTheme="majorHAnsi" w:cstheme="majorHAnsi"/>
        </w:rPr>
        <w:t>Figure 5.1. (a) Dashboard with the NEA weather ribbon and the three outcome cards. (b) Event logging sheet.</w:t>
      </w:r>
    </w:p>
    <w:p w14:paraId="14270BB5" w14:textId="77777777" w:rsidR="00DB1607" w:rsidRPr="00B95EB3" w:rsidRDefault="00000000">
      <w:pPr>
        <w:pStyle w:val="CaptionedFigure"/>
        <w:jc w:val="center"/>
        <w:rPr>
          <w:rFonts w:asciiTheme="majorHAnsi" w:hAnsiTheme="majorHAnsi" w:cstheme="majorHAnsi"/>
        </w:rPr>
      </w:pPr>
      <w:r w:rsidRPr="00B95EB3">
        <w:rPr>
          <w:rFonts w:asciiTheme="majorHAnsi" w:hAnsiTheme="majorHAnsi" w:cstheme="majorHAnsi"/>
          <w:noProof/>
        </w:rPr>
        <w:drawing>
          <wp:inline distT="0" distB="0" distL="0" distR="0" wp14:anchorId="6E5647CF" wp14:editId="7F0DC3BC">
            <wp:extent cx="4868545" cy="5437266"/>
            <wp:effectExtent l="0" t="0" r="0" b="0"/>
            <wp:docPr id="148" name="Picture" descr="Figure 5.2. (a) Temperature detail screen with the 30-day timeline, event markers and the evaporation and feed outlook. (b) Algae rating card on the latest camera frame, with classes that still need ratings marked."/>
            <wp:cNvGraphicFramePr/>
            <a:graphic xmlns:a="http://schemas.openxmlformats.org/drawingml/2006/main">
              <a:graphicData uri="http://schemas.openxmlformats.org/drawingml/2006/picture">
                <pic:pic xmlns:pic="http://schemas.openxmlformats.org/drawingml/2006/picture">
                  <pic:nvPicPr>
                    <pic:cNvPr id="149" name="Picture" descr="figs/app_detail_rating.png"/>
                    <pic:cNvPicPr>
                      <a:picLocks noChangeAspect="1" noChangeArrowheads="1"/>
                    </pic:cNvPicPr>
                  </pic:nvPicPr>
                  <pic:blipFill>
                    <a:blip r:embed="rId9"/>
                    <a:stretch>
                      <a:fillRect/>
                    </a:stretch>
                  </pic:blipFill>
                  <pic:spPr bwMode="auto">
                    <a:xfrm>
                      <a:off x="0" y="0"/>
                      <a:ext cx="4868545" cy="5437266"/>
                    </a:xfrm>
                    <a:prstGeom prst="rect">
                      <a:avLst/>
                    </a:prstGeom>
                    <a:noFill/>
                    <a:ln w="9525">
                      <a:noFill/>
                      <a:headEnd/>
                      <a:tailEnd/>
                    </a:ln>
                  </pic:spPr>
                </pic:pic>
              </a:graphicData>
            </a:graphic>
          </wp:inline>
        </w:drawing>
      </w:r>
    </w:p>
    <w:p w14:paraId="38F8E676" w14:textId="77777777" w:rsidR="00DB1607" w:rsidRPr="00B95EB3" w:rsidRDefault="00000000">
      <w:pPr>
        <w:pStyle w:val="ImageCaption"/>
        <w:rPr>
          <w:rFonts w:asciiTheme="majorHAnsi" w:hAnsiTheme="majorHAnsi" w:cstheme="majorHAnsi"/>
        </w:rPr>
      </w:pPr>
      <w:r w:rsidRPr="00B95EB3">
        <w:rPr>
          <w:rFonts w:asciiTheme="majorHAnsi" w:hAnsiTheme="majorHAnsi" w:cstheme="majorHAnsi"/>
        </w:rPr>
        <w:t>Figure 5.2. (a) Temperature detail screen with the 30-day timeline, event markers and the evaporation and feed outlook. (b) Algae rating card on the latest camera frame, with classes that still need ratings marked.</w:t>
      </w:r>
    </w:p>
    <w:p w14:paraId="3FAE1030" w14:textId="77777777" w:rsidR="00DB1607" w:rsidRPr="00B95EB3" w:rsidRDefault="00000000">
      <w:pPr>
        <w:pStyle w:val="Heading3"/>
        <w:rPr>
          <w:rFonts w:asciiTheme="majorHAnsi" w:hAnsiTheme="majorHAnsi" w:cstheme="majorHAnsi"/>
        </w:rPr>
      </w:pPr>
      <w:bookmarkStart w:id="244" w:name="changes-made-in-the-refactor-1"/>
      <w:bookmarkStart w:id="245" w:name="_Toc241565781"/>
      <w:bookmarkEnd w:id="242"/>
      <w:r w:rsidRPr="00B95EB3">
        <w:rPr>
          <w:rFonts w:asciiTheme="majorHAnsi" w:hAnsiTheme="majorHAnsi" w:cstheme="majorHAnsi"/>
        </w:rPr>
        <w:t>5.6.2 Changes Made in the Refactor</w:t>
      </w:r>
      <w:bookmarkEnd w:id="245"/>
    </w:p>
    <w:p w14:paraId="13AFDAAE"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main finding on the application was that the pH card always computed its own full buffer assessment on the phone, even when the digital twin had already produced one. The two could disagree, and the owner had no way to tell which was shown. The card now shows the server’s assessment when it is available and marks it as such, and falls back to the local calculation only when the server does not respond within its timeout (Section 3.12). An earlier round fixed a navigation fault: switching tabs discarded the dashboard’s state, which cancelled its 30-second refresh timer, threw away its cached data and triggered a fresh network fetch each time the owner returned. Keeping each tab’s screen alive in the background fixed this. The same round moved the parsing of the sensor history out of the screen’s build step, where it had run on every redraw, so that it runs once per data refresh.</w:t>
      </w:r>
    </w:p>
    <w:p w14:paraId="5C65057F" w14:textId="77777777" w:rsidR="00DB1607" w:rsidRPr="00B95EB3" w:rsidRDefault="00000000">
      <w:pPr>
        <w:pStyle w:val="Heading3"/>
        <w:rPr>
          <w:rFonts w:asciiTheme="majorHAnsi" w:hAnsiTheme="majorHAnsi" w:cstheme="majorHAnsi"/>
        </w:rPr>
      </w:pPr>
      <w:bookmarkStart w:id="246" w:name="verification-2"/>
      <w:bookmarkStart w:id="247" w:name="_Toc241565782"/>
      <w:bookmarkEnd w:id="244"/>
      <w:r w:rsidRPr="00B95EB3">
        <w:rPr>
          <w:rFonts w:asciiTheme="majorHAnsi" w:hAnsiTheme="majorHAnsi" w:cstheme="majorHAnsi"/>
        </w:rPr>
        <w:t>5.6.3 Verification</w:t>
      </w:r>
      <w:bookmarkEnd w:id="247"/>
    </w:p>
    <w:p w14:paraId="2A90D37F"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Before the refactor the application had one test file, and it no longer compiled. The refactor added five test files: characterisation tests that fix the current behaviour of the temperature, pH and algae helper rules, widget tests for the pH card’s choice between the server assessment and the local fallback, and a test showing that the dashboard’s state survives a tab switch, which was confirmed to fail on the old code and pass on the fix. The refactor log records all of them passing. They were not re-run for this report because the Flutter toolchain was not available in the environment used for the backend and firmware tests. Writing the characterisation tests also exposed a quirk in the helper rules: the pH helper shifts each day by 6 hours before grouping, so N calendar days of data give only N − 1 groups that meet its minimum sample count. The contract test in Section 5.5 covers the part of the application most likely to fail silently.</w:t>
      </w:r>
    </w:p>
    <w:p w14:paraId="110E7A5E" w14:textId="77777777" w:rsidR="00DB1607" w:rsidRPr="00B95EB3" w:rsidRDefault="00000000">
      <w:pPr>
        <w:pStyle w:val="Heading2"/>
        <w:rPr>
          <w:rFonts w:asciiTheme="majorHAnsi" w:hAnsiTheme="majorHAnsi" w:cstheme="majorHAnsi"/>
        </w:rPr>
      </w:pPr>
      <w:bookmarkStart w:id="248" w:name="verification-summary"/>
      <w:bookmarkStart w:id="249" w:name="_Toc241565783"/>
      <w:bookmarkEnd w:id="240"/>
      <w:bookmarkEnd w:id="246"/>
      <w:r w:rsidRPr="00B95EB3">
        <w:rPr>
          <w:rFonts w:asciiTheme="majorHAnsi" w:hAnsiTheme="majorHAnsi" w:cstheme="majorHAnsi"/>
        </w:rPr>
        <w:t>5.7 Verification Summary</w:t>
      </w:r>
      <w:bookmarkEnd w:id="249"/>
    </w:p>
    <w:p w14:paraId="737929B5"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Table 5.4 summarises the automated tests. The backend and firmware suites were run on 28 September 2026 against the refactored code.</w:t>
      </w:r>
    </w:p>
    <w:p w14:paraId="0A42027D"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5.4. Automated verification. The backend suites total 297 checks with none failing.</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1361"/>
        <w:gridCol w:w="5465"/>
        <w:gridCol w:w="1064"/>
        <w:gridCol w:w="1296"/>
      </w:tblGrid>
      <w:tr w:rsidR="00DB1607" w:rsidRPr="00B95EB3" w14:paraId="23B786A6"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2166211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Suite</w:t>
            </w:r>
          </w:p>
        </w:tc>
        <w:tc>
          <w:tcPr>
            <w:tcW w:w="0" w:type="auto"/>
            <w:shd w:val="clear" w:color="auto" w:fill="EDEFF2"/>
          </w:tcPr>
          <w:p w14:paraId="66106B9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Scope</w:t>
            </w:r>
          </w:p>
        </w:tc>
        <w:tc>
          <w:tcPr>
            <w:tcW w:w="0" w:type="auto"/>
            <w:shd w:val="clear" w:color="auto" w:fill="EDEFF2"/>
          </w:tcPr>
          <w:p w14:paraId="1EFC397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Checks</w:t>
            </w:r>
          </w:p>
        </w:tc>
        <w:tc>
          <w:tcPr>
            <w:tcW w:w="0" w:type="auto"/>
            <w:shd w:val="clear" w:color="auto" w:fill="EDEFF2"/>
          </w:tcPr>
          <w:p w14:paraId="4D35CAF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Result</w:t>
            </w:r>
          </w:p>
        </w:tc>
      </w:tr>
      <w:tr w:rsidR="00DB1607" w:rsidRPr="00B95EB3" w14:paraId="0AFD0227" w14:textId="77777777">
        <w:tc>
          <w:tcPr>
            <w:tcW w:w="0" w:type="auto"/>
          </w:tcPr>
          <w:p w14:paraId="52B554E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Firmware host tests</w:t>
            </w:r>
          </w:p>
        </w:tc>
        <w:tc>
          <w:tcPr>
            <w:tcW w:w="0" w:type="auto"/>
          </w:tcPr>
          <w:p w14:paraId="1186665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Six sensing libraries and two Wi-Fi headers (Table 5.2)</w:t>
            </w:r>
          </w:p>
        </w:tc>
        <w:tc>
          <w:tcPr>
            <w:tcW w:w="0" w:type="auto"/>
          </w:tcPr>
          <w:p w14:paraId="6C11550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66</w:t>
            </w:r>
          </w:p>
        </w:tc>
        <w:tc>
          <w:tcPr>
            <w:tcW w:w="0" w:type="auto"/>
          </w:tcPr>
          <w:p w14:paraId="6FF7A83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All pass</w:t>
            </w:r>
          </w:p>
        </w:tc>
      </w:tr>
      <w:tr w:rsidR="00DB1607" w:rsidRPr="00B95EB3" w14:paraId="683DFAD6" w14:textId="77777777">
        <w:tc>
          <w:tcPr>
            <w:tcW w:w="0" w:type="auto"/>
          </w:tcPr>
          <w:p w14:paraId="2748404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Pond twin</w:t>
            </w:r>
          </w:p>
        </w:tc>
        <w:tc>
          <w:tcPr>
            <w:tcW w:w="0" w:type="auto"/>
          </w:tcPr>
          <w:p>
            <w:r>
              <w:t>A poll advances all three engines. Each event resets the right engines. Resets survive a snapshot round trip.</w:t>
            </w:r>
          </w:p>
        </w:tc>
        <w:tc>
          <w:tcPr>
            <w:tcW w:w="0" w:type="auto"/>
          </w:tcPr>
          <w:p w14:paraId="344B444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61</w:t>
            </w:r>
          </w:p>
        </w:tc>
        <w:tc>
          <w:tcPr>
            <w:tcW w:w="0" w:type="auto"/>
          </w:tcPr>
          <w:p w14:paraId="4687F13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All pass</w:t>
            </w:r>
          </w:p>
        </w:tc>
      </w:tr>
      <w:tr w:rsidR="00DB1607" w:rsidRPr="00B95EB3" w14:paraId="26C7CC04" w14:textId="77777777">
        <w:tc>
          <w:tcPr>
            <w:tcW w:w="0" w:type="auto"/>
          </w:tcPr>
          <w:p w14:paraId="2CCCC97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Poller integration</w:t>
            </w:r>
          </w:p>
        </w:tc>
        <w:tc>
          <w:tcPr>
            <w:tcW w:w="0" w:type="auto"/>
          </w:tcPr>
          <w:p w14:paraId="475ADA3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The real poll cycle and event handlers against an in-memory Supabase, including snapshot persistence and evaluation rows</w:t>
            </w:r>
          </w:p>
        </w:tc>
        <w:tc>
          <w:tcPr>
            <w:tcW w:w="0" w:type="auto"/>
          </w:tcPr>
          <w:p w14:paraId="03732C7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83</w:t>
            </w:r>
          </w:p>
        </w:tc>
        <w:tc>
          <w:tcPr>
            <w:tcW w:w="0" w:type="auto"/>
          </w:tcPr>
          <w:p w14:paraId="747E27B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All pass</w:t>
            </w:r>
          </w:p>
        </w:tc>
      </w:tr>
      <w:tr w:rsidR="00DB1607" w:rsidRPr="00B95EB3" w14:paraId="73940CC1" w14:textId="77777777">
        <w:tc>
          <w:tcPr>
            <w:tcW w:w="0" w:type="auto"/>
          </w:tcPr>
          <w:p w14:paraId="59EA723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New engines</w:t>
            </w:r>
          </w:p>
        </w:tc>
        <w:tc>
          <w:tcPr>
            <w:tcW w:w="0" w:type="auto"/>
          </w:tcPr>
          <w:p w14:paraId="122CB41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Evaporation and algae engines against real camera rows and a real NEA payload</w:t>
            </w:r>
          </w:p>
        </w:tc>
        <w:tc>
          <w:tcPr>
            <w:tcW w:w="0" w:type="auto"/>
          </w:tcPr>
          <w:p w14:paraId="5805F02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49</w:t>
            </w:r>
          </w:p>
        </w:tc>
        <w:tc>
          <w:tcPr>
            <w:tcW w:w="0" w:type="auto"/>
          </w:tcPr>
          <w:p w14:paraId="76DC116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All pass</w:t>
            </w:r>
          </w:p>
        </w:tc>
      </w:tr>
      <w:tr w:rsidR="00DB1607" w:rsidRPr="00B95EB3" w14:paraId="5EFF137C" w14:textId="77777777">
        <w:tc>
          <w:tcPr>
            <w:tcW w:w="0" w:type="auto"/>
          </w:tcPr>
          <w:p w14:paraId="11BA49D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Severity ratings</w:t>
            </w:r>
          </w:p>
        </w:tc>
        <w:tc>
          <w:tcPr>
            <w:tcW w:w="0" w:type="auto"/>
          </w:tcPr>
          <w:p w14:paraId="32AE9A9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Ratings override the camera, calibrate thresholds, detect drift, handle obstruction and undo</w:t>
            </w:r>
          </w:p>
        </w:tc>
        <w:tc>
          <w:tcPr>
            <w:tcW w:w="0" w:type="auto"/>
          </w:tcPr>
          <w:p w14:paraId="6F6D472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63</w:t>
            </w:r>
          </w:p>
        </w:tc>
        <w:tc>
          <w:tcPr>
            <w:tcW w:w="0" w:type="auto"/>
          </w:tcPr>
          <w:p w14:paraId="4E4F9B2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All pass</w:t>
            </w:r>
          </w:p>
        </w:tc>
      </w:tr>
      <w:tr w:rsidR="00DB1607" w:rsidRPr="00B95EB3" w14:paraId="6E744854" w14:textId="77777777">
        <w:tc>
          <w:tcPr>
            <w:tcW w:w="0" w:type="auto"/>
          </w:tcPr>
          <w:p w14:paraId="7A9B555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Contract</w:t>
            </w:r>
          </w:p>
        </w:tc>
        <w:tc>
          <w:tcPr>
            <w:tcW w:w="0" w:type="auto"/>
          </w:tcPr>
          <w:p w14:paraId="3426980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Every key the Dart models read is emitted by the Python engines</w:t>
            </w:r>
          </w:p>
        </w:tc>
        <w:tc>
          <w:tcPr>
            <w:tcW w:w="0" w:type="auto"/>
          </w:tcPr>
          <w:p w14:paraId="47A3ADF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25</w:t>
            </w:r>
          </w:p>
        </w:tc>
        <w:tc>
          <w:tcPr>
            <w:tcW w:w="0" w:type="auto"/>
          </w:tcPr>
          <w:p w14:paraId="6D54EF7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All pass</w:t>
            </w:r>
          </w:p>
        </w:tc>
      </w:tr>
      <w:tr w:rsidR="00DB1607" w:rsidRPr="00B95EB3" w14:paraId="3537B393" w14:textId="77777777">
        <w:tc>
          <w:tcPr>
            <w:tcW w:w="0" w:type="auto"/>
          </w:tcPr>
          <w:p w14:paraId="7E07A81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Daily retention</w:t>
            </w:r>
          </w:p>
        </w:tc>
        <w:tc>
          <w:tcPr>
            <w:tcW w:w="0" w:type="auto"/>
          </w:tcPr>
          <w:p w14:paraId="06C851A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30-day limit and the month-boundary key fault</w:t>
            </w:r>
          </w:p>
        </w:tc>
        <w:tc>
          <w:tcPr>
            <w:tcW w:w="0" w:type="auto"/>
          </w:tcPr>
          <w:p w14:paraId="4DF1184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9</w:t>
            </w:r>
          </w:p>
        </w:tc>
        <w:tc>
          <w:tcPr>
            <w:tcW w:w="0" w:type="auto"/>
          </w:tcPr>
          <w:p w14:paraId="353E61B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All pass</w:t>
            </w:r>
          </w:p>
        </w:tc>
      </w:tr>
      <w:tr w:rsidR="00DB1607" w:rsidRPr="00B95EB3" w14:paraId="1B2D0FAB" w14:textId="77777777">
        <w:tc>
          <w:tcPr>
            <w:tcW w:w="0" w:type="auto"/>
          </w:tcPr>
          <w:p w14:paraId="34F0DF2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Algae history cache</w:t>
            </w:r>
          </w:p>
        </w:tc>
        <w:tc>
          <w:tcPr>
            <w:tcW w:w="0" w:type="auto"/>
          </w:tcPr>
          <w:p w14:paraId="17AE93D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Cached history matches a fresh parse</w:t>
            </w:r>
          </w:p>
        </w:tc>
        <w:tc>
          <w:tcPr>
            <w:tcW w:w="0" w:type="auto"/>
          </w:tcPr>
          <w:p w14:paraId="1F6A9EC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7</w:t>
            </w:r>
          </w:p>
        </w:tc>
        <w:tc>
          <w:tcPr>
            <w:tcW w:w="0" w:type="auto"/>
          </w:tcPr>
          <w:p w14:paraId="585A4C4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All pass</w:t>
            </w:r>
          </w:p>
        </w:tc>
      </w:tr>
      <w:tr w:rsidR="00DB1607" w:rsidRPr="00B95EB3" w14:paraId="15EDC54C" w14:textId="77777777">
        <w:tc>
          <w:tcPr>
            <w:tcW w:w="0" w:type="auto"/>
          </w:tcPr>
          <w:p w14:paraId="2ABEDEB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Projection check</w:t>
            </w:r>
          </w:p>
        </w:tc>
        <w:tc>
          <w:tcPr>
            <w:tcW w:w="0" w:type="auto"/>
          </w:tcPr>
          <w:p w14:paraId="7773439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Forward projection against realistic scenarios</w:t>
            </w:r>
          </w:p>
        </w:tc>
        <w:tc>
          <w:tcPr>
            <w:tcW w:w="0" w:type="auto"/>
          </w:tcPr>
          <w:p w14:paraId="1BF5A0C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Scenario script</w:t>
            </w:r>
          </w:p>
        </w:tc>
        <w:tc>
          <w:tcPr>
            <w:tcW w:w="0" w:type="auto"/>
          </w:tcPr>
          <w:p w14:paraId="392685F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Pass</w:t>
            </w:r>
          </w:p>
        </w:tc>
      </w:tr>
      <w:tr w:rsidR="00DB1607" w:rsidRPr="00B95EB3" w14:paraId="750F16C4" w14:textId="77777777">
        <w:tc>
          <w:tcPr>
            <w:tcW w:w="0" w:type="auto"/>
          </w:tcPr>
          <w:p w14:paraId="5DB6BE6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Flutter tests</w:t>
            </w:r>
          </w:p>
        </w:tc>
        <w:tc>
          <w:tcPr>
            <w:tcW w:w="0" w:type="auto"/>
          </w:tcPr>
          <w:p w14:paraId="46B3BF2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Helper rules, pH card source choice, tab persistence</w:t>
            </w:r>
          </w:p>
        </w:tc>
        <w:tc>
          <w:tcPr>
            <w:tcW w:w="0" w:type="auto"/>
          </w:tcPr>
          <w:p w14:paraId="78B8079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5 files</w:t>
            </w:r>
          </w:p>
        </w:tc>
        <w:tc>
          <w:tcPr>
            <w:tcW w:w="0" w:type="auto"/>
          </w:tcPr>
          <w:p w14:paraId="4707107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Pass, per refactor log</w:t>
            </w:r>
          </w:p>
        </w:tc>
      </w:tr>
    </w:tbl>
    <w:p w14:paraId="5EE95B3B"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The tests have limits that should be stated alongside the pass counts. They show that the code does what its authors intended. They do not show that the intended behaviour is right for a real pond, which is what the rate constants, thresholds and model structure determine. The chemistry engine’s nitrification rates, the evaporation shelter factor and the algae growth fallback are all placeholders from literature or judgement until they are calibrated against measurements. The contract test confirms that the keys match, but it does not check how the application displays them. None of the tests, moreover, exercises the real Supabase instance, the ESP32 hardware or the hosted camera service, which Chapter 4 covers.</w:t>
      </w:r>
      <w:r w:rsidRPr="00B95EB3">
        <w:rPr>
          <w:rFonts w:asciiTheme="majorHAnsi" w:hAnsiTheme="majorHAnsi" w:cstheme="majorHAnsi"/>
        </w:rPr>
      </w:r>
    </w:p>
    <w:p w14:paraId="395DD45B" w14:textId="77777777" w:rsidR="00DB1607" w:rsidRPr="00B95EB3" w:rsidRDefault="00000000">
      <w:pPr>
        <w:pStyle w:val="Heading2"/>
        <w:rPr>
          <w:rFonts w:asciiTheme="majorHAnsi" w:hAnsiTheme="majorHAnsi" w:cstheme="majorHAnsi"/>
        </w:rPr>
      </w:pPr>
      <w:bookmarkStart w:id="250" w:name="known-limitations-of-the-implementation"/>
      <w:bookmarkStart w:id="251" w:name="_Toc241565784"/>
      <w:bookmarkEnd w:id="248"/>
      <w:r w:rsidRPr="00B95EB3">
        <w:rPr>
          <w:rFonts w:asciiTheme="majorHAnsi" w:hAnsiTheme="majorHAnsi" w:cstheme="majorHAnsi"/>
        </w:rPr>
        <w:t>5.8 Known Limitations of the Implementation</w:t>
      </w:r>
      <w:bookmarkEnd w:id="251"/>
    </w:p>
    <w:p w14:paraId="5FA86C71"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following limitations are known and are recorded here so that the results in Chapter 7 are read with them in mind. Section 8.4 proposes how each could be addressed.</w:t>
      </w:r>
    </w:p>
    <w:p w14:paraId="5B550C88" w14:textId="77777777" w:rsidR="00DB1607" w:rsidRPr="00B95EB3" w:rsidRDefault="00000000">
      <w:pPr>
        <w:pStyle w:val="Compact"/>
        <w:numPr>
          <w:ilvl w:val="0"/>
          <w:numId w:val="7"/>
        </w:numPr>
        <w:rPr>
          <w:rFonts w:asciiTheme="majorHAnsi" w:hAnsiTheme="majorHAnsi" w:cstheme="majorHAnsi"/>
        </w:rPr>
      </w:pPr>
      <w:r w:rsidRPr="00B95EB3">
        <w:rPr>
          <w:rFonts w:asciiTheme="majorHAnsi" w:hAnsiTheme="majorHAnsi" w:cstheme="majorHAnsi"/>
          <w:b/>
          <w:bCs/>
        </w:rPr>
        <w:t>Sensor payload.</w:t>
      </w:r>
      <w:r w:rsidRPr="00B95EB3">
        <w:rPr>
          <w:rFonts w:asciiTheme="majorHAnsi" w:hAnsiTheme="majorHAnsi" w:cstheme="majorHAnsi"/>
        </w:rPr>
        <w:t xml:space="preserve"> Rows carry no device identifier, cycle number or sample time, and a failed light reading is sent as −1 (Section 3.6.2).</w:t>
      </w:r>
    </w:p>
    <w:p w14:paraId="68CEA34E" w14:textId="77777777" w:rsidR="00DB1607" w:rsidRPr="00B95EB3" w:rsidRDefault="00000000">
      <w:pPr>
        <w:pStyle w:val="Compact"/>
        <w:numPr>
          <w:ilvl w:val="0"/>
          <w:numId w:val="7"/>
        </w:numPr>
        <w:rPr>
          <w:rFonts w:asciiTheme="majorHAnsi" w:hAnsiTheme="majorHAnsi" w:cstheme="majorHAnsi"/>
        </w:rPr>
      </w:pPr>
      <w:r w:rsidRPr="00B95EB3">
        <w:rPr>
          <w:rFonts w:asciiTheme="majorHAnsi" w:hAnsiTheme="majorHAnsi" w:cstheme="majorHAnsi"/>
          <w:b/>
          <w:bCs/>
        </w:rPr>
        <w:t>Poller resolution.</w:t>
      </w:r>
      <w:r w:rsidRPr="00B95EB3">
        <w:rPr>
          <w:rFonts w:asciiTheme="majorHAnsi" w:hAnsiTheme="majorHAnsi" w:cstheme="majorHAnsi"/>
        </w:rPr>
        <w:t xml:space="preserve"> The poller uses only the latest reading per channel and stamps it with the poll time (Section 3.9.3).</w:t>
      </w:r>
    </w:p>
    <w:p w14:paraId="5A5BE8BC" w14:textId="77777777" w:rsidR="00DB1607" w:rsidRPr="00B95EB3" w:rsidRDefault="00000000">
      <w:pPr>
        <w:pStyle w:val="Compact"/>
        <w:numPr>
          <w:ilvl w:val="0"/>
          <w:numId w:val="7"/>
        </w:numPr>
        <w:rPr>
          <w:rFonts w:asciiTheme="majorHAnsi" w:hAnsiTheme="majorHAnsi" w:cstheme="majorHAnsi"/>
        </w:rPr>
      </w:pPr>
      <w:r w:rsidRPr="00B95EB3">
        <w:rPr>
          <w:rFonts w:asciiTheme="majorHAnsi" w:hAnsiTheme="majorHAnsi" w:cstheme="majorHAnsi"/>
          <w:b/>
          <w:bCs/>
        </w:rPr>
        <w:t>Two writes per event.</w:t>
      </w:r>
      <w:r w:rsidRPr="00B95EB3">
        <w:rPr>
          <w:rFonts w:asciiTheme="majorHAnsi" w:hAnsiTheme="majorHAnsi" w:cstheme="majorHAnsi"/>
        </w:rPr>
        <w:t xml:space="preserve"> An event is saved to Supabase and then sent to the digital twin. If the second step fails, the timeline shows the event but the model never applied it, and the digital twin has no step that rebuilds its state from the intervention table to catch up.</w:t>
      </w:r>
    </w:p>
    <w:p w14:paraId="12FC68BD" w14:textId="77777777" w:rsidR="00DB1607" w:rsidRPr="00B95EB3" w:rsidRDefault="00000000">
      <w:pPr>
        <w:pStyle w:val="Compact"/>
        <w:numPr>
          <w:ilvl w:val="0"/>
          <w:numId w:val="7"/>
        </w:numPr>
        <w:rPr>
          <w:rFonts w:asciiTheme="majorHAnsi" w:hAnsiTheme="majorHAnsi" w:cstheme="majorHAnsi"/>
        </w:rPr>
      </w:pPr>
      <w:r w:rsidRPr="00B95EB3">
        <w:rPr>
          <w:rFonts w:asciiTheme="majorHAnsi" w:hAnsiTheme="majorHAnsi" w:cstheme="majorHAnsi"/>
          <w:b/>
          <w:bCs/>
        </w:rPr>
        <w:t>Authentication.</w:t>
      </w:r>
      <w:r w:rsidRPr="00B95EB3">
        <w:rPr>
          <w:rFonts w:asciiTheme="majorHAnsi" w:hAnsiTheme="majorHAnsi" w:cstheme="majorHAnsi"/>
        </w:rPr>
        <w:t xml:space="preserve"> The digital twin’s endpoints trust the user identifier in the request (Section 3.9.5).</w:t>
      </w:r>
    </w:p>
    <w:p w14:paraId="784AD879" w14:textId="77777777" w:rsidR="00DB1607" w:rsidRPr="00B95EB3" w:rsidRDefault="00000000">
      <w:pPr>
        <w:pStyle w:val="Compact"/>
        <w:numPr>
          <w:ilvl w:val="0"/>
          <w:numId w:val="7"/>
        </w:numPr>
        <w:rPr>
          <w:rFonts w:asciiTheme="majorHAnsi" w:hAnsiTheme="majorHAnsi" w:cstheme="majorHAnsi"/>
        </w:rPr>
      </w:pPr>
      <w:r w:rsidRPr="00B95EB3">
        <w:rPr>
          <w:rFonts w:asciiTheme="majorHAnsi" w:hAnsiTheme="majorHAnsi" w:cstheme="majorHAnsi"/>
          <w:b/>
          <w:bCs/>
        </w:rPr>
        <w:t>Single process.</w:t>
      </w:r>
      <w:r w:rsidRPr="00B95EB3">
        <w:rPr>
          <w:rFonts w:asciiTheme="majorHAnsi" w:hAnsiTheme="majorHAnsi" w:cstheme="majorHAnsi"/>
        </w:rPr>
        <w:t xml:space="preserve"> The per-pond lock protects against races within one process only, so the digital twin must run as a single worker.</w:t>
      </w:r>
    </w:p>
    <w:p w14:paraId="6A5F948A" w14:textId="77777777" w:rsidR="00DB1607" w:rsidRPr="00B95EB3" w:rsidRDefault="00000000">
      <w:pPr>
        <w:pStyle w:val="Compact"/>
        <w:numPr>
          <w:ilvl w:val="0"/>
          <w:numId w:val="7"/>
        </w:numPr>
        <w:rPr>
          <w:rFonts w:asciiTheme="majorHAnsi" w:hAnsiTheme="majorHAnsi" w:cstheme="majorHAnsi"/>
        </w:rPr>
      </w:pPr>
      <w:r w:rsidRPr="00B95EB3">
        <w:rPr>
          <w:rFonts w:asciiTheme="majorHAnsi" w:hAnsiTheme="majorHAnsi" w:cstheme="majorHAnsi"/>
          <w:b/>
          <w:bCs/>
        </w:rPr>
        <w:t>Camera schedule.</w:t>
      </w:r>
      <w:r w:rsidRPr="00B95EB3">
        <w:rPr>
          <w:rFonts w:asciiTheme="majorHAnsi" w:hAnsiTheme="majorHAnsi" w:cstheme="majorHAnsi"/>
        </w:rPr>
        <w:t xml:space="preserve"> State changes happen on a single frame, the dynamic state uses one fixed interval, no obstruction alert is sent, and the analysis uses the whole frame (Section 3.7).</w:t>
      </w:r>
    </w:p>
    <w:p w14:paraId="6FD25243" w14:textId="77777777" w:rsidR="00DB1607" w:rsidRPr="00B95EB3" w:rsidRDefault="00000000">
      <w:pPr>
        <w:pStyle w:val="Compact"/>
        <w:numPr>
          <w:ilvl w:val="0"/>
          <w:numId w:val="7"/>
        </w:numPr>
        <w:rPr>
          <w:rFonts w:asciiTheme="majorHAnsi" w:hAnsiTheme="majorHAnsi" w:cstheme="majorHAnsi"/>
        </w:rPr>
      </w:pPr>
      <w:r w:rsidRPr="00B95EB3">
        <w:rPr>
          <w:rFonts w:asciiTheme="majorHAnsi" w:hAnsiTheme="majorHAnsi" w:cstheme="majorHAnsi"/>
          <w:b/>
          <w:bCs/>
        </w:rPr>
        <w:t>Client fallback.</w:t>
      </w:r>
      <w:r w:rsidRPr="00B95EB3">
        <w:rPr>
          <w:rFonts w:asciiTheme="majorHAnsi" w:hAnsiTheme="majorHAnsi" w:cstheme="majorHAnsi"/>
        </w:rPr>
        <w:t xml:space="preserve"> The local pH assessment still contains a rule based on a fixed TDS level (Section 3.12).</w:t>
      </w:r>
    </w:p>
    <w:p w14:paraId="72AAD643" w14:textId="77777777" w:rsidR="00DB1607" w:rsidRPr="00B95EB3" w:rsidRDefault="00000000">
      <w:pPr>
        <w:pStyle w:val="Compact"/>
        <w:numPr>
          <w:ilvl w:val="0"/>
          <w:numId w:val="7"/>
        </w:numPr>
        <w:rPr>
          <w:rFonts w:asciiTheme="majorHAnsi" w:hAnsiTheme="majorHAnsi" w:cstheme="majorHAnsi"/>
        </w:rPr>
      </w:pPr>
      <w:r w:rsidRPr="00B95EB3">
        <w:rPr>
          <w:rFonts w:asciiTheme="majorHAnsi" w:hAnsiTheme="majorHAnsi" w:cstheme="majorHAnsi"/>
          <w:b/>
          <w:bCs/>
        </w:rPr>
        <w:t>Credentials in source.</w:t>
      </w:r>
      <w:r w:rsidRPr="00B95EB3">
        <w:rPr>
          <w:rFonts w:asciiTheme="majorHAnsi" w:hAnsiTheme="majorHAnsi" w:cstheme="majorHAnsi"/>
        </w:rPr>
        <w:t xml:space="preserve"> The camera sketch holds its Wi-Fi credentials and device token as constants in the source file, which is committed to the repository. These should be rotated and moved to build-time configuration or the device’s non-volatile storage.</w:t>
      </w:r>
    </w:p>
    <w:p>
      <w:pPr>
        <w:pStyle w:val="Heading1"/>
      </w:pPr>
      <w:r>
        <w:t>Chapter 6: Exploiting NEA Telemetry and Forecasts for Preemptive Pond Management</w:t>
      </w:r>
    </w:p>
    <w:p>
      <w:pPr>
        <w:pStyle w:val="Heading2"/>
      </w:pPr>
      <w:r>
        <w:t>6.1 Introduction and Central Finding</w:t>
      </w:r>
    </w:p>
    <w:p>
      <w:pPr>
        <w:pStyle w:val="FirstParagraph"/>
      </w:pPr>
      <w:r>
        <w:t>Singapore's National Environment Agency distributes environmental data through the data.gov.sg platform at no cost and at high frequency. For a project concerned with the automated care of an outdoor koi pond, two products on that platform are of interest. The first is the real-time observation network, which reports rainfall, air temperature, relative humidity and wind as they are measured. The second is the forecast suite, which issues a 24-hour outlook broken into 6-hour regional periods, a 4-day outlook, and a 2-hour nowcast reissued roughly every 30 minutes. This chapter asks which parts of that supply carry information a pond controller could not obtain more cheaply from its own sensors, and answers the question across every lead time NEA actually offers rather than at a single horizon.</w:t>
      </w:r>
    </w:p>
    <w:p>
      <w:pPr>
        <w:pStyle w:val="BodyText"/>
      </w:pPr>
      <w:r>
        <w:t>The investigation arrived at a central finding considerably narrower than the project initially assumed, reached only after testing the rainfall hypothesis 7 separate ways and finding that it did not justify itself for pond chemistry. A slow, well-buffered chemical system is already served adequately by a gauge that reports what has fallen with certainty a few minutes after it falls, and warning a system like that in advance saves nothing worth the cost of building the warning. Heat prediction behaves differently for reasons that are physical rather than statistical, since the margin on dissolved oxygen narrows sharply above 30 degrees Celsius, the damage from a hot bright stretch accumulates over several days rather than one afternoon, and a 5-day heat run is exactly the situation in which knowing what is coming lets a keeper adjust feeding before the fish are already stressed. The forecast earns its place on that distinction between a fast, well-warned system and a slow, self-correcting one, and on very little beyond it.</w:t>
      </w:r>
    </w:p>
    <w:p>
      <w:pPr>
        <w:pStyle w:val="BodyText"/>
      </w:pPr>
      <w:r>
        <w:t>A further finding, developed later in the investigation once the rainfall and heat results were already in hand, concerns a 2-hour nowcast product not examined in the project's earlier work on this dataset. Because it is reissued every half hour and describes conditions in the immediate future rather than the coming days, it is the one layer in the whole forecast suite capable of genuine short-notice warning rather than same-day awareness. Section 6.7.3 shows that 79% of observed rain onsets in the record were flagged by an earlier nowcast issuance, with a median warning time of 50 minutes. No other product tested gives a pond keeper minutes of lead time on an event that has not yet started.</w:t>
      </w:r>
    </w:p>
    <w:p>
      <w:pPr>
        <w:pStyle w:val="BodyText"/>
      </w:pPr>
      <w:r>
        <w:t>Taken together, the four lead times NEA supplies, the 4-day outlook, the same-day periods forecast, the 2-hour nowcast, and the reactive value of the rain gauge itself, form a ladder in which each rung is useful for a different kind of decision, and none of them substitutes for the others. Section 6.9 turns that ladder into a concrete recommendation: a system that watches all four windows at once and raises whichever advisory the current lead time actually supports, rather than a single rule tuned to one horizon and silent about the rest.</w:t>
      </w:r>
    </w:p>
    <w:p>
      <w:pPr>
        <w:pStyle w:val="Heading2"/>
      </w:pPr>
      <w:r>
        <w:t>6.2 Data Sources and Collection Methodology</w:t>
      </w:r>
    </w:p>
    <w:p>
      <w:pPr>
        <w:pStyle w:val="Heading3"/>
      </w:pPr>
      <w:r>
        <w:t>6.2.1 Rainfall Observations</w:t>
      </w:r>
    </w:p>
    <w:p>
      <w:pPr>
        <w:pStyle w:val="FirstParagraph"/>
      </w:pPr>
      <w:r>
        <w:t>Rainfall was drawn from the v2 real-time rainfall API at data.gov.sg, which reports 5-minute station totals. A naive Woodlands station choice proved costly before any modelling began. Station S100, the geographically obvious proxy for the pond's location, reports on only 49.5% of days across the archive, a gap of whole missing days rather than partial-day shortfalls. Its 4 neighbouring stations, S104, S210, S211 and S227, each cover 92% to 94% of days individually, and averaging across the four reduces missing coverage to 25 days out of 2,391, or 99%. Every rainfall figure in this chapter uses that 4-station cluster mean rather than any single station.</w:t>
      </w:r>
    </w:p>
    <w:p>
      <w:pPr>
        <w:pStyle w:val="BodyText"/>
      </w:pPr>
      <w:r>
        <w:t>The API paginates at 25 readings per page. Early in the scraping work the completion signal was assumed to be a fixed page count, which failed silently on any day whose reading total happened to be an exact multiple of 25. The corrected scraper instead treats a short final page, or the absence of the pagination token the server returns, as the only trustworthy signal that a day is finished. The token itself decodes from base64 to the literal string offset=N, which let the scraper compute the next page directly rather than waiting on a round trip for each one. This shortened the rainfall collection considerably against the alternative of one request per page in strict sequence.</w:t>
      </w:r>
    </w:p>
    <w:p>
      <w:pPr>
        <w:pStyle w:val="Heading3"/>
      </w:pPr>
      <w:r>
        <w:t>6.2.2 24-Hour and 4-Day Forecasts</w:t>
      </w:r>
    </w:p>
    <w:p>
      <w:pPr>
        <w:pStyle w:val="FirstParagraph"/>
      </w:pPr>
      <w:r>
        <w:t>The 24-hour forecast issues a wording category for each of 5 regions across 4 6-hour periods per day, roughly 2 issuances daily. The 4-day outlook issues a temperature band and a wording category for each of the next 4 calendar days, also reissued roughly twice daily. Both were collected for the full span the real-time API exposes, from 1 February 2020 to the current date, yielding 9,266 block-level rows for the periods product and 9,264 rows for the outlook.</w:t>
      </w:r>
    </w:p>
    <w:p>
      <w:pPr>
        <w:pStyle w:val="Heading3"/>
      </w:pPr>
      <w:r>
        <w:t>6.2.3 Air Temperature and Relative Humidity</w:t>
      </w:r>
    </w:p>
    <w:p>
      <w:pPr>
        <w:pStyle w:val="FirstParagraph"/>
      </w:pPr>
      <w:r>
        <w:t>Air temperature and relative humidity observations are reported far more frequently than rainfall, once per minute rather than once every 5 minutes, which raised the page count for a full day from roughly 12 to roughly 58 per endpoint. Across the full record and 2 endpoints this implied on the order of a quarter of a million requests, several times the volume the rainfall scrape alone required, and closing a gap in this specific dataset consumed the majority of the 3 days of unattended scraping this chapter draws on.</w:t>
      </w:r>
    </w:p>
    <w:p>
      <w:pPr>
        <w:pStyle w:val="BodyText"/>
      </w:pPr>
      <w:r>
        <w:t>That gap existed because an earlier session's climate file, covering the period up to 2 June 2025, had no surviving generation script and could not simply be re-run. Rebuilding the temperature record from 2 June 2025 forward, rather than from the start of the archive, reduced the outstanding scrape from an estimated 77 hours to roughly 16, since the earlier period did not need to be repeated. Even at that reduced scope, unattended background runs of this length surfaced 2 separate classes of interruption before the collection actually completed.</w:t>
      </w:r>
    </w:p>
    <w:p>
      <w:pPr>
        <w:pStyle w:val="BodyText"/>
      </w:pPr>
      <w:r>
        <w:t>The first of the two was routine and had been expected from the outset, arising from the scraper's own retry logic rather than from anything external to it. The unauthenticated request rate is 6 calls per 10 seconds, and this project ran under a low authenticated rate rather than an unauthenticated one, so no external throttling was observed. The scraper's own exponential backoff on transient failures and its fixed wait on the rare rate-limit response meant a handful of days needed more than one attempt before the page count for that day matched the expected 58. The scraper's resumability, one JSON file per page with a completion marker written only once a day's last page is confirmed, meant no re-attempted day cost more than the pages that were actually missing.</w:t>
      </w:r>
    </w:p>
    <w:p>
      <w:pPr>
        <w:pStyle w:val="BodyText"/>
      </w:pPr>
      <w:r>
        <w:t>The second interruption was environmental rather than a defect in the scraper. The host machine repeatedly reclaimed memory from long-running background processes under general system load, unrelated to anything the scraper itself was doing, since its own memory footprint at any point in the run measured under 60 megabytes. Four such interruptions occurred across the run. Each cost nothing beyond the minutes needed to notice the process had stopped and relaunch it, because every page already written to disk survived the interruption and the scraper's own resumption logic correctly skipped every date already marked complete rather than re-fetching it. The collection was ultimately completed by launching the scraper as a process fully detached from the tool that was supervising it, which proved immune to the same reclamation that had repeatedly interrupted the supervised attempts. This detached run finished cleanly with zero page-level failures across the closing 636 day-endpoint pairs it still needed to fetch.</w:t>
      </w:r>
    </w:p>
    <w:p>
      <w:pPr>
        <w:pStyle w:val="Heading3"/>
      </w:pPr>
      <w:r>
        <w:t>6.2.4 The 2-Hour Nowcast</w:t>
      </w:r>
    </w:p>
    <w:p>
      <w:pPr>
        <w:pStyle w:val="FirstParagraph"/>
      </w:pPr>
      <w:r>
        <w:t>The 2-hour nowcast reports a wording category for each of 47 named areas across Singapore, valid for a 2-hour window beginning at the moment of issue and reissued roughly every 30 minutes. It was collected for the pond's Woodlands area specifically across the same full record as the other forecast products, yielding 146,135 issuances. This product had not been examined in the project's earlier work on this dataset, and its validation in section 6.7.3 is new.</w:t>
      </w:r>
    </w:p>
    <w:p>
      <w:pPr>
        <w:pStyle w:val="Heading3"/>
      </w:pPr>
      <w:r>
        <w:t>6.2.5 A Station Network Change and the Threshold It Broke</w:t>
      </w:r>
    </w:p>
    <w:p>
      <w:pPr>
        <w:pStyle w:val="FirstParagraph"/>
      </w:pPr>
      <w:r>
        <w:t>Closing the temperature gap described in section 6.2.3 introduced a defect that was found and corrected before any conclusion drawn from it was reported. The correction is recorded here because the failure mode is a general one and worth naming plainly rather than only fixing quietly. The pre-existing climate file used a 2-station average, apparently sampled at only 8 fixed times per day rather than continuously. The newly scraped portion used a full network mean across 12 to 33 stations sampled continuously. Averaging across more stations mechanically reduces day-to-day variance even when the underlying mean is unchanged, because station-to-station fluctuation partially cancels in the average the same way sampling error shrinks with sample size in any other statistical average.</w:t>
      </w:r>
    </w:p>
    <w:p>
      <w:pPr>
        <w:pStyle w:val="BodyText"/>
      </w:pPr>
      <w:r>
        <w:t>The two files were merged on the boundary date without accounting for this. Checking the merged file afterward showed the mean daily maximum temperature held flat across every year from 2020 to 2026 at roughly 31 to 32 degrees Celsius, while the standard deviation fell from a range of 1.7 to 2 degrees before the boundary to a range of 1.2 to 1.7 degrees after it. A fixed threshold calibrated on the higher-variance side of that boundary and applied unchanged past it will cross less often for a reason that has nothing to do with the climate or the forecast, and this is exactly what the merged data showed: a suppressed hot-day rate in every single calendar month after the switch rather than only in the months immediately surrounding it, the signature of a variance artefact rather than a seasonal or climatic one.</w:t>
      </w:r>
    </w:p>
    <w:p>
      <w:pPr>
        <w:pStyle w:val="BodyText"/>
      </w:pPr>
      <w:r>
        <w:t>The threshold was corrected by treating each side of the boundary as a separate measurement regime and re-deriving a second threshold for the new regime from its own mean and standard deviation, scaled so that the original regime's own hit rate on its own training period was preserved exactly. The effect of this single correction on the results that follow was large enough to be worth stating in one place before those results are presented. Precision on the strongest same-day heat rule in section 6.7.2 rose from 64% to 88.5% once the correction was applied, and the incremental skill test in section 6.7.1 reversed sign at every lead time tested, moving from no measurable gain to a clear and positive gain once observed temperature was measured consistently across the whole record rather than across two silently different instruments. Any later use of this dataset that extends it again with a further change in station coverage should repeat this variance check before trusting a threshold across the new boundary.</w:t>
      </w:r>
    </w:p>
    <w:p>
      <w:pPr>
        <w:pStyle w:val="Heading2"/>
      </w:pPr>
      <w:r>
        <w:t>6.3 Analytical Method</w:t>
      </w:r>
    </w:p>
    <w:p>
      <w:pPr>
        <w:pStyle w:val="FirstParagraph"/>
      </w:pPr>
      <w:r>
        <w:t>Every claim in this chapter is expressed as precision against a stated base rate, and as lift, the ratio of the two, because a raw hit rate on its own is close to meaningless in a climate where one forecast wording appears on a majority of days. A lift of 1 is exactly what chance produces at that firing rate. Every threshold, quantile cut and calibration constant was computed once on data up to 31 December 2024 and applied without adjustment to the period after that date, so a result reported for the held-out period reflects a rule fixed in advance rather than one tuned to the data it is being tested against. Uncertainty on a precision estimate is reported as a Wilson interval rather than a normal approximation, since several of the calibration tables in section 6.5 rest on samples small enough that a normal approximation would understate the true uncertainty.</w:t>
      </w:r>
    </w:p>
    <w:p>
      <w:pPr>
        <w:pStyle w:val="BodyText"/>
      </w:pPr>
      <w:r>
        <w:t>Two additional checks, described fully in section 6.8, were added later in the investigation once their value for distinguishing a real result from a base-rate artefact became apparent. A permutation control compares a rule's precision against 2,000 random selections of the same size from the same held-out pool, which distinguishes a rule doing real work from one that merely inherited a favourable base rate. A residual skill test removes the hottest 30% of days from the record entirely and asks whether the same rule still discriminates within what remains, which distinguishes a rule with graded skill from one that only ever calls the days a keeper would have noticed anyway.</w:t>
      </w:r>
    </w:p>
    <w:p>
      <w:pPr>
        <w:pStyle w:val="Heading2"/>
      </w:pPr>
      <w:r>
        <w:t>6.4 The Magnitude Argument: Why Rain Rarely Threatens Pond Chemistry</w:t>
      </w:r>
    </w:p>
    <w:p>
      <w:pPr>
        <w:pStyle w:val="FirstParagraph"/>
      </w:pPr>
      <w:r>
        <w:t>The dilution a rainfall event causes depends only on the depth of rain relative to the depth of the pond, since the exponential dilution relationship, 1 minus the exponent of negative rain depth over pond depth, has no surface-area term in it. A large shallow pond is therefore more exposed to a given rainfall total than a small deep one, and pond volume on its own is not a useful predictor of vulnerability.</w:t>
      </w:r>
    </w:p>
    <w:p>
      <w:pPr>
        <w:pStyle w:val="BodyText"/>
      </w:pPr>
      <w:r>
        <w:t>Across the full record the median wet day carried 16 millimetres of rain, and even the heaviest bracket of days, the 57 days classified as extreme with a median of 63 millimetres and a maximum of 173, produced a median carbonate hardness loss equivalent to 1.3 days of ordinary fish feeding load at the stocking density this project assumed, using a pond depth of 1.2 metres and the same nitrification stoichiometry, 7.14 milligrams of calcium carbonate consumed per milligram of ammonia nitrogen nitrified, that the rest of the digital twin already uses. Table 6.1 reproduces the full breakdown by rainfall bracket.</w:t>
      </w:r>
    </w:p>
    <w:p>
      <w:pPr>
        <w:pStyle w:val="TableCaption"/>
      </w:pPr>
      <w:r>
        <w:t>Table 6.1. Rainfall bracket, chemical dilution, and fish-day equivalent damage across the full record.</w:t>
      </w:r>
    </w:p>
    <w:tbl>
      <w:tblPr>
        <w:tblStyle w:val="Table"/>
        <w:tblW w:type="auto" w:w="0"/>
        <w:tblLook w:firstColumn="1" w:firstRow="1" w:lastColumn="0" w:lastRow="0" w:noHBand="0" w:noVBand="1" w:val="04A0"/>
      </w:tblPr>
      <w:tblGrid>
        <w:gridCol w:w="1504"/>
        <w:gridCol w:w="1504"/>
        <w:gridCol w:w="1504"/>
        <w:gridCol w:w="1504"/>
        <w:gridCol w:w="1504"/>
        <w:gridCol w:w="1504"/>
      </w:tblGrid>
      <w:tr>
        <w:tc>
          <w:tcPr>
            <w:tcW w:type="dxa" w:w="1504"/>
          </w:tcPr>
          <w:p>
            <w:r>
              <w:t>Bracket</w:t>
            </w:r>
          </w:p>
        </w:tc>
        <w:tc>
          <w:tcPr>
            <w:tcW w:type="dxa" w:w="1504"/>
          </w:tcPr>
          <w:p>
            <w:r>
              <w:t>Days</w:t>
            </w:r>
          </w:p>
        </w:tc>
        <w:tc>
          <w:tcPr>
            <w:tcW w:type="dxa" w:w="1504"/>
          </w:tcPr>
          <w:p>
            <w:r>
              <w:t>Median mm</w:t>
            </w:r>
          </w:p>
        </w:tc>
        <w:tc>
          <w:tcPr>
            <w:tcW w:type="dxa" w:w="1504"/>
          </w:tcPr>
          <w:p>
            <w:r>
              <w:t>Dilution</w:t>
            </w:r>
          </w:p>
        </w:tc>
        <w:tc>
          <w:tcPr>
            <w:tcW w:type="dxa" w:w="1504"/>
          </w:tcPr>
          <w:p>
            <w:r>
              <w:t>KH lost (dKH)</w:t>
            </w:r>
          </w:p>
        </w:tc>
        <w:tc>
          <w:tcPr>
            <w:tcW w:type="dxa" w:w="1504"/>
          </w:tcPr>
          <w:p>
            <w:r>
              <w:t>Fish-day equivalent</w:t>
            </w:r>
          </w:p>
        </w:tc>
      </w:tr>
      <w:tr>
        <w:tc>
          <w:tcPr>
            <w:tcW w:type="dxa" w:w="1504"/>
          </w:tcPr>
          <w:p>
            <w:r>
              <w:t>Dry</w:t>
            </w:r>
          </w:p>
        </w:tc>
        <w:tc>
          <w:tcPr>
            <w:tcW w:type="dxa" w:w="1504"/>
          </w:tcPr>
          <w:p>
            <w:r>
              <w:t>1,142</w:t>
            </w:r>
          </w:p>
        </w:tc>
        <w:tc>
          <w:tcPr>
            <w:tcW w:type="dxa" w:w="1504"/>
          </w:tcPr>
          <w:p>
            <w:r>
              <w:t>0.0</w:t>
            </w:r>
          </w:p>
        </w:tc>
        <w:tc>
          <w:tcPr>
            <w:tcW w:type="dxa" w:w="1504"/>
          </w:tcPr>
          <w:p>
            <w:r>
              <w:t>0.0%</w:t>
            </w:r>
          </w:p>
        </w:tc>
        <w:tc>
          <w:tcPr>
            <w:tcW w:type="dxa" w:w="1504"/>
          </w:tcPr>
          <w:p>
            <w:r>
              <w:t>0.00</w:t>
            </w:r>
          </w:p>
        </w:tc>
        <w:tc>
          <w:tcPr>
            <w:tcW w:type="dxa" w:w="1504"/>
          </w:tcPr>
          <w:p>
            <w:r>
              <w:t>0.00</w:t>
            </w:r>
          </w:p>
        </w:tc>
      </w:tr>
      <w:tr>
        <w:tc>
          <w:tcPr>
            <w:tcW w:type="dxa" w:w="1504"/>
          </w:tcPr>
          <w:p>
            <w:r>
              <w:t>Light</w:t>
            </w:r>
          </w:p>
        </w:tc>
        <w:tc>
          <w:tcPr>
            <w:tcW w:type="dxa" w:w="1504"/>
          </w:tcPr>
          <w:p>
            <w:r>
              <w:t>591</w:t>
            </w:r>
          </w:p>
        </w:tc>
        <w:tc>
          <w:tcPr>
            <w:tcW w:type="dxa" w:w="1504"/>
          </w:tcPr>
          <w:p>
            <w:r>
              <w:t>4.0</w:t>
            </w:r>
          </w:p>
        </w:tc>
        <w:tc>
          <w:tcPr>
            <w:tcW w:type="dxa" w:w="1504"/>
          </w:tcPr>
          <w:p>
            <w:r>
              <w:t>0.3%</w:t>
            </w:r>
          </w:p>
        </w:tc>
        <w:tc>
          <w:tcPr>
            <w:tcW w:type="dxa" w:w="1504"/>
          </w:tcPr>
          <w:p>
            <w:r>
              <w:t>0.01</w:t>
            </w:r>
          </w:p>
        </w:tc>
        <w:tc>
          <w:tcPr>
            <w:tcW w:type="dxa" w:w="1504"/>
          </w:tcPr>
          <w:p>
            <w:r>
              <w:t>0.08</w:t>
            </w:r>
          </w:p>
        </w:tc>
      </w:tr>
      <w:tr>
        <w:tc>
          <w:tcPr>
            <w:tcW w:type="dxa" w:w="1504"/>
          </w:tcPr>
          <w:p>
            <w:r>
              <w:t>Wet</w:t>
            </w:r>
          </w:p>
        </w:tc>
        <w:tc>
          <w:tcPr>
            <w:tcW w:type="dxa" w:w="1504"/>
          </w:tcPr>
          <w:p>
            <w:r>
              <w:t>386</w:t>
            </w:r>
          </w:p>
        </w:tc>
        <w:tc>
          <w:tcPr>
            <w:tcW w:type="dxa" w:w="1504"/>
          </w:tcPr>
          <w:p>
            <w:r>
              <w:t>16.2</w:t>
            </w:r>
          </w:p>
        </w:tc>
        <w:tc>
          <w:tcPr>
            <w:tcW w:type="dxa" w:w="1504"/>
          </w:tcPr>
          <w:p>
            <w:r>
              <w:t>1.3%</w:t>
            </w:r>
          </w:p>
        </w:tc>
        <w:tc>
          <w:tcPr>
            <w:tcW w:type="dxa" w:w="1504"/>
          </w:tcPr>
          <w:p>
            <w:r>
              <w:t>0.05</w:t>
            </w:r>
          </w:p>
        </w:tc>
        <w:tc>
          <w:tcPr>
            <w:tcW w:type="dxa" w:w="1504"/>
          </w:tcPr>
          <w:p>
            <w:r>
              <w:t>0.34</w:t>
            </w:r>
          </w:p>
        </w:tc>
      </w:tr>
      <w:tr>
        <w:tc>
          <w:tcPr>
            <w:tcW w:type="dxa" w:w="1504"/>
          </w:tcPr>
          <w:p>
            <w:r>
              <w:t>Heavy</w:t>
            </w:r>
          </w:p>
        </w:tc>
        <w:tc>
          <w:tcPr>
            <w:tcW w:type="dxa" w:w="1504"/>
          </w:tcPr>
          <w:p>
            <w:r>
              <w:t>114</w:t>
            </w:r>
          </w:p>
        </w:tc>
        <w:tc>
          <w:tcPr>
            <w:tcW w:type="dxa" w:w="1504"/>
          </w:tcPr>
          <w:p>
            <w:r>
              <w:t>36.8</w:t>
            </w:r>
          </w:p>
        </w:tc>
        <w:tc>
          <w:tcPr>
            <w:tcW w:type="dxa" w:w="1504"/>
          </w:tcPr>
          <w:p>
            <w:r>
              <w:t>3.0%</w:t>
            </w:r>
          </w:p>
        </w:tc>
        <w:tc>
          <w:tcPr>
            <w:tcW w:type="dxa" w:w="1504"/>
          </w:tcPr>
          <w:p>
            <w:r>
              <w:t>0.11</w:t>
            </w:r>
          </w:p>
        </w:tc>
        <w:tc>
          <w:tcPr>
            <w:tcW w:type="dxa" w:w="1504"/>
          </w:tcPr>
          <w:p>
            <w:r>
              <w:t>0.75</w:t>
            </w:r>
          </w:p>
        </w:tc>
      </w:tr>
      <w:tr>
        <w:tc>
          <w:tcPr>
            <w:tcW w:type="dxa" w:w="1504"/>
          </w:tcPr>
          <w:p>
            <w:r>
              <w:t>Extreme</w:t>
            </w:r>
          </w:p>
        </w:tc>
        <w:tc>
          <w:tcPr>
            <w:tcW w:type="dxa" w:w="1504"/>
          </w:tcPr>
          <w:p>
            <w:r>
              <w:t>57</w:t>
            </w:r>
          </w:p>
        </w:tc>
        <w:tc>
          <w:tcPr>
            <w:tcW w:type="dxa" w:w="1504"/>
          </w:tcPr>
          <w:p>
            <w:r>
              <w:t>63.2</w:t>
            </w:r>
          </w:p>
        </w:tc>
        <w:tc>
          <w:tcPr>
            <w:tcW w:type="dxa" w:w="1504"/>
          </w:tcPr>
          <w:p>
            <w:r>
              <w:t>5.1%</w:t>
            </w:r>
          </w:p>
        </w:tc>
        <w:tc>
          <w:tcPr>
            <w:tcW w:type="dxa" w:w="1504"/>
          </w:tcPr>
          <w:p>
            <w:r>
              <w:t>0.19</w:t>
            </w:r>
          </w:p>
        </w:tc>
        <w:tc>
          <w:tcPr>
            <w:tcW w:type="dxa" w:w="1504"/>
          </w:tcPr>
          <w:p>
            <w:r>
              <w:t>1.28</w:t>
            </w:r>
          </w:p>
        </w:tc>
      </w:tr>
    </w:tbl>
    <w:p>
      <w:pPr>
        <w:pStyle w:val="BodyText"/>
      </w:pPr>
      <w:r>
        <w:t>The conclusion that follows from this table holds regardless of which reasonable chemical model or rainfall bracket boundary is used to derive it. Ordinary rainfall, the light and wet brackets that together cover most of the record, is chemically inert against any plausible buffering practice. Only the heavy and extreme brackets, fewer than 8% of days between them, approach a magnitude worth a chemistry response at all, and even at that extreme the damage is on the order of 1 day of ordinary biological load, not several. A slow integrator with a routine maintenance cycle absorbs this without needing to see it coming, which is the underlying reason a forecast adds so little value to pond chemistry regardless of how accurate that forecast turns out to be.</w:t>
      </w:r>
    </w:p>
    <w:p>
      <w:pPr>
        <w:pStyle w:val="Heading2"/>
      </w:pPr>
      <w:r>
        <w:t>6.5 Reliability of the Forecast Wording</w:t>
      </w:r>
    </w:p>
    <w:p>
      <w:pPr>
        <w:pStyle w:val="FirstParagraph"/>
      </w:pPr>
      <w:r>
        <w:t>The 24-hour periods forecast calls a wording category for each region and each 6-hour block, and pooling the 5 regions into one rank per block yields the tier distribution in Table 6.2, measured at the native block resolution before any daily pooling.</w:t>
      </w:r>
    </w:p>
    <w:p>
      <w:pPr>
        <w:pStyle w:val="TableCaption"/>
      </w:pPr>
      <w:r>
        <w:t>Table 6.2. Forecast tier share and the observed rainfall bucket that followed, at native block resolution.</w:t>
      </w:r>
    </w:p>
    <w:tbl>
      <w:tblPr>
        <w:tblStyle w:val="Table"/>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t>Tier</w:t>
            </w:r>
          </w:p>
        </w:tc>
        <w:tc>
          <w:tcPr>
            <w:tcW w:type="dxa" w:w="1289"/>
          </w:tcPr>
          <w:p>
            <w:r>
              <w:t>Share of blocks</w:t>
            </w:r>
          </w:p>
        </w:tc>
        <w:tc>
          <w:tcPr>
            <w:tcW w:type="dxa" w:w="1289"/>
          </w:tcPr>
          <w:p>
            <w:r>
              <w:t>P(dry)</w:t>
            </w:r>
          </w:p>
        </w:tc>
        <w:tc>
          <w:tcPr>
            <w:tcW w:type="dxa" w:w="1289"/>
          </w:tcPr>
          <w:p>
            <w:r>
              <w:t>P(light)</w:t>
            </w:r>
          </w:p>
        </w:tc>
        <w:tc>
          <w:tcPr>
            <w:tcW w:type="dxa" w:w="1289"/>
          </w:tcPr>
          <w:p>
            <w:r>
              <w:t>P(wet)</w:t>
            </w:r>
          </w:p>
        </w:tc>
        <w:tc>
          <w:tcPr>
            <w:tcW w:type="dxa" w:w="1289"/>
          </w:tcPr>
          <w:p>
            <w:r>
              <w:t>P(heavy)</w:t>
            </w:r>
          </w:p>
        </w:tc>
        <w:tc>
          <w:tcPr>
            <w:tcW w:type="dxa" w:w="1289"/>
          </w:tcPr>
          <w:p>
            <w:r>
              <w:t>P(extreme)</w:t>
            </w:r>
          </w:p>
        </w:tc>
      </w:tr>
      <w:tr>
        <w:tc>
          <w:tcPr>
            <w:tcW w:type="dxa" w:w="1289"/>
          </w:tcPr>
          <w:p>
            <w:r>
              <w:t>Fair</w:t>
            </w:r>
          </w:p>
        </w:tc>
        <w:tc>
          <w:tcPr>
            <w:tcW w:type="dxa" w:w="1289"/>
          </w:tcPr>
          <w:p>
            <w:r>
              <w:t>74.1%</w:t>
            </w:r>
          </w:p>
        </w:tc>
        <w:tc>
          <w:tcPr>
            <w:tcW w:type="dxa" w:w="1289"/>
          </w:tcPr>
          <w:p>
            <w:r>
              <w:t>57.7%</w:t>
            </w:r>
          </w:p>
        </w:tc>
        <w:tc>
          <w:tcPr>
            <w:tcW w:type="dxa" w:w="1289"/>
          </w:tcPr>
          <w:p>
            <w:r>
              <w:t>22.0%</w:t>
            </w:r>
          </w:p>
        </w:tc>
        <w:tc>
          <w:tcPr>
            <w:tcW w:type="dxa" w:w="1289"/>
          </w:tcPr>
          <w:p>
            <w:r>
              <w:t>14.4%</w:t>
            </w:r>
          </w:p>
        </w:tc>
        <w:tc>
          <w:tcPr>
            <w:tcW w:type="dxa" w:w="1289"/>
          </w:tcPr>
          <w:p>
            <w:r>
              <w:t>3.9%</w:t>
            </w:r>
          </w:p>
        </w:tc>
        <w:tc>
          <w:tcPr>
            <w:tcW w:type="dxa" w:w="1289"/>
          </w:tcPr>
          <w:p>
            <w:r>
              <w:t>1.9%</w:t>
            </w:r>
          </w:p>
        </w:tc>
      </w:tr>
      <w:tr>
        <w:tc>
          <w:tcPr>
            <w:tcW w:type="dxa" w:w="1289"/>
          </w:tcPr>
          <w:p>
            <w:r>
              <w:t>Light</w:t>
            </w:r>
          </w:p>
        </w:tc>
        <w:tc>
          <w:tcPr>
            <w:tcW w:type="dxa" w:w="1289"/>
          </w:tcPr>
          <w:p>
            <w:r>
              <w:t>4.3%</w:t>
            </w:r>
          </w:p>
        </w:tc>
        <w:tc>
          <w:tcPr>
            <w:tcW w:type="dxa" w:w="1289"/>
          </w:tcPr>
          <w:p>
            <w:r>
              <w:t>32.3%</w:t>
            </w:r>
          </w:p>
        </w:tc>
        <w:tc>
          <w:tcPr>
            <w:tcW w:type="dxa" w:w="1289"/>
          </w:tcPr>
          <w:p>
            <w:r>
              <w:t>35.0%</w:t>
            </w:r>
          </w:p>
        </w:tc>
        <w:tc>
          <w:tcPr>
            <w:tcW w:type="dxa" w:w="1289"/>
          </w:tcPr>
          <w:p>
            <w:r>
              <w:t>22.2%</w:t>
            </w:r>
          </w:p>
        </w:tc>
        <w:tc>
          <w:tcPr>
            <w:tcW w:type="dxa" w:w="1289"/>
          </w:tcPr>
          <w:p>
            <w:r>
              <w:t>7.2%</w:t>
            </w:r>
          </w:p>
        </w:tc>
        <w:tc>
          <w:tcPr>
            <w:tcW w:type="dxa" w:w="1289"/>
          </w:tcPr>
          <w:p>
            <w:r>
              <w:t>3.3%</w:t>
            </w:r>
          </w:p>
        </w:tc>
      </w:tr>
      <w:tr>
        <w:tc>
          <w:tcPr>
            <w:tcW w:type="dxa" w:w="1289"/>
          </w:tcPr>
          <w:p>
            <w:r>
              <w:t>Thundery</w:t>
            </w:r>
          </w:p>
        </w:tc>
        <w:tc>
          <w:tcPr>
            <w:tcW w:type="dxa" w:w="1289"/>
          </w:tcPr>
          <w:p>
            <w:r>
              <w:t>20.7%</w:t>
            </w:r>
          </w:p>
        </w:tc>
        <w:tc>
          <w:tcPr>
            <w:tcW w:type="dxa" w:w="1289"/>
          </w:tcPr>
          <w:p>
            <w:r>
              <w:t>21.1%</w:t>
            </w:r>
          </w:p>
        </w:tc>
        <w:tc>
          <w:tcPr>
            <w:tcW w:type="dxa" w:w="1289"/>
          </w:tcPr>
          <w:p>
            <w:r>
              <w:t>28.9%</w:t>
            </w:r>
          </w:p>
        </w:tc>
        <w:tc>
          <w:tcPr>
            <w:tcW w:type="dxa" w:w="1289"/>
          </w:tcPr>
          <w:p>
            <w:r>
              <w:t>26.3%</w:t>
            </w:r>
          </w:p>
        </w:tc>
        <w:tc>
          <w:tcPr>
            <w:tcW w:type="dxa" w:w="1289"/>
          </w:tcPr>
          <w:p>
            <w:r>
              <w:t>10.5%</w:t>
            </w:r>
          </w:p>
        </w:tc>
        <w:tc>
          <w:tcPr>
            <w:tcW w:type="dxa" w:w="1289"/>
          </w:tcPr>
          <w:p>
            <w:r>
              <w:t>13.2%</w:t>
            </w:r>
          </w:p>
        </w:tc>
      </w:tr>
      <w:tr>
        <w:tc>
          <w:tcPr>
            <w:tcW w:type="dxa" w:w="1289"/>
          </w:tcPr>
          <w:p>
            <w:r>
              <w:t>Moderate</w:t>
            </w:r>
          </w:p>
        </w:tc>
        <w:tc>
          <w:tcPr>
            <w:tcW w:type="dxa" w:w="1289"/>
          </w:tcPr>
          <w:p>
            <w:r>
              <w:t>0.5%</w:t>
            </w:r>
          </w:p>
        </w:tc>
        <w:tc>
          <w:tcPr>
            <w:tcW w:type="dxa" w:w="1289"/>
          </w:tcPr>
          <w:p>
            <w:r>
              <w:t>0.0%</w:t>
            </w:r>
          </w:p>
        </w:tc>
        <w:tc>
          <w:tcPr>
            <w:tcW w:type="dxa" w:w="1289"/>
          </w:tcPr>
          <w:p>
            <w:r>
              <w:t>50.0%</w:t>
            </w:r>
          </w:p>
        </w:tc>
        <w:tc>
          <w:tcPr>
            <w:tcW w:type="dxa" w:w="1289"/>
          </w:tcPr>
          <w:p>
            <w:r>
              <w:t>25.0%</w:t>
            </w:r>
          </w:p>
        </w:tc>
        <w:tc>
          <w:tcPr>
            <w:tcW w:type="dxa" w:w="1289"/>
          </w:tcPr>
          <w:p>
            <w:r>
              <w:t>25.0%</w:t>
            </w:r>
          </w:p>
        </w:tc>
        <w:tc>
          <w:tcPr>
            <w:tcW w:type="dxa" w:w="1289"/>
          </w:tcPr>
          <w:p>
            <w:r>
              <w:t>0.0%</w:t>
            </w:r>
          </w:p>
        </w:tc>
      </w:tr>
      <w:tr>
        <w:tc>
          <w:tcPr>
            <w:tcW w:type="dxa" w:w="1289"/>
          </w:tcPr>
          <w:p>
            <w:r>
              <w:t>Severe</w:t>
            </w:r>
          </w:p>
        </w:tc>
        <w:tc>
          <w:tcPr>
            <w:tcW w:type="dxa" w:w="1289"/>
          </w:tcPr>
          <w:p>
            <w:r>
              <w:t>0.4%</w:t>
            </w:r>
          </w:p>
        </w:tc>
        <w:tc>
          <w:tcPr>
            <w:tcW w:type="dxa" w:w="1289"/>
          </w:tcPr>
          <w:p>
            <w:r>
              <w:t>0.0%</w:t>
            </w:r>
          </w:p>
        </w:tc>
        <w:tc>
          <w:tcPr>
            <w:tcW w:type="dxa" w:w="1289"/>
          </w:tcPr>
          <w:p>
            <w:r>
              <w:t>0.0%</w:t>
            </w:r>
          </w:p>
        </w:tc>
        <w:tc>
          <w:tcPr>
            <w:tcW w:type="dxa" w:w="1289"/>
          </w:tcPr>
          <w:p>
            <w:r>
              <w:t>50.0%</w:t>
            </w:r>
          </w:p>
        </w:tc>
        <w:tc>
          <w:tcPr>
            <w:tcW w:type="dxa" w:w="1289"/>
          </w:tcPr>
          <w:p>
            <w:r>
              <w:t>0.0%</w:t>
            </w:r>
          </w:p>
        </w:tc>
        <w:tc>
          <w:tcPr>
            <w:tcW w:type="dxa" w:w="1289"/>
          </w:tcPr>
          <w:p>
            <w:r>
              <w:t>50.0%</w:t>
            </w:r>
          </w:p>
        </w:tc>
      </w:tr>
    </w:tbl>
    <w:p>
      <w:pPr>
        <w:pStyle w:val="BodyText"/>
      </w:pPr>
      <w:r>
        <w:t>Two features of this table are worth stating as established rather than provisional. Moderate and Severe together cover under 1% of blocks, too few for either row to be read as a stable estimate, and the ordering between them is not monotonic. Moderate outperforms Severe at the heavy and extreme columns despite nominally describing less intense weather. This is very likely a small-sample artefact rather than a real property of the forecast wording, and any downstream use of these two tiers should pool them rather than treat Severe as strictly worse than Moderate.</w:t>
      </w:r>
    </w:p>
    <w:p>
      <w:pPr>
        <w:pStyle w:val="BodyText"/>
      </w:pPr>
      <w:r>
        <w:t>Thundery, the tier that fires on roughly one block in 5 at native resolution, is close to uninformative on its own. Mining every combination of regional and temporal wording against observed rainfall on the training years, and re-scoring each rule on the held-out period, found that the strongest rules for predicting heavy rain require 3 regions calling Thundery simultaneously, reaching a held-out lift of 5.7, well above any single region's own call. A pond's own region calling Thundery alone is one of the weakest single predictors available, not because that region's forecast is worse than the others but because Singapore's convective rain systems are wide enough that no single region's call adds much once the other four are already known. The value in the periods product turns out to sit in pooling across regions rather than in localising to the pond's own one.</w:t>
      </w:r>
    </w:p>
    <w:p>
      <w:pPr>
        <w:pStyle w:val="Heading2"/>
      </w:pPr>
      <w:r>
        <w:t>6.6 What Localisation and Aggregation Change</w:t>
      </w:r>
    </w:p>
    <w:p>
      <w:pPr>
        <w:pStyle w:val="FirstParagraph"/>
      </w:pPr>
      <w:r>
        <w:t>The finding in the previous section, that a pond's own region does not outperform the pool, was checked directly rather than inferred. Scoring each of the 5 regional forecasts separately against measured rainfall at the Woodlands cluster and ranking them by discrimination places the pond's own northern region no better than 4th of 5 at any adverse rainfall threshold tested, and pooling all 5 beats every individual region including the pond's own. This is consistent with a rainband wide enough to cover most of a 50-kilometre island at once, in which case 5 regional forecasts are 5 separate noisy readings of the same physical event rather than 5 genuinely different pieces of information, and averaging noisy readings of one shared signal is expected to outperform trusting any single one of them.</w:t>
      </w:r>
    </w:p>
    <w:p>
      <w:pPr>
        <w:pStyle w:val="BodyText"/>
      </w:pPr>
      <w:r>
        <w:t>A related check asked whether a forecast that has called a storm and been wrong tends to keep calling it, which would produce runs of false alarms ahead of a delayed real event rather than genuinely uninformative repetition. At the daily pooled resolution used throughout this chapter, a Thundery call that verified against actual heavy or extreme rain was followed by another Thundery call the next day roughly a third of the time, while a call that missed was followed by another call only 7% of the time, a real and fairly large gap in the opposite direction from the bracing hypothesis. The length of a current run of consecutive Thundery calls, however, carries essentially no information about whether today itself will bring heavy rain, an area under the curve of 0.508 against an uninformative value of 0.5. The conditional call-repetition rate above was measured at the daily pooled tier used throughout this chapter, coarser than the individual forecast issuance, and a repeat of the same check at issuance level would be a reasonable next step before treating that specific rate as final. The more load-bearing conclusion, that streak length itself is not a usable signal, is unlikely to depend on that choice of resolution.</w:t>
      </w:r>
    </w:p>
    <w:p>
      <w:pPr>
        <w:pStyle w:val="Heading2"/>
      </w:pPr>
      <w:r>
        <w:t>6.7 The Variable Window Action Ladder</w:t>
      </w:r>
    </w:p>
    <w:p>
      <w:pPr>
        <w:pStyle w:val="FirstParagraph"/>
      </w:pPr>
      <w:r>
        <w:t>The remainder of this chapter is organised around the four lead times NEA's forecast suite actually supplies, from the longest to the shortest, followed by the zero-lead value of the rain gauge itself. Each window answers a different kind of question, and each was validated against the training and held-out split described in section 6.3.</w:t>
      </w:r>
    </w:p>
    <w:p>
      <w:pPr>
        <w:pStyle w:val="Heading3"/>
      </w:pPr>
      <w:r>
        <w:t>6.7.1 Long Window: The 4-Day Outlook</w:t>
      </w:r>
    </w:p>
    <w:p>
      <w:pPr>
        <w:pStyle w:val="FirstParagraph"/>
      </w:pPr>
      <w:r>
        <w:t>Predicting a hot day 1, 3 and 5 days ahead from observed temperature alone, then again with the 4-day outlook's own temperature added, and measuring the change in discrimination with a moving-block bootstrap that respects the day-to-day correlation of weather, produced a positive and statistically clear gain at every horizon tested once the station network correction from section 6.2.5 was applied. The gain was 0.032 at 1 day, 0.037 at 3 days and 0.038 at 5 days, with every confidence interval entirely above zero. A control measurement using rainfall rather than heat as the outcome, run alongside the main test, found a gain of 0.058, also entirely above zero, so the outlook does carry real information about the days ahead for both quantities. Whether that information is useful is a separate question from whether it exists, and section 6.4 already answered it for rain. For heat, section 6.7.2 shows that the outlook remains useful even once a same-day sensor reading is available, which is why it is included as an actionable rather than merely informative layer in the ladder this chapter proposes.</w:t>
      </w:r>
    </w:p>
    <w:p>
      <w:pPr>
        <w:pStyle w:val="Heading3"/>
      </w:pPr>
      <w:r>
        <w:t>6.7.2 Short Same-Day Window: Pooled Periods</w:t>
      </w:r>
    </w:p>
    <w:p>
      <w:pPr>
        <w:pStyle w:val="FirstParagraph"/>
      </w:pPr>
      <w:r>
        <w:t>Two same-day rules were tested against the held-out period. A window rule fires when the day's pooled periods rank sits in the driest 16% of training days, and it reached a held-out precision of 86% for the day itself being dry, against a base rate of 52%, holding a lift above 1 in every one of the 7 years in the record with a standard deviation across those years of only 0.056. This is the most stable single result anywhere in this chapter and is well suited to scheduling maintenance that rain would interrupt, a water change or a filter clean, since acting on a false window costs only a wasted trip rather than any harm to the fish.</w:t>
      </w:r>
    </w:p>
    <w:p>
      <w:pPr>
        <w:pStyle w:val="BodyText"/>
      </w:pPr>
      <w:r>
        <w:t>A second rule, called PREEMPT, fires when the day is already observed to be hot and the 4-day outlook's own temperature for the days ahead is also in its hottest quarter of training days, predicting that the heat will hold rather than break over the next 3 days. Once the station network correction from section 6.2.5 was applied, this rule reached a held-out precision of 88.5% against a base rate of 52.5%, again clearing a lift above 1 in all 7 years, with the two most recent years, 2025 and 2026, sitting inside the same range as the 5 years before them rather than below it as an earlier, uncorrected pass of this analysis had reported. This is the highest-precision same-day advisory in the entire chapter, and the clearest case in the whole record of the outlook adding something a same-day sensor alone does not already supply, since the sensor-alone condition, hot today with no outlook term, reached only 79.8% precision on the same held-out period.</w:t>
      </w:r>
    </w:p>
    <w:p>
      <w:pPr>
        <w:pStyle w:val="Heading3"/>
      </w:pPr>
      <w:r>
        <w:t>6.7.3 Very Short Window: The 2-Hour Nowcast</w:t>
      </w:r>
    </w:p>
    <w:p>
      <w:pPr>
        <w:pStyle w:val="FirstParagraph"/>
      </w:pPr>
      <w:r>
        <w:t>The 2-hour nowcast's own wording, mapped onto the same five-tier scale used throughout this chapter, was checked against actual rainfall measured within its own 2-hour validity window using the Woodlands cluster hourly series. A non-fair call reached a held-out precision of 62% against a base rate of 21%, a lift of 3, for rain actually landing somewhere inside that call's own window.</w:t>
      </w:r>
    </w:p>
    <w:p>
      <w:pPr>
        <w:pStyle w:val="BodyText"/>
      </w:pPr>
      <w:r>
        <w:t>The more useful measurement asks how much warning the nowcast gives before a rain gauge would otherwise register the same event starting. An onset was defined as any hour in which the Woodlands cluster mean rainfall crossed 0.2 millimetres after 2 preceding dry hours, and 1,722 such onsets occur across the record. 79% of them had already been flagged by a non-fair nowcast issuance before the onset hour began, with a median lead time of 50 minutes among the onsets that were flagged, an interquartile range running from 14 to 90 minutes. No other layer in this chapter's ladder offers this kind of notice. The 4-day outlook and the same-day periods forecast both describe conditions well before they arrive, but neither updates fast enough to tell a keeper that rain is starting within the hour, and the rain gauge itself, by definition, can only report what has already happened. The 2-hour nowcast is the one product in the entire NEA suite positioned to close that specific gap, and its precision, while lower than the same-day rules in section 6.7.2, is more than adequate for a short-fuse action such as topping up aeration or bringing in feed left outside, where the cost of a false alarm is a few minutes of unnecessary effort rather than a missed maintenance window or a wrongly deferred water change.</w:t>
      </w:r>
    </w:p>
    <w:p>
      <w:pPr>
        <w:pStyle w:val="Heading3"/>
      </w:pPr>
      <w:r>
        <w:t>6.7.4 Zero Lead: REACT and the Reactive Baseline</w:t>
      </w:r>
    </w:p>
    <w:p>
      <w:pPr>
        <w:pStyle w:val="FirstParagraph"/>
      </w:pPr>
      <w:r>
        <w:t>A rule that fires on rain already measured by the gauge, exceeding 50 millimetres in the previous day in this chapter's implementation, is precise by construction rather than by any forecasting skill, since it is reporting a fact rather than predicting one. Its value lies in serving as the backstop that fires once every earlier layer in the ladder has already been overtaken by events, prompting a check on buffer chemistry after a rain event large enough that section 6.4's magnitude argument no longer guarantees the routine maintenance cycle has absorbed it unnoticed. Framed this way, REACT answers a different question than the other three layers, catching whatever they did not, rather than competing with them for the same decision.</w:t>
      </w:r>
    </w:p>
    <w:p>
      <w:pPr>
        <w:pStyle w:val="Heading2"/>
      </w:pPr>
      <w:r>
        <w:t>6.8 Robustness Checks</w:t>
      </w:r>
    </w:p>
    <w:p>
      <w:pPr>
        <w:pStyle w:val="FirstParagraph"/>
      </w:pPr>
      <w:r>
        <w:t>Three additional checks were run against this chapter's own results before they were reported as final.</w:t>
      </w:r>
    </w:p>
    <w:p>
      <w:pPr>
        <w:pStyle w:val="BodyText"/>
      </w:pPr>
      <w:r>
        <w:t>A permutation control compared the window and PREEMPT rules from section 6.7.2 against 2,000 random same-size selections from the same held-out pool. Both rules' real precision, 86% and 88.5% respectively, fell entirely outside the 95% range the random selections produced, which was centred close to each rule's own base rate as expected. Neither rule is an artefact of a favourable base rate dressed up as a finding.</w:t>
      </w:r>
    </w:p>
    <w:p>
      <w:pPr>
        <w:pStyle w:val="BodyText"/>
      </w:pPr>
      <w:r>
        <w:t>A residual skill test removed the hottest 30% of held-out days entirely and asked whether the outlook's own hot call still discriminated within an ordinary range, Tmax spanning 24 to 32 degrees. It retained 81% of its original lift on that residual, well above the low retention a rule that only detects obvious extremes would show. The heat signal this chapter reports is graded rather than an extremes-only detector, which matters because an advisory that only ever fires on days a keeper would have noticed unaided is not adding anything worth building.</w:t>
      </w:r>
    </w:p>
    <w:p>
      <w:pPr>
        <w:pStyle w:val="BodyText"/>
      </w:pPr>
      <w:r>
        <w:t>The persistence and streak checks described in section 6.6 complete this section's set of validations. All three were added once their value for distinguishing a real result from a base-rate artefact or an extremes-only detector became clear over the course of the investigation, and the chapter is stronger for including them.</w:t>
      </w:r>
    </w:p>
    <w:p>
      <w:pPr>
        <w:pStyle w:val="Heading2"/>
      </w:pPr>
      <w:r>
        <w:t>6.9 A Concurrent Multi-Window Advisory</w:t>
      </w:r>
    </w:p>
    <w:p>
      <w:pPr>
        <w:pStyle w:val="FirstParagraph"/>
      </w:pPr>
      <w:r>
        <w:t>The four layers in section 6.7 are not a hierarchy in which one is chosen over the others. They answer different questions at different lead times, and a system built on this analysis should watch all four continuously rather than commit to a single horizon. A pond keeper deciding whether to plan a water change 3 days out, whether to hold off feeding this afternoon, whether to bring in a feeder left outdoors in the next hour, and whether last night's rain needs a buffer check this morning, is asking four different questions that happen to share one data source.</w:t>
      </w:r>
    </w:p>
    <w:p>
      <w:pPr>
        <w:pStyle w:val="BodyText"/>
      </w:pPr>
      <w:r>
        <w:t>The practical design this suggests runs each of the four rules from section 6.7 continuously and independently against the freshest data each one has, rather than collapsing them into a single combined score. The 4-day outlook feeds a standing heat-awareness state, updated twice daily, that flags whether the coming days look set to hold a current heat stretch rather than break it. The same-day periods forecast feeds two independent same-day flags, one for maintenance scheduling and one for feeding adjustment, each carrying its own validated precision from section 6.7.2 rather than a blended one. The 2-hour nowcast feeds a short-fuse alert, refreshed roughly every 30 minutes, for whichever of the immediately actionable responses, aeration, feed placement, deferring a change already in progress, the current 2-hour window actually supports. The rain gauge itself continues to drive the existing reactive check unconditionally, since section 6.7.4 established that this layer's value lies precisely in never depending on any of the other three having worked.</w:t>
      </w:r>
    </w:p>
    <w:p>
      <w:pPr>
        <w:pStyle w:val="BodyText"/>
      </w:pPr>
      <w:r>
        <w:t>Two design consequences follow directly from the numbers in section 6.5 and section 6.7 and are worth stating explicitly rather than left implicit in the tables. The Thundery wording that dominates the periods forecast should not be surfaced to a keeper as an alert in its own right, since a signal present on a majority of days at a lift barely above 1 trains a user to stop reading it long before it might occasionally matter. And the same-day window most favourable for pond maintenance is, by the mechanism in section 6.5, also close to the same conditions favourable for algal growth and thermal stress, so a system that only ever advertises the maintenance convenience of a clear day is reporting half of what that day actually means for the fish in the pond.</w:t>
      </w:r>
    </w:p>
    <w:p>
      <w:pPr>
        <w:pStyle w:val="Heading2"/>
      </w:pPr>
      <w:r>
        <w:t>6.10 Limitations</w:t>
      </w:r>
    </w:p>
    <w:p>
      <w:pPr>
        <w:pStyle w:val="FirstParagraph"/>
      </w:pPr>
      <w:r>
        <w:t>The water temperature a pond actually experiences is not measured directly anywhere in this record, and every heat-related figure in this chapter is stated in terms of observed air temperature rather than a modelled or measured pond temperature. A first-order lag model relating the two exists elsewhere in the project but was not applied here, and the frequency of an absolute event such as 30-degree water is known from other work in this project to be highly sensitive to the lag and offset assumed, ranging from 2% to 90% of days across plausible parameter choices. Every comparison in this chapter is therefore a relative one, a lift or a discrimination measure, rather than a stated frequency of a specific water-temperature threshold, and that relative framing should be preserved if this material is summarised elsewhere.</w:t>
      </w:r>
    </w:p>
    <w:p>
      <w:pPr>
        <w:pStyle w:val="BodyText"/>
      </w:pPr>
      <w:r>
        <w:t>The 1-day horizon in section 6.7.1 deserves a specific note. A lag-filtered proxy for water temperature, tested against the same 1-day question through an unfitted combination of signals rather than a fitted one, would be expected to show an apparently different result at that horizon specifically. A target already discriminated at an area under the curve close to 0.97 by yesterday's own reading leaves an added signal almost no room to help and considerable room to hurt once blended in without a fitted weight, since only a small amount of noise in that signal is needed to subtract from a baseline already that close to its ceiling. The air temperature target used throughout this chapter starts from a lower and less saturated baseline, and the outlook is combined with it through a fitted logistic regression that can discount an unhelpful signal toward zero rather than blend it in unconditionally. The positive 1-day gain reported in section 6.7.1 is the reading this chapter treats as correct: a target measured directly rather than modelled, combined by a method that does not force in a signal it has no evidence for.</w:t>
      </w:r>
    </w:p>
    <w:p>
      <w:pPr>
        <w:pStyle w:val="BodyText"/>
      </w:pPr>
      <w:r>
        <w:t>The station network correction in section 6.2.5 was derived from the two regimes' own means and standard deviations rather than from an independent calibration source, since no period exists in which both the old and new station configurations were running simultaneously. The correction is defensible as a variance-matching exercise rather than as an arbitrary adjustment, but it remains a correction rather than a measurement, and any future extension of this dataset that changes station coverage again should repeat the same check before extending the corrected threshold further.</w:t>
      </w:r>
    </w:p>
    <w:p>
      <w:pPr>
        <w:pStyle w:val="BodyText"/>
      </w:pPr>
      <w:r>
        <w:t>Every threshold in this chapter was chosen once by inspecting quantiles of the training period, which is a defensible and stated procedure but is not the same as a threshold specified before any data was seen. A stricter validation, on a further held-out period using thresholds fixed in advance of that period specifically, would be expected to soften some of the precision figures reported here, in the same direction the training-to-test gap already visible in several tables suggests.</w:t>
      </w:r>
    </w:p>
    <w:p>
      <w:pPr>
        <w:pStyle w:val="Heading2"/>
      </w:pPr>
      <w:r>
        <w:t>6.11 Conclusion</w:t>
      </w:r>
    </w:p>
    <w:p>
      <w:pPr>
        <w:pStyle w:val="FirstParagraph"/>
      </w:pPr>
      <w:r>
        <w:t>3 days of largely unattended scraping closed the gaps that made this chapter possible, extended the temperature record to the present, and added a 2-hour nowcast product that no earlier pass over this data had examined. Checking the newly closed dataset against thresholds calibrated before the gap was closed surfaced one real defect, a station network variance mismatch that had silently inverted a headline conclusion, and prompted several validation techniques that this chapter now treats as a standing part of its method rather than a one-time check.</w:t>
      </w:r>
    </w:p>
    <w:p>
      <w:pPr>
        <w:pStyle w:val="BodyText"/>
      </w:pPr>
      <w:r>
        <w:t>The finding that survives all of this is a specific one rather than a general endorsement or rejection of NEA's forecast supply. Rainfall prediction does not earn its place in pond chemistry at any lead time tested, because the chemistry it would protect is slow enough, and the gauge fast enough, that acting after the fact costs nothing a forecast could have saved. Heat prediction does earn its place, and does so differently at every lead time NEA offers. The 4-day outlook gives several days of standing awareness that a hot stretch is likely to continue. The same-day periods forecast, combined with the pond's own sensor, gives the single most precise advisory in this chapter for whether today is part of that stretch. The 2-hour nowcast, validated here for the first time, gives the only genuine minutes of warning before rain actually starts, useful for exactly the short-fuse actions the longer horizons cannot reach. The rain gauge itself, entirely without predictive ambition, remains the backstop that catches whatever the other three did not. A system built to use all four windows at once, each answering the question it is actually suited to answer, is the concrete recommendation this chapter makes for turning 6 years of NEA's public data into something a pond keeper can act on before, rather than after, the weather that matters arrives.</w:t>
      </w:r>
    </w:p>
    <w:p w14:paraId="1EEAC758" w14:textId="77777777" w:rsidR="00DB1607" w:rsidRPr="00B95EB3" w:rsidRDefault="00000000">
      <w:pPr>
        <w:pStyle w:val="Heading1"/>
        <w:rPr>
          <w:rFonts w:asciiTheme="majorHAnsi" w:hAnsiTheme="majorHAnsi" w:cstheme="majorHAnsi"/>
        </w:rPr>
      </w:pPr>
      <w:bookmarkStart w:id="252" w:name="chapter-6-results"/>
      <w:bookmarkStart w:id="253" w:name="_Toc241565785"/>
      <w:bookmarkEnd w:id="204"/>
      <w:bookmarkEnd w:id="250"/>
      <w:r w:rsidRPr="00B95EB3">
        <w:rPr>
          <w:rFonts w:asciiTheme="majorHAnsi" w:hAnsiTheme="majorHAnsi" w:cstheme="majorHAnsi"/>
        </w:rPr>
        <w:t>Chapter 7: Results</w:t>
      </w:r>
      <w:bookmarkEnd w:id="253"/>
    </w:p>
    <w:p w14:paraId="2FEE5050" w14:textId="77777777" w:rsidR="00DB1607" w:rsidRPr="00B95EB3" w:rsidRDefault="00000000">
      <w:pPr>
        <w:pStyle w:val="Heading2"/>
        <w:rPr>
          <w:rFonts w:asciiTheme="majorHAnsi" w:hAnsiTheme="majorHAnsi" w:cstheme="majorHAnsi"/>
        </w:rPr>
      </w:pPr>
      <w:bookmarkStart w:id="254" w:name="status-of-the-results"/>
      <w:bookmarkStart w:id="255" w:name="_Toc241565786"/>
      <w:r w:rsidRPr="00B95EB3">
        <w:rPr>
          <w:rFonts w:asciiTheme="majorHAnsi" w:hAnsiTheme="majorHAnsi" w:cstheme="majorHAnsi"/>
        </w:rPr>
        <w:t>7.1 Status of the Results</w:t>
      </w:r>
      <w:bookmarkEnd w:id="255"/>
    </w:p>
    <w:p w14:paraId="648BE2A1"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Two bodies of evidence feed this chapter, and they are at different stages. The automated software verification is complete and is summarised in Section 7.2, with details in Chapter 5. The bench, field and full-system tests defined in Chapter 4 are pending, and Section 7.3 gives the structure in which their results will be reported, so that each result is set against the acceptance limit fixed before testing. The historical analysis of NEA forecast and observation data is reported separately in Chapter 6.</w:t>
      </w:r>
    </w:p>
    <w:p w14:paraId="6B0D022A" w14:textId="77777777" w:rsidR="00DB1607" w:rsidRPr="00B95EB3" w:rsidRDefault="00000000">
      <w:pPr>
        <w:pStyle w:val="Heading2"/>
        <w:rPr>
          <w:rFonts w:asciiTheme="majorHAnsi" w:hAnsiTheme="majorHAnsi" w:cstheme="majorHAnsi"/>
        </w:rPr>
      </w:pPr>
      <w:bookmarkStart w:id="270" w:name="software-verification"/>
      <w:bookmarkStart w:id="271" w:name="_Toc241565794"/>
      <w:bookmarkEnd w:id="256"/>
      <w:bookmarkEnd w:id="268"/>
      <w:r w:rsidRPr="00B95EB3">
        <w:rPr>
          <w:rFonts w:asciiTheme="majorHAnsi" w:hAnsiTheme="majorHAnsi" w:cstheme="majorHAnsi"/>
        </w:rPr>
        <w:t>7.2 Software Verification</w:t>
      </w:r>
      <w:bookmarkEnd w:id="271"/>
    </w:p>
    <w:p w14:paraId="6D18E7A3"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automated tests described in Chapter 5 all pass on the refactored code: 66 firmware logic checks, 297 digital twin checks across eight scripts, and the five Flutter test files per the refactor log (Table 5.4). The contract test confirms that every field the application reads is produced by the server. These results show that the software does what it was designed to do. They do not validate the model parameters, which depend on the measurements in Section 7.3.</w:t>
      </w:r>
    </w:p>
    <w:p w14:paraId="6F7B4515" w14:textId="77777777" w:rsidR="00DB1607" w:rsidRPr="00B95EB3" w:rsidRDefault="00000000">
      <w:pPr>
        <w:pStyle w:val="Heading2"/>
        <w:rPr>
          <w:rFonts w:asciiTheme="majorHAnsi" w:hAnsiTheme="majorHAnsi" w:cstheme="majorHAnsi"/>
        </w:rPr>
      </w:pPr>
      <w:bookmarkStart w:id="272" w:name="bench-field-and-full-system-results"/>
      <w:bookmarkStart w:id="273" w:name="_Toc241565795"/>
      <w:bookmarkEnd w:id="270"/>
      <w:r w:rsidRPr="00B95EB3">
        <w:rPr>
          <w:rFonts w:asciiTheme="majorHAnsi" w:hAnsiTheme="majorHAnsi" w:cstheme="majorHAnsi"/>
        </w:rPr>
        <w:t>7.3 Bench, Field and Full-System Results</w:t>
      </w:r>
      <w:bookmarkEnd w:id="273"/>
    </w:p>
    <w:p w14:paraId="671633FB"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This section is completed as the tests in Chapter 4 are run. Each table lists the acceptance limit set in Chapter 4 so that each result is read against a target fixed in advance.</w:t>
      </w:r>
    </w:p>
    <w:p w14:paraId="59D5200A" w14:textId="77777777" w:rsidR="00DB1607" w:rsidRPr="00B95EB3" w:rsidRDefault="00000000">
      <w:pPr>
        <w:pStyle w:val="Heading3"/>
        <w:rPr>
          <w:rFonts w:asciiTheme="majorHAnsi" w:hAnsiTheme="majorHAnsi" w:cstheme="majorHAnsi"/>
        </w:rPr>
      </w:pPr>
      <w:bookmarkStart w:id="274" w:name="tier-1-functional-results"/>
      <w:bookmarkStart w:id="275" w:name="_Toc241565796"/>
      <w:r w:rsidRPr="00B95EB3">
        <w:rPr>
          <w:rFonts w:asciiTheme="majorHAnsi" w:hAnsiTheme="majorHAnsi" w:cstheme="majorHAnsi"/>
        </w:rPr>
        <w:t>7.3.1 Tier 1 Functional Results</w:t>
      </w:r>
      <w:bookmarkEnd w:id="275"/>
    </w:p>
    <w:p w14:paraId="603B0323"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7.1. Tier 1 results.</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3211"/>
        <w:gridCol w:w="4017"/>
        <w:gridCol w:w="1451"/>
        <w:gridCol w:w="507"/>
      </w:tblGrid>
      <w:tr w:rsidR="00DB1607" w:rsidRPr="00B95EB3" w14:paraId="07F25CD4"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52F437F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Test</w:t>
            </w:r>
          </w:p>
        </w:tc>
        <w:tc>
          <w:tcPr>
            <w:tcW w:w="0" w:type="auto"/>
            <w:shd w:val="clear" w:color="auto" w:fill="EDEFF2"/>
          </w:tcPr>
          <w:p w14:paraId="7E131DC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Acceptance limit</w:t>
            </w:r>
          </w:p>
        </w:tc>
        <w:tc>
          <w:tcPr>
            <w:tcW w:w="0" w:type="auto"/>
            <w:shd w:val="clear" w:color="auto" w:fill="EDEFF2"/>
          </w:tcPr>
          <w:p w14:paraId="3E6A0D1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Result</w:t>
            </w:r>
          </w:p>
        </w:tc>
        <w:tc>
          <w:tcPr>
            <w:tcW w:w="0" w:type="auto"/>
            <w:shd w:val="clear" w:color="auto" w:fill="EDEFF2"/>
          </w:tcPr>
          <w:p w14:paraId="0586302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Pass</w:t>
            </w:r>
          </w:p>
        </w:tc>
      </w:tr>
      <w:tr w:rsidR="00DB1607" w:rsidRPr="00B95EB3" w14:paraId="06FAE633" w14:textId="77777777">
        <w:tc>
          <w:tcPr>
            <w:tcW w:w="0" w:type="auto"/>
          </w:tcPr>
          <w:p w14:paraId="77DFF2E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Temperature against reference, 20 °C to 40 °C</w:t>
            </w:r>
          </w:p>
        </w:tc>
        <w:tc>
          <w:tcPr>
            <w:tcW w:w="0" w:type="auto"/>
          </w:tcPr>
          <w:p w14:paraId="65756E9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Within ±0.5 °C</w:t>
            </w:r>
          </w:p>
        </w:tc>
        <w:tc>
          <w:tcPr>
            <w:tcW w:w="0" w:type="auto"/>
          </w:tcPr>
          <w:p w14:paraId="652164F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4D2B08B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r w:rsidR="00DB1607" w:rsidRPr="00B95EB3" w14:paraId="5EFE6B53" w14:textId="77777777">
        <w:tc>
          <w:tcPr>
            <w:tcW w:w="0" w:type="auto"/>
          </w:tcPr>
          <w:p w14:paraId="625DD41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pH buffers after calibration</w:t>
            </w:r>
          </w:p>
        </w:tc>
        <w:tc>
          <w:tcPr>
            <w:tcW w:w="0" w:type="auto"/>
          </w:tcPr>
          <w:p w14:paraId="449E84F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Within ±0.1 pH, repeatable on second pass</w:t>
            </w:r>
          </w:p>
        </w:tc>
        <w:tc>
          <w:tcPr>
            <w:tcW w:w="0" w:type="auto"/>
          </w:tcPr>
          <w:p w14:paraId="105F04C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2847A12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r w:rsidR="00DB1607" w:rsidRPr="00B95EB3" w14:paraId="1822357D" w14:textId="77777777">
        <w:tc>
          <w:tcPr>
            <w:tcW w:w="0" w:type="auto"/>
          </w:tcPr>
          <w:p w14:paraId="6168294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pH settling time</w:t>
            </w:r>
          </w:p>
        </w:tc>
        <w:tc>
          <w:tcPr>
            <w:tcW w:w="0" w:type="auto"/>
          </w:tcPr>
          <w:p w14:paraId="7404E96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Output flat within the 5 s limit, or limit raised</w:t>
            </w:r>
          </w:p>
        </w:tc>
        <w:tc>
          <w:tcPr>
            <w:tcW w:w="0" w:type="auto"/>
          </w:tcPr>
          <w:p w14:paraId="7B7BE9D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5BC7B97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r w:rsidR="00DB1607" w:rsidRPr="00B95EB3" w14:paraId="66EBC78D" w14:textId="77777777">
        <w:tc>
          <w:tcPr>
            <w:tcW w:w="0" w:type="auto"/>
          </w:tcPr>
          <w:p w14:paraId="736AC58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pH with TDS probe present and absent</w:t>
            </w:r>
          </w:p>
        </w:tc>
        <w:tc>
          <w:tcPr>
            <w:tcW w:w="0" w:type="auto"/>
          </w:tcPr>
          <w:p w14:paraId="622923C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Mean shift within ±0.1 pH</w:t>
            </w:r>
          </w:p>
        </w:tc>
        <w:tc>
          <w:tcPr>
            <w:tcW w:w="0" w:type="auto"/>
          </w:tcPr>
          <w:p w14:paraId="5F4DC79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45EE6D8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r w:rsidR="00DB1607" w:rsidRPr="00B95EB3" w14:paraId="1A1DEABA" w14:textId="77777777">
        <w:tc>
          <w:tcPr>
            <w:tcW w:w="0" w:type="auto"/>
          </w:tcPr>
          <w:p w14:paraId="7E53565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lastRenderedPageBreak/>
              <w:t>TDS second-point check</w:t>
            </w:r>
          </w:p>
        </w:tc>
        <w:tc>
          <w:tcPr>
            <w:tcW w:w="0" w:type="auto"/>
          </w:tcPr>
          <w:p w14:paraId="5E23696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Error within 10 % at the second standard</w:t>
            </w:r>
          </w:p>
        </w:tc>
        <w:tc>
          <w:tcPr>
            <w:tcW w:w="0" w:type="auto"/>
          </w:tcPr>
          <w:p w14:paraId="0F9021C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276CF5C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r w:rsidR="00DB1607" w:rsidRPr="00B95EB3" w14:paraId="1D710A94" w14:textId="77777777">
        <w:tc>
          <w:tcPr>
            <w:tcW w:w="0" w:type="auto"/>
          </w:tcPr>
          <w:p w14:paraId="08C298B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Light across four conditions</w:t>
            </w:r>
          </w:p>
        </w:tc>
        <w:tc>
          <w:tcPr>
            <w:tcW w:w="0" w:type="auto"/>
          </w:tcPr>
          <w:p w14:paraId="2C6998B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Conditions separated, no unflagged saturation or false zero</w:t>
            </w:r>
          </w:p>
        </w:tc>
        <w:tc>
          <w:tcPr>
            <w:tcW w:w="0" w:type="auto"/>
          </w:tcPr>
          <w:p w14:paraId="6A13B3F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10EADEC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r w:rsidR="00DB1607" w:rsidRPr="00B95EB3" w14:paraId="37365ED5" w14:textId="77777777">
        <w:tc>
          <w:tcPr>
            <w:tcW w:w="0" w:type="auto"/>
          </w:tcPr>
          <w:p w14:paraId="14AF8F8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Camera state sequence</w:t>
            </w:r>
          </w:p>
        </w:tc>
        <w:tc>
          <w:tcPr>
            <w:tcW w:w="0" w:type="auto"/>
          </w:tcPr>
          <w:p w14:paraId="2E221DF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States, baseline and intervals match Table 3.8</w:t>
            </w:r>
          </w:p>
        </w:tc>
        <w:tc>
          <w:tcPr>
            <w:tcW w:w="0" w:type="auto"/>
          </w:tcPr>
          <w:p w14:paraId="6DE5349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0D209D1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r w:rsidR="00DB1607" w:rsidRPr="00B95EB3" w14:paraId="56B737EA" w14:textId="77777777">
        <w:tc>
          <w:tcPr>
            <w:tcW w:w="0" w:type="auto"/>
          </w:tcPr>
          <w:p w14:paraId="3BE0DA0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Current in each mode</w:t>
            </w:r>
          </w:p>
        </w:tc>
        <w:tc>
          <w:tcPr>
            <w:tcW w:w="0" w:type="auto"/>
          </w:tcPr>
          <w:p w14:paraId="3C1A52A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Measured values recorded against Table 3.4</w:t>
            </w:r>
          </w:p>
        </w:tc>
        <w:tc>
          <w:tcPr>
            <w:tcW w:w="0" w:type="auto"/>
          </w:tcPr>
          <w:p w14:paraId="58E0DAE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4539D54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r w:rsidR="00DB1607" w:rsidRPr="00B95EB3" w14:paraId="60676605" w14:textId="77777777">
        <w:tc>
          <w:tcPr>
            <w:tcW w:w="0" w:type="auto"/>
          </w:tcPr>
          <w:p w14:paraId="4DE8FE4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Access point removed during upload</w:t>
            </w:r>
          </w:p>
        </w:tc>
        <w:tc>
          <w:tcPr>
            <w:tcW w:w="0" w:type="auto"/>
          </w:tcPr>
          <w:p w14:paraId="7E6F9D5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Bounded give-up, backoff and recovery</w:t>
            </w:r>
          </w:p>
        </w:tc>
        <w:tc>
          <w:tcPr>
            <w:tcW w:w="0" w:type="auto"/>
          </w:tcPr>
          <w:p w14:paraId="1AF4119D"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2054630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bl>
    <w:p w14:paraId="79C1B849" w14:textId="77777777" w:rsidR="00DB1607" w:rsidRPr="00B95EB3" w:rsidRDefault="00000000">
      <w:pPr>
        <w:pStyle w:val="Heading3"/>
        <w:rPr>
          <w:rFonts w:asciiTheme="majorHAnsi" w:hAnsiTheme="majorHAnsi" w:cstheme="majorHAnsi"/>
        </w:rPr>
      </w:pPr>
      <w:bookmarkStart w:id="276" w:name="tds-context-log-viability"/>
      <w:bookmarkStart w:id="277" w:name="_Toc241565797"/>
      <w:bookmarkEnd w:id="274"/>
      <w:r w:rsidRPr="00B95EB3">
        <w:rPr>
          <w:rFonts w:asciiTheme="majorHAnsi" w:hAnsiTheme="majorHAnsi" w:cstheme="majorHAnsi"/>
        </w:rPr>
        <w:t>7.3.2 TDS Context-Log Viability</w:t>
      </w:r>
      <w:bookmarkEnd w:id="277"/>
    </w:p>
    <w:p w14:paraId="17C7CCFF"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7.2. TDS context-log results.</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3002"/>
        <w:gridCol w:w="4131"/>
        <w:gridCol w:w="1546"/>
        <w:gridCol w:w="507"/>
      </w:tblGrid>
      <w:tr w:rsidR="00DB1607" w:rsidRPr="00B95EB3" w14:paraId="1E3E69D0"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67100B8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Test</w:t>
            </w:r>
          </w:p>
        </w:tc>
        <w:tc>
          <w:tcPr>
            <w:tcW w:w="0" w:type="auto"/>
            <w:shd w:val="clear" w:color="auto" w:fill="EDEFF2"/>
          </w:tcPr>
          <w:p w14:paraId="6D964EE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Acceptance limit</w:t>
            </w:r>
          </w:p>
        </w:tc>
        <w:tc>
          <w:tcPr>
            <w:tcW w:w="0" w:type="auto"/>
            <w:shd w:val="clear" w:color="auto" w:fill="EDEFF2"/>
          </w:tcPr>
          <w:p w14:paraId="3A5D8AC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Result</w:t>
            </w:r>
          </w:p>
        </w:tc>
        <w:tc>
          <w:tcPr>
            <w:tcW w:w="0" w:type="auto"/>
            <w:shd w:val="clear" w:color="auto" w:fill="EDEFF2"/>
          </w:tcPr>
          <w:p w14:paraId="31A190D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Pass</w:t>
            </w:r>
          </w:p>
        </w:tc>
      </w:tr>
      <w:tr w:rsidR="00DB1607" w:rsidRPr="00B95EB3" w14:paraId="6377CB38" w14:textId="77777777">
        <w:tc>
          <w:tcPr>
            <w:tcW w:w="0" w:type="auto"/>
          </w:tcPr>
          <w:p w14:paraId="5B6E250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T1 Detection floor</w:t>
            </w:r>
          </w:p>
        </w:tc>
        <w:tc>
          <w:tcPr>
            <w:tcW w:w="0" w:type="auto"/>
          </w:tcPr>
          <w:p w14:paraId="2B8E8C6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Floor defined from 24 h to 48 h log</w:t>
            </w:r>
          </w:p>
        </w:tc>
        <w:tc>
          <w:tcPr>
            <w:tcW w:w="0" w:type="auto"/>
          </w:tcPr>
          <w:p w14:paraId="16AD1A9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r>
              <w:t>N/A</w:t>
            </w:r>
          </w:p>
        </w:tc>
      </w:tr>
      <w:tr w:rsidR="00DB1607" w:rsidRPr="00B95EB3" w14:paraId="34F1AED1" w14:textId="77777777">
        <w:tc>
          <w:tcPr>
            <w:tcW w:w="0" w:type="auto"/>
          </w:tcPr>
          <w:p w14:paraId="05BC091A"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T2 Temperature residual</w:t>
            </w:r>
          </w:p>
        </w:tc>
        <w:tc>
          <w:tcPr>
            <w:tcW w:w="0" w:type="auto"/>
          </w:tcPr>
          <w:p w14:paraId="19B5D130"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Within the T1 floor across the daily swing</w:t>
            </w:r>
          </w:p>
        </w:tc>
        <w:tc>
          <w:tcPr>
            <w:tcW w:w="0" w:type="auto"/>
          </w:tcPr>
          <w:p w14:paraId="6F26CE6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3EC8B5C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r w:rsidR="00DB1607" w:rsidRPr="00B95EB3" w14:paraId="626C1F1F" w14:textId="77777777">
        <w:tc>
          <w:tcPr>
            <w:tcW w:w="0" w:type="auto"/>
          </w:tcPr>
          <w:p w14:paraId="36CC4B8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T3 Water change step</w:t>
            </w:r>
          </w:p>
        </w:tc>
        <w:tc>
          <w:tcPr>
            <w:tcW w:w="0" w:type="auto"/>
          </w:tcPr>
          <w:p w14:paraId="5679B44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Within ±20 % of prediction or the T1 floor</w:t>
            </w:r>
          </w:p>
        </w:tc>
        <w:tc>
          <w:tcPr>
            <w:tcW w:w="0" w:type="auto"/>
          </w:tcPr>
          <w:p w14:paraId="16062A3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058F383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r w:rsidR="00DB1607" w:rsidRPr="00B95EB3" w14:paraId="5A62382E" w14:textId="77777777">
        <w:tc>
          <w:tcPr>
            <w:tcW w:w="0" w:type="auto"/>
          </w:tcPr>
          <w:p w14:paraId="68F2C83E"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T3 Salt dose step</w:t>
            </w:r>
          </w:p>
        </w:tc>
        <w:tc>
          <w:tcPr>
            <w:tcW w:w="0" w:type="auto"/>
          </w:tcPr>
          <w:p w14:paraId="44F8E68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Within ±20 % of prediction or the T1 floor</w:t>
            </w:r>
          </w:p>
        </w:tc>
        <w:tc>
          <w:tcPr>
            <w:tcW w:w="0" w:type="auto"/>
          </w:tcPr>
          <w:p w14:paraId="1BB0105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4C6F06B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r w:rsidR="00DB1607" w:rsidRPr="00B95EB3" w14:paraId="40EC0A5B" w14:textId="77777777">
        <w:tc>
          <w:tcPr>
            <w:tcW w:w="0" w:type="auto"/>
          </w:tcPr>
          <w:p w14:paraId="05122D6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T4 Detection and false flags</w:t>
            </w:r>
          </w:p>
        </w:tc>
        <w:tc>
          <w:tcPr>
            <w:tcW w:w="0" w:type="auto"/>
          </w:tcPr>
          <w:p w14:paraId="2564A97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All events detected, at most one false flag per week</w:t>
            </w:r>
          </w:p>
        </w:tc>
        <w:tc>
          <w:tcPr>
            <w:tcW w:w="0" w:type="auto"/>
          </w:tcPr>
          <w:p w14:paraId="21C5833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14:paraId="3148623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 ]</w:t>
            </w:r>
          </w:p>
        </w:tc>
      </w:tr>
      <w:tr w:rsidR="00DB1607" w:rsidRPr="00B95EB3" w14:paraId="6504AC86" w14:textId="77777777">
        <w:tc>
          <w:tcPr>
            <w:tcW w:w="0" w:type="auto"/>
          </w:tcPr>
          <w:p w14:paraId="3A56180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Feeding visibility (expected negative)</w:t>
            </w:r>
          </w:p>
        </w:tc>
        <w:tc>
          <w:tcPr>
            <w:tcW w:w="0" w:type="auto"/>
          </w:tcPr>
          <w:p w14:paraId="13E3BB2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Daily feeding effect below the T1 floor</w:t>
            </w:r>
          </w:p>
        </w:tc>
        <w:tc>
          <w:tcPr>
            <w:tcW w:w="0" w:type="auto"/>
          </w:tcPr>
          <w:p w14:paraId="228E8F8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[to be completed]</w:t>
            </w:r>
          </w:p>
        </w:tc>
        <w:tc>
          <w:tcPr>
            <w:tcW w:w="0" w:type="auto"/>
          </w:tcPr>
          <w:p>
            <w:r>
              <w:t>N/A</w:t>
            </w:r>
          </w:p>
        </w:tc>
      </w:tr>
    </w:tbl>
    <w:p w14:paraId="7F5B6C8A" w14:textId="77777777" w:rsidR="00DB1607" w:rsidRPr="00B95EB3" w:rsidRDefault="00000000">
      <w:pPr>
        <w:pStyle w:val="Heading3"/>
        <w:rPr>
          <w:rFonts w:asciiTheme="majorHAnsi" w:hAnsiTheme="majorHAnsi" w:cstheme="majorHAnsi"/>
        </w:rPr>
      </w:pPr>
      <w:bookmarkStart w:id="278" w:name="tier-2-field-run"/>
      <w:bookmarkStart w:id="279" w:name="_Toc241565798"/>
      <w:bookmarkEnd w:id="276"/>
      <w:r w:rsidRPr="00B95EB3">
        <w:rPr>
          <w:rFonts w:asciiTheme="majorHAnsi" w:hAnsiTheme="majorHAnsi" w:cstheme="majorHAnsi"/>
        </w:rPr>
        <w:t>7.3.3 Tier 2 Field Run</w:t>
      </w:r>
      <w:bookmarkEnd w:id="279"/>
    </w:p>
    <w:p w14:paraId="715FDE7E"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[To be completed: achieved duration, completed and missing cycles, reset count, per-channel coverage and spread, the pond temperature and light records against NEA observations, enclosure findings, and the camera’s false trigger and missed change counts. Include the fitted air-to-water temperature offset and its error against persistence (Section 4.5.6).]</w:t>
      </w:r>
    </w:p>
    <w:p w14:paraId="05E78B6D" w14:textId="77777777" w:rsidR="00DB1607" w:rsidRPr="00B95EB3" w:rsidRDefault="00000000">
      <w:pPr>
        <w:pStyle w:val="Heading3"/>
        <w:rPr>
          <w:rFonts w:asciiTheme="majorHAnsi" w:hAnsiTheme="majorHAnsi" w:cstheme="majorHAnsi"/>
        </w:rPr>
      </w:pPr>
      <w:bookmarkStart w:id="280" w:name="tier-3-full-system-results"/>
      <w:bookmarkStart w:id="281" w:name="_Toc241565799"/>
      <w:bookmarkEnd w:id="278"/>
      <w:r w:rsidRPr="00B95EB3">
        <w:rPr>
          <w:rFonts w:asciiTheme="majorHAnsi" w:hAnsiTheme="majorHAnsi" w:cstheme="majorHAnsi"/>
        </w:rPr>
        <w:t>7.3.4 Tier 3 Full-System Results</w:t>
      </w:r>
      <w:bookmarkEnd w:id="281"/>
    </w:p>
    <w:p w14:paraId="1EDC8D9F"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[To be completed: the indoor endurance run’s pack voltage curve, achieved service interval and measured against estimated average current, with the regulator configuration used, and the outdoor integration session’s end-to-end timeline and model response to logged events.]</w:t>
      </w:r>
    </w:p>
    <w:p w14:paraId="0E31C902" w14:textId="77777777" w:rsidR="00DB1607" w:rsidRPr="00B95EB3" w:rsidRDefault="00000000">
      <w:pPr>
        <w:pStyle w:val="Heading1"/>
        <w:rPr>
          <w:rFonts w:asciiTheme="majorHAnsi" w:hAnsiTheme="majorHAnsi" w:cstheme="majorHAnsi"/>
        </w:rPr>
      </w:pPr>
      <w:bookmarkStart w:id="282" w:name="chapter-7-discussion-and-conclusion"/>
      <w:bookmarkStart w:id="283" w:name="_Toc241565800"/>
      <w:bookmarkEnd w:id="252"/>
      <w:bookmarkEnd w:id="272"/>
      <w:bookmarkEnd w:id="280"/>
      <w:r w:rsidRPr="00B95EB3">
        <w:rPr>
          <w:rFonts w:asciiTheme="majorHAnsi" w:hAnsiTheme="majorHAnsi" w:cstheme="majorHAnsi"/>
        </w:rPr>
        <w:t>Chapter 8: Discussion and Conclusion</w:t>
      </w:r>
      <w:bookmarkEnd w:id="283"/>
    </w:p>
    <w:p w14:paraId="26F906B4" w14:textId="77777777" w:rsidR="00DB1607" w:rsidRPr="00B95EB3" w:rsidRDefault="00000000">
      <w:pPr>
        <w:pStyle w:val="Heading2"/>
        <w:rPr>
          <w:rFonts w:asciiTheme="majorHAnsi" w:hAnsiTheme="majorHAnsi" w:cstheme="majorHAnsi"/>
        </w:rPr>
      </w:pPr>
      <w:bookmarkStart w:id="284" w:name="progress-against-the-aims"/>
      <w:bookmarkStart w:id="285" w:name="_Toc241565801"/>
      <w:r w:rsidRPr="00B95EB3">
        <w:rPr>
          <w:rFonts w:asciiTheme="majorHAnsi" w:hAnsiTheme="majorHAnsi" w:cstheme="majorHAnsi"/>
        </w:rPr>
        <w:t>8.1 Progress Against the Aims</w:t>
      </w:r>
      <w:bookmarkEnd w:id="285"/>
    </w:p>
    <w:p w14:paraId="3A82EAFA"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Table 8.1 sets each objective from Section 1.4 against what has been built and what evidence exists for it at the time of writing.</w:t>
      </w:r>
    </w:p>
    <w:p w14:paraId="4B7D4C84" w14:textId="77777777" w:rsidR="00DB1607" w:rsidRPr="00B95EB3" w:rsidRDefault="00000000">
      <w:pPr>
        <w:pStyle w:val="TableCaption"/>
        <w:rPr>
          <w:rFonts w:asciiTheme="majorHAnsi" w:hAnsiTheme="majorHAnsi" w:cstheme="majorHAnsi"/>
        </w:rPr>
      </w:pPr>
      <w:r w:rsidRPr="00B95EB3">
        <w:rPr>
          <w:rFonts w:asciiTheme="majorHAnsi" w:hAnsiTheme="majorHAnsi" w:cstheme="majorHAnsi"/>
        </w:rPr>
        <w:t>Table 8.1. Progress against the objectives in Section 1.4.</w:t>
      </w:r>
    </w:p>
    <w:tbl>
      <w:tblPr>
        <w:tblStyle w:val="Table"/>
        <w:tblW w:w="5000" w:type="pct"/>
        <w:tblBorders>
          <w:top w:val="single" w:sz="8" w:space="0" w:color="808080"/>
          <w:left w:val="nil"/>
          <w:bottom w:val="single" w:sz="8" w:space="0" w:color="808080"/>
          <w:right w:val="nil"/>
          <w:insideH w:val="single" w:sz="4" w:space="0" w:color="808080"/>
          <w:insideV w:val="nil"/>
        </w:tblBorders>
        <w:tblCellMar>
          <w:top w:w="40" w:type="dxa"/>
          <w:left w:w="80" w:type="dxa"/>
          <w:bottom w:w="40" w:type="dxa"/>
          <w:right w:w="80" w:type="dxa"/>
        </w:tblCellMar>
        <w:tblLook w:val="0020" w:firstRow="1" w:lastRow="0" w:firstColumn="0" w:lastColumn="0" w:noHBand="0" w:noVBand="0"/>
      </w:tblPr>
      <w:tblGrid>
        <w:gridCol w:w="3893"/>
        <w:gridCol w:w="3414"/>
        <w:gridCol w:w="1879"/>
      </w:tblGrid>
      <w:tr w:rsidR="00DB1607" w:rsidRPr="00B95EB3" w14:paraId="1001CD6B" w14:textId="77777777" w:rsidTr="00DB16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DEFF2"/>
          </w:tcPr>
          <w:p w14:paraId="20ED39A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Objective</w:t>
            </w:r>
          </w:p>
        </w:tc>
        <w:tc>
          <w:tcPr>
            <w:tcW w:w="0" w:type="auto"/>
            <w:shd w:val="clear" w:color="auto" w:fill="EDEFF2"/>
          </w:tcPr>
          <w:p w14:paraId="47CA4D8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Status</w:t>
            </w:r>
          </w:p>
        </w:tc>
        <w:tc>
          <w:tcPr>
            <w:tcW w:w="0" w:type="auto"/>
            <w:shd w:val="clear" w:color="auto" w:fill="EDEFF2"/>
          </w:tcPr>
          <w:p w14:paraId="370D304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b/>
                <w:sz w:val="19"/>
              </w:rPr>
              <w:t>Evidence</w:t>
            </w:r>
          </w:p>
        </w:tc>
      </w:tr>
      <w:tr w:rsidR="00DB1607" w:rsidRPr="00B95EB3" w14:paraId="0B99BD4B" w14:textId="77777777">
        <w:tc>
          <w:tcPr>
            <w:tcW w:w="0" w:type="auto"/>
          </w:tcPr>
          <w:p w14:paraId="30322923"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Identify the parameters that matter and which can be sensed affordably</w:t>
            </w:r>
          </w:p>
        </w:tc>
        <w:tc>
          <w:tcPr>
            <w:tcW w:w="0" w:type="auto"/>
          </w:tcPr>
          <w:p w14:paraId="0F60DE1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Complete</w:t>
            </w:r>
          </w:p>
        </w:tc>
        <w:tc>
          <w:tcPr>
            <w:tcW w:w="0" w:type="auto"/>
          </w:tcPr>
          <w:p w14:paraId="1234B89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Chapter 2</w:t>
            </w:r>
          </w:p>
        </w:tc>
      </w:tr>
      <w:tr w:rsidR="00DB1607" w:rsidRPr="00B95EB3" w14:paraId="6F09EA3D" w14:textId="77777777">
        <w:tc>
          <w:tcPr>
            <w:tcW w:w="0" w:type="auto"/>
          </w:tcPr>
          <w:p w14:paraId="23FF8A3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Build sensor hardware for temperature, pH and TDS, with a camera subsystem</w:t>
            </w:r>
          </w:p>
        </w:tc>
        <w:tc>
          <w:tcPr>
            <w:tcW w:w="0" w:type="auto"/>
          </w:tcPr>
          <w:p w14:paraId="1D661AA7"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Built. Networked firmware awaiting flash and bench tests</w:t>
            </w:r>
          </w:p>
        </w:tc>
        <w:tc>
          <w:tcPr>
            <w:tcW w:w="0" w:type="auto"/>
          </w:tcPr>
          <w:p w14:paraId="711934C2"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Chapter 3, Section 5.2, Tier 1 pending</w:t>
            </w:r>
          </w:p>
        </w:tc>
      </w:tr>
      <w:tr w:rsidR="00DB1607" w:rsidRPr="00B95EB3" w14:paraId="6BBDC797" w14:textId="77777777">
        <w:tc>
          <w:tcPr>
            <w:tcW w:w="0" w:type="auto"/>
          </w:tcPr>
          <w:p w14:paraId="6A6C186C"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Build a data pipeline combining sensor, camera and NEA data</w:t>
            </w:r>
          </w:p>
        </w:tc>
        <w:tc>
          <w:tcPr>
            <w:tcW w:w="0" w:type="auto"/>
          </w:tcPr>
          <w:p w14:paraId="4FF1E79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Built and in use</w:t>
            </w:r>
          </w:p>
        </w:tc>
        <w:tc>
          <w:tcPr>
            <w:tcW w:w="0" w:type="auto"/>
          </w:tcPr>
          <w:p w14:paraId="0E4E451B"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Sections 3.6 to 3.8, Section 5.5</w:t>
            </w:r>
          </w:p>
        </w:tc>
      </w:tr>
      <w:tr w:rsidR="00DB1607" w:rsidRPr="00B95EB3" w14:paraId="5663F66C" w14:textId="77777777">
        <w:tc>
          <w:tcPr>
            <w:tcW w:w="0" w:type="auto"/>
          </w:tcPr>
          <w:p w14:paraId="6A9EE131"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Build a digital twin estimating ammonia, nitrate, algal risk and evaporation ahead of time</w:t>
            </w:r>
          </w:p>
        </w:tc>
        <w:tc>
          <w:tcPr>
            <w:tcW w:w="0" w:type="auto"/>
          </w:tcPr>
          <w:p w14:paraId="6C32000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Built and verified in software. Parameters not yet calibrated</w:t>
            </w:r>
          </w:p>
        </w:tc>
        <w:tc>
          <w:tcPr>
            <w:tcW w:w="0" w:type="auto"/>
          </w:tcPr>
          <w:p w14:paraId="5537BD3F"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Section 3.9, Sections 5.4 and 5.7</w:t>
            </w:r>
          </w:p>
        </w:tc>
      </w:tr>
      <w:tr w:rsidR="00DB1607" w:rsidRPr="00B95EB3" w14:paraId="11DC68D6" w14:textId="77777777">
        <w:tc>
          <w:tcPr>
            <w:tcW w:w="0" w:type="auto"/>
          </w:tcPr>
          <w:p w14:paraId="53F17396"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Deliver risk information through a mobile application with alerts</w:t>
            </w:r>
          </w:p>
        </w:tc>
        <w:tc>
          <w:tcPr>
            <w:tcW w:w="0" w:type="auto"/>
          </w:tcPr>
          <w:p w14:paraId="70EC1FF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Built, with in-app status alerts. No push notifications</w:t>
            </w:r>
          </w:p>
        </w:tc>
        <w:tc>
          <w:tcPr>
            <w:tcW w:w="0" w:type="auto"/>
          </w:tcPr>
          <w:p w14:paraId="2D939589"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Section 5.6</w:t>
            </w:r>
          </w:p>
        </w:tc>
      </w:tr>
      <w:tr w:rsidR="00DB1607" w:rsidRPr="00B95EB3" w14:paraId="47464D1F" w14:textId="77777777">
        <w:tc>
          <w:tcPr>
            <w:tcW w:w="0" w:type="auto"/>
          </w:tcPr>
          <w:p w14:paraId="4FAE98D5"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Evaluate the system honestly and document its limitations</w:t>
            </w:r>
          </w:p>
        </w:tc>
        <w:tc>
          <w:tcPr>
            <w:tcW w:w="0" w:type="auto"/>
          </w:tcPr>
          <w:p w14:paraId="7829FAF8"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Historical forecast analysis complete. Hardware and field evaluation pending</w:t>
            </w:r>
          </w:p>
        </w:tc>
        <w:tc>
          <w:tcPr>
            <w:tcW w:w="0" w:type="auto"/>
          </w:tcPr>
          <w:p w14:paraId="7D8DE2E4" w14:textId="77777777" w:rsidR="00DB1607" w:rsidRPr="00B95EB3" w:rsidRDefault="00000000">
            <w:pPr>
              <w:pStyle w:val="Compact"/>
              <w:spacing w:before="20" w:after="20" w:line="264" w:lineRule="auto"/>
              <w:jc w:val="left"/>
              <w:rPr>
                <w:rFonts w:asciiTheme="majorHAnsi" w:hAnsiTheme="majorHAnsi" w:cstheme="majorHAnsi"/>
              </w:rPr>
            </w:pPr>
            <w:r w:rsidRPr="00B95EB3">
              <w:rPr>
                <w:rFonts w:asciiTheme="majorHAnsi" w:hAnsiTheme="majorHAnsi" w:cstheme="majorHAnsi"/>
                <w:sz w:val="19"/>
              </w:rPr>
              <w:t>Chapter 6, Section 7.3</w:t>
            </w:r>
          </w:p>
        </w:tc>
      </w:tr>
    </w:tbl>
    <w:p w14:paraId="6F0987AF" w14:textId="77777777" w:rsidR="00DB1607" w:rsidRPr="00B95EB3" w:rsidRDefault="00000000">
      <w:pPr>
        <w:pStyle w:val="BodyText"/>
        <w:spacing w:before="200"/>
        <w:rPr>
          <w:rFonts w:asciiTheme="majorHAnsi" w:hAnsiTheme="majorHAnsi" w:cstheme="majorHAnsi"/>
        </w:rPr>
      </w:pPr>
      <w:r w:rsidRPr="00B95EB3">
        <w:rPr>
          <w:rFonts w:asciiTheme="majorHAnsi" w:hAnsiTheme="majorHAnsi" w:cstheme="majorHAnsi"/>
        </w:rPr>
        <w:t>The software side of the project is further along than the hardware side. The digital twin, camera service and application work end to end on stored data and pass their automated tests, while the sensor node’s refactored and networked firmware still has to be flashed and taken through Tier 1. The order of the remaining work follows from this: the bench tests come first, because every model output downstream depends on the readings they validate.</w:t>
      </w:r>
    </w:p>
    <w:p w14:paraId="5BA73437" w14:textId="77777777" w:rsidR="00DB1607" w:rsidRPr="00B95EB3" w:rsidRDefault="00000000">
      <w:pPr>
        <w:pStyle w:val="Heading2"/>
        <w:rPr>
          <w:rFonts w:asciiTheme="majorHAnsi" w:hAnsiTheme="majorHAnsi" w:cstheme="majorHAnsi"/>
        </w:rPr>
      </w:pPr>
      <w:bookmarkStart w:id="286" w:name="X92e4126f4d22d6d0dfbd2e7f7b8af2312e34c5c"/>
      <w:bookmarkStart w:id="287" w:name="_Toc241565802"/>
      <w:bookmarkEnd w:id="284"/>
      <w:r w:rsidRPr="00B95EB3">
        <w:rPr>
          <w:rFonts w:asciiTheme="majorHAnsi" w:hAnsiTheme="majorHAnsi" w:cstheme="majorHAnsi"/>
        </w:rPr>
        <w:t>8.2 What the Historical Analysis Means for the Design</w:t>
      </w:r>
      <w:bookmarkEnd w:id="287"/>
    </w:p>
    <w:p w14:paraId="388B14B2"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analysis in Chapter 6 was run to check the design’s assumptions about forecasts before pond data exists, and it changes how three parts of the design should be read.</w:t>
      </w:r>
    </w:p>
    <w:p w14:paraId="4AA5CE06"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b/>
          <w:bCs/>
        </w:rPr>
        <w:t>The rain term in the chemistry risk score is too heavy.</w:t>
      </w:r>
      <w:r w:rsidRPr="00B95EB3">
        <w:rPr>
          <w:rFonts w:asciiTheme="majorHAnsi" w:hAnsiTheme="majorHAnsi" w:cstheme="majorHAnsi"/>
        </w:rPr>
        <w:t xml:space="preserve"> The chemistry engine adds two points to its risk score when the forecast text mentions thundery or heavy rain, and one point for lighter rain. The 24-hour forecast uses thundery wording on 72 % of days, and the watch threshold is three points, so on most days a single other point of concern is enough to show an amber status. At the same time, Table 6.1 shows that rain dilutes a 1.2 m pond by only a few per cent on a typical wet day. The combination risks an amber status that an owner learns to ignore. Two changes would bring the rain term in line with the evidence. First, the weight could scale with the pond’s depth, which is not stored at present, so that shallow ponds, where dilution per millimetre is larger, receive more weight. Second, the term could draw on observed rainfall from the assigned NEA station rather than forecast wording, so that it responds to rain that actually fell. A heavy fall recorded overnight is a </w:t>
      </w:r>
      <w:r w:rsidRPr="00B95EB3">
        <w:rPr>
          <w:rFonts w:asciiTheme="majorHAnsi" w:hAnsiTheme="majorHAnsi" w:cstheme="majorHAnsi"/>
        </w:rPr>
        <w:lastRenderedPageBreak/>
        <w:t>sound reason to suggest a morning check. Both changes adjust an existing input and leave the model’s structure as it is.</w:t>
      </w:r>
    </w:p>
    <w:p w14:paraId="55DDA275"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b/>
          <w:bCs/>
        </w:rPr>
        <w:t>The forecast adds real value across several lead times once its heat signal is measured on a temperature record with consistent station coverage (Chapter 6). At a same-day lead, the outlook combined with the pond’s own current temperature reached 88.5% precision for whether a hot spell will hold over the next 3 days, the single strongest advisory validated in this report (Section 6.7.2). At longer leads, the outlook added a positive and statistically clear gain over the thermometer alone at 1, 3 and 5 days (Section 6.7.1), so the earlier finding that it added nothing measurable does not hold once a consistent instrument is used across the whole record. This supports extending feeding guidance to draw on the outlook ahead of an expected heat run, not only on the pond’s current water temperature. The forecast is also reliable at identifying dry days, with 86% of flagged days dry on held-out data (Section 6.7.2). The application does not yet tell the owner when a dry window is coming, and this is the most direct way the forecast could add value that sensing alone cannot. A newly validated 2-hour nowcast (Section 6.7.3) adds a further, much shorter-fuse layer: 79% of observed rain onsets were flagged by the nowcast in advance, with a median warning of 50 minutes, useful for immediate actions such as topping up aeration or bringing in feed left outside rather than for scheduling maintenance days ahead.</w:t>
      </w:r>
      <w:r w:rsidRPr="00B95EB3">
        <w:rPr>
          <w:rFonts w:asciiTheme="majorHAnsi" w:hAnsiTheme="majorHAnsi" w:cstheme="majorHAnsi"/>
        </w:rPr>
      </w:r>
    </w:p>
    <w:p w14:paraId="32AE3A05"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b/>
          <w:bCs/>
        </w:rPr>
        <w:t>Evaporation remains the forecast use most in need of pond data.</w:t>
      </w:r>
      <w:r w:rsidRPr="00B95EB3">
        <w:rPr>
          <w:rFonts w:asciiTheme="majorHAnsi" w:hAnsiTheme="majorHAnsi" w:cstheme="majorHAnsi"/>
        </w:rPr>
        <w:t xml:space="preserve"> The evaporation engine uses forecast humidity and wind as well as temperature, and those were not part of the heat test. Its output depends heavily on a shelter factor and an assumed depth, both set from judgement. Logging real top-ups against elapsed days and fitting the shelter factor is the single change most likely to improve its accuracy.</w:t>
      </w:r>
    </w:p>
    <w:p w14:paraId="60F4B1A6"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Taken together, these findings strengthen the advisory design. The system’s advice depends on forecasts in a few specific places, and the analysis now shows which of them are well supported. The design never relied on forecasts being accurate enough to trigger an automatic action, and the rain result shows why that choice was sound.</w:t>
      </w:r>
    </w:p>
    <w:p w14:paraId="2650135C" w14:textId="77777777" w:rsidR="00DB1607" w:rsidRPr="00B95EB3" w:rsidRDefault="00000000">
      <w:pPr>
        <w:pStyle w:val="Heading2"/>
        <w:rPr>
          <w:rFonts w:asciiTheme="majorHAnsi" w:hAnsiTheme="majorHAnsi" w:cstheme="majorHAnsi"/>
        </w:rPr>
      </w:pPr>
      <w:bookmarkStart w:id="288" w:name="limitations"/>
      <w:bookmarkStart w:id="289" w:name="_Toc241565803"/>
      <w:bookmarkEnd w:id="286"/>
      <w:r w:rsidRPr="00B95EB3">
        <w:rPr>
          <w:rFonts w:asciiTheme="majorHAnsi" w:hAnsiTheme="majorHAnsi" w:cstheme="majorHAnsi"/>
        </w:rPr>
        <w:t>8.3 Limitations</w:t>
      </w:r>
      <w:bookmarkEnd w:id="289"/>
    </w:p>
    <w:p w14:paraId="69037308"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limitations below are grouped by the kind of evidence they affect.</w:t>
      </w:r>
    </w:p>
    <w:p w14:paraId="4460E61A"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b/>
          <w:bCs/>
        </w:rPr>
        <w:t>Model validity.</w:t>
      </w:r>
    </w:p>
    <w:p w14:paraId="5468585F" w14:textId="77777777" w:rsidR="00DB1607" w:rsidRPr="00B95EB3" w:rsidRDefault="00000000">
      <w:pPr>
        <w:pStyle w:val="Compact"/>
        <w:numPr>
          <w:ilvl w:val="0"/>
          <w:numId w:val="9"/>
        </w:numPr>
        <w:rPr>
          <w:rFonts w:asciiTheme="majorHAnsi" w:hAnsiTheme="majorHAnsi" w:cstheme="majorHAnsi"/>
        </w:rPr>
      </w:pPr>
      <w:r w:rsidRPr="00B95EB3">
        <w:rPr>
          <w:rFonts w:asciiTheme="majorHAnsi" w:hAnsiTheme="majorHAnsi" w:cstheme="majorHAnsi"/>
        </w:rPr>
        <w:t>The chemistry engine’s nitrification rates, excretion fraction and risk weights come from literature and judgement, and no ammonia, nitrite or nitrate reference measurements have yet been taken to calibrate them (Section 2.6.6). Its outputs should therefore be read as trends and relative risk, and its concentrations are not reliable in absolute terms.</w:t>
      </w:r>
    </w:p>
    <w:p w14:paraId="4213280D" w14:textId="77777777" w:rsidR="00DB1607" w:rsidRPr="00B95EB3" w:rsidRDefault="00000000">
      <w:pPr>
        <w:pStyle w:val="Compact"/>
        <w:numPr>
          <w:ilvl w:val="0"/>
          <w:numId w:val="9"/>
        </w:numPr>
        <w:rPr>
          <w:rFonts w:asciiTheme="majorHAnsi" w:hAnsiTheme="majorHAnsi" w:cstheme="majorHAnsi"/>
        </w:rPr>
      </w:pPr>
      <w:r w:rsidRPr="00B95EB3">
        <w:rPr>
          <w:rFonts w:asciiTheme="majorHAnsi" w:hAnsiTheme="majorHAnsi" w:cstheme="majorHAnsi"/>
        </w:rPr>
        <w:t>The evaporation engine assumes a 1.2 m depth and a shelter factor of 0.6, and the air-to-water temperature offset has not yet been fitted to the pond.</w:t>
      </w:r>
    </w:p>
    <w:p w14:paraId="73F45801" w14:textId="77777777" w:rsidR="00DB1607" w:rsidRPr="00B95EB3" w:rsidRDefault="00000000">
      <w:pPr>
        <w:pStyle w:val="Compact"/>
        <w:numPr>
          <w:ilvl w:val="0"/>
          <w:numId w:val="9"/>
        </w:numPr>
        <w:rPr>
          <w:rFonts w:asciiTheme="majorHAnsi" w:hAnsiTheme="majorHAnsi" w:cstheme="majorHAnsi"/>
        </w:rPr>
      </w:pPr>
      <w:r w:rsidRPr="00B95EB3">
        <w:rPr>
          <w:rFonts w:asciiTheme="majorHAnsi" w:hAnsiTheme="majorHAnsi" w:cstheme="majorHAnsi"/>
        </w:rPr>
        <w:t>The rain term in the chemistry score is heavier than the historical evidence supports (Section 8.2).</w:t>
      </w:r>
    </w:p>
    <w:p w14:paraId="7FE12408" w14:textId="77777777" w:rsidR="00DB1607" w:rsidRPr="00B95EB3" w:rsidRDefault="00000000">
      <w:pPr>
        <w:pStyle w:val="Compact"/>
        <w:numPr>
          <w:ilvl w:val="0"/>
          <w:numId w:val="9"/>
        </w:numPr>
        <w:rPr>
          <w:rFonts w:asciiTheme="majorHAnsi" w:hAnsiTheme="majorHAnsi" w:cstheme="majorHAnsi"/>
        </w:rPr>
      </w:pPr>
      <w:r w:rsidRPr="00B95EB3">
        <w:rPr>
          <w:rFonts w:asciiTheme="majorHAnsi" w:hAnsiTheme="majorHAnsi" w:cstheme="majorHAnsi"/>
        </w:rPr>
        <w:t>The hypoxia risk pattern identified in Section 2.2 is not modelled.</w:t>
      </w:r>
    </w:p>
    <w:p w14:paraId="7B3048E7"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b/>
          <w:bCs/>
        </w:rPr>
        <w:t>Sensing.</w:t>
      </w:r>
    </w:p>
    <w:p w14:paraId="0669CBD2" w14:textId="77777777" w:rsidR="00DB1607" w:rsidRPr="00B95EB3" w:rsidRDefault="00000000">
      <w:pPr>
        <w:pStyle w:val="Compact"/>
        <w:numPr>
          <w:ilvl w:val="0"/>
          <w:numId w:val="10"/>
        </w:numPr>
        <w:rPr>
          <w:rFonts w:asciiTheme="majorHAnsi" w:hAnsiTheme="majorHAnsi" w:cstheme="majorHAnsi"/>
        </w:rPr>
      </w:pPr>
      <w:r w:rsidRPr="00B95EB3">
        <w:rPr>
          <w:rFonts w:asciiTheme="majorHAnsi" w:hAnsiTheme="majorHAnsi" w:cstheme="majorHAnsi"/>
        </w:rPr>
        <w:t>The TDS prompting design is unproven until the tests in Section 4.4.3.1 are run.</w:t>
      </w:r>
    </w:p>
    <w:p w14:paraId="23BCDB2F" w14:textId="77777777" w:rsidR="00DB1607" w:rsidRPr="00B95EB3" w:rsidRDefault="00000000">
      <w:pPr>
        <w:pStyle w:val="Compact"/>
        <w:numPr>
          <w:ilvl w:val="0"/>
          <w:numId w:val="10"/>
        </w:numPr>
        <w:rPr>
          <w:rFonts w:asciiTheme="majorHAnsi" w:hAnsiTheme="majorHAnsi" w:cstheme="majorHAnsi"/>
        </w:rPr>
      </w:pPr>
      <w:r w:rsidRPr="00B95EB3">
        <w:rPr>
          <w:rFonts w:asciiTheme="majorHAnsi" w:hAnsiTheme="majorHAnsi" w:cstheme="majorHAnsi"/>
        </w:rPr>
        <w:t>pH and TDS are separated in time but not galvanically isolated.</w:t>
      </w:r>
    </w:p>
    <w:p w14:paraId="1F314DC7" w14:textId="77777777" w:rsidR="00DB1607" w:rsidRPr="00B95EB3" w:rsidRDefault="00000000">
      <w:pPr>
        <w:pStyle w:val="Compact"/>
        <w:numPr>
          <w:ilvl w:val="0"/>
          <w:numId w:val="10"/>
        </w:numPr>
        <w:rPr>
          <w:rFonts w:asciiTheme="majorHAnsi" w:hAnsiTheme="majorHAnsi" w:cstheme="majorHAnsi"/>
        </w:rPr>
      </w:pPr>
      <w:r w:rsidRPr="00B95EB3">
        <w:rPr>
          <w:rFonts w:asciiTheme="majorHAnsi" w:hAnsiTheme="majorHAnsi" w:cstheme="majorHAnsi"/>
        </w:rPr>
        <w:t>The camera’s green ratio is computed over the whole frame, so its absolute value depends on framing.</w:t>
      </w:r>
    </w:p>
    <w:p w14:paraId="41818B82"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b/>
          <w:bCs/>
        </w:rPr>
        <w:t>Software and deployment.</w:t>
      </w:r>
    </w:p>
    <w:p w14:paraId="21D1C741" w14:textId="77777777" w:rsidR="00DB1607" w:rsidRPr="00B95EB3" w:rsidRDefault="00000000">
      <w:pPr>
        <w:pStyle w:val="Compact"/>
        <w:numPr>
          <w:ilvl w:val="0"/>
          <w:numId w:val="11"/>
        </w:numPr>
        <w:rPr>
          <w:rFonts w:asciiTheme="majorHAnsi" w:hAnsiTheme="majorHAnsi" w:cstheme="majorHAnsi"/>
        </w:rPr>
      </w:pPr>
      <w:r w:rsidRPr="00B95EB3">
        <w:rPr>
          <w:rFonts w:asciiTheme="majorHAnsi" w:hAnsiTheme="majorHAnsi" w:cstheme="majorHAnsi"/>
        </w:rPr>
        <w:t>The sensor payload lacks a device identifier, cycle number and sample time.</w:t>
      </w:r>
    </w:p>
    <w:p w14:paraId="07D5D7F7" w14:textId="77777777" w:rsidR="00DB1607" w:rsidRPr="00B95EB3" w:rsidRDefault="00000000">
      <w:pPr>
        <w:pStyle w:val="Compact"/>
        <w:numPr>
          <w:ilvl w:val="0"/>
          <w:numId w:val="11"/>
        </w:numPr>
        <w:rPr>
          <w:rFonts w:asciiTheme="majorHAnsi" w:hAnsiTheme="majorHAnsi" w:cstheme="majorHAnsi"/>
        </w:rPr>
      </w:pPr>
      <w:r w:rsidRPr="00B95EB3">
        <w:rPr>
          <w:rFonts w:asciiTheme="majorHAnsi" w:hAnsiTheme="majorHAnsi" w:cstheme="majorHAnsi"/>
        </w:rPr>
        <w:lastRenderedPageBreak/>
        <w:t>The poller reads only the latest reading and stamps it with the poll time.</w:t>
      </w:r>
    </w:p>
    <w:p w14:paraId="31CADFEB" w14:textId="77777777" w:rsidR="00DB1607" w:rsidRPr="00B95EB3" w:rsidRDefault="00000000">
      <w:pPr>
        <w:pStyle w:val="Compact"/>
        <w:numPr>
          <w:ilvl w:val="0"/>
          <w:numId w:val="11"/>
        </w:numPr>
        <w:rPr>
          <w:rFonts w:asciiTheme="majorHAnsi" w:hAnsiTheme="majorHAnsi" w:cstheme="majorHAnsi"/>
        </w:rPr>
      </w:pPr>
      <w:r w:rsidRPr="00B95EB3">
        <w:rPr>
          <w:rFonts w:asciiTheme="majorHAnsi" w:hAnsiTheme="majorHAnsi" w:cstheme="majorHAnsi"/>
        </w:rPr>
        <w:t>An event saved to Supabase but missed by the digital twin is never reapplied.</w:t>
      </w:r>
    </w:p>
    <w:p w14:paraId="4EFD1542" w14:textId="77777777" w:rsidR="00DB1607" w:rsidRPr="00B95EB3" w:rsidRDefault="00000000">
      <w:pPr>
        <w:pStyle w:val="Compact"/>
        <w:numPr>
          <w:ilvl w:val="0"/>
          <w:numId w:val="11"/>
        </w:numPr>
        <w:rPr>
          <w:rFonts w:asciiTheme="majorHAnsi" w:hAnsiTheme="majorHAnsi" w:cstheme="majorHAnsi"/>
        </w:rPr>
      </w:pPr>
      <w:r w:rsidRPr="00B95EB3">
        <w:rPr>
          <w:rFonts w:asciiTheme="majorHAnsi" w:hAnsiTheme="majorHAnsi" w:cstheme="majorHAnsi"/>
        </w:rPr>
        <w:t>The digital twin runs locally, as a single process, with unauthenticated endpoints.</w:t>
      </w:r>
    </w:p>
    <w:p w14:paraId="5E256B7A" w14:textId="77777777" w:rsidR="00DB1607" w:rsidRPr="00B95EB3" w:rsidRDefault="00000000">
      <w:pPr>
        <w:pStyle w:val="Compact"/>
        <w:numPr>
          <w:ilvl w:val="0"/>
          <w:numId w:val="11"/>
        </w:numPr>
        <w:rPr>
          <w:rFonts w:asciiTheme="majorHAnsi" w:hAnsiTheme="majorHAnsi" w:cstheme="majorHAnsi"/>
        </w:rPr>
      </w:pPr>
      <w:r w:rsidRPr="00B95EB3">
        <w:rPr>
          <w:rFonts w:asciiTheme="majorHAnsi" w:hAnsiTheme="majorHAnsi" w:cstheme="majorHAnsi"/>
        </w:rPr>
        <w:t>The camera state machine changes state on a single frame, uses one fixed dynamic interval and sends no obstruction alert.</w:t>
      </w:r>
    </w:p>
    <w:p w14:paraId="5C9913BD" w14:textId="77777777" w:rsidR="00DB1607" w:rsidRPr="00B95EB3" w:rsidRDefault="00000000">
      <w:pPr>
        <w:pStyle w:val="Compact"/>
        <w:numPr>
          <w:ilvl w:val="0"/>
          <w:numId w:val="11"/>
        </w:numPr>
        <w:rPr>
          <w:rFonts w:asciiTheme="majorHAnsi" w:hAnsiTheme="majorHAnsi" w:cstheme="majorHAnsi"/>
        </w:rPr>
      </w:pPr>
      <w:r w:rsidRPr="00B95EB3">
        <w:rPr>
          <w:rFonts w:asciiTheme="majorHAnsi" w:hAnsiTheme="majorHAnsi" w:cstheme="majorHAnsi"/>
        </w:rPr>
        <w:t>There are no push notifications, so an owner who is not using the application does not see an alert.</w:t>
      </w:r>
    </w:p>
    <w:p w14:paraId="7797337E" w14:textId="77777777" w:rsidR="00DB1607" w:rsidRPr="00B95EB3" w:rsidRDefault="00000000">
      <w:pPr>
        <w:pStyle w:val="Compact"/>
        <w:numPr>
          <w:ilvl w:val="0"/>
          <w:numId w:val="11"/>
        </w:numPr>
        <w:rPr>
          <w:rFonts w:asciiTheme="majorHAnsi" w:hAnsiTheme="majorHAnsi" w:cstheme="majorHAnsi"/>
        </w:rPr>
      </w:pPr>
      <w:r w:rsidRPr="00B95EB3">
        <w:rPr>
          <w:rFonts w:asciiTheme="majorHAnsi" w:hAnsiTheme="majorHAnsi" w:cstheme="majorHAnsi"/>
        </w:rPr>
        <w:t>Salt addition and filter cleaning cannot yet be logged.</w:t>
      </w:r>
    </w:p>
    <w:p w14:paraId="7E9F4FF2"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b/>
          <w:bCs/>
        </w:rPr>
        <w:t>Evaluation scope.</w:t>
      </w:r>
    </w:p>
    <w:p w14:paraId="40CAFBC3" w14:textId="77777777" w:rsidR="00DB1607" w:rsidRPr="00B95EB3" w:rsidRDefault="00000000">
      <w:pPr>
        <w:pStyle w:val="Compact"/>
        <w:numPr>
          <w:ilvl w:val="0"/>
          <w:numId w:val="12"/>
        </w:numPr>
        <w:rPr>
          <w:rFonts w:asciiTheme="majorHAnsi" w:hAnsiTheme="majorHAnsi" w:cstheme="majorHAnsi"/>
        </w:rPr>
      </w:pPr>
      <w:r w:rsidRPr="00B95EB3">
        <w:rPr>
          <w:rFonts w:asciiTheme="majorHAnsi" w:hAnsiTheme="majorHAnsi" w:cstheme="majorHAnsi"/>
        </w:rPr>
        <w:t>The historical analysis uses one cluster of weather stations and air temperature, not pond water temperature.</w:t>
      </w:r>
    </w:p>
    <w:p w14:paraId="462943A0" w14:textId="77777777" w:rsidR="00DB1607" w:rsidRPr="00B95EB3" w:rsidRDefault="00000000">
      <w:pPr>
        <w:pStyle w:val="Compact"/>
        <w:numPr>
          <w:ilvl w:val="0"/>
          <w:numId w:val="12"/>
        </w:numPr>
        <w:rPr>
          <w:rFonts w:asciiTheme="majorHAnsi" w:hAnsiTheme="majorHAnsi" w:cstheme="majorHAnsi"/>
        </w:rPr>
      </w:pPr>
      <w:r w:rsidRPr="00B95EB3">
        <w:rPr>
          <w:rFonts w:asciiTheme="majorHAnsi" w:hAnsiTheme="majorHAnsi" w:cstheme="majorHAnsi"/>
        </w:rPr>
        <w:t>The held-out test of the same-day heat rule fires on 87 days once the station network correction in Chapter 6 is applied, a large improvement on an earlier, uncorrected pass of the analysis, but still a smaller sample than the dry-window rule’s 121 days.</w:t>
      </w:r>
    </w:p>
    <w:p w14:paraId="38143E85" w14:textId="77777777" w:rsidR="00DB1607" w:rsidRPr="00B95EB3" w:rsidRDefault="00000000">
      <w:pPr>
        <w:pStyle w:val="Compact"/>
        <w:numPr>
          <w:ilvl w:val="0"/>
          <w:numId w:val="12"/>
        </w:numPr>
        <w:rPr>
          <w:rFonts w:asciiTheme="majorHAnsi" w:hAnsiTheme="majorHAnsi" w:cstheme="majorHAnsi"/>
        </w:rPr>
      </w:pPr>
      <w:r w:rsidRPr="00B95EB3">
        <w:rPr>
          <w:rFonts w:asciiTheme="majorHAnsi" w:hAnsiTheme="majorHAnsi" w:cstheme="majorHAnsi"/>
        </w:rPr>
        <w:t>The field run covers 2 days and cannot speak to seasonal behaviour.</w:t>
      </w:r>
    </w:p>
    <w:p w14:paraId="7BAF55A5" w14:textId="77777777" w:rsidR="00DB1607" w:rsidRPr="00B95EB3" w:rsidRDefault="00000000">
      <w:pPr>
        <w:pStyle w:val="Heading2"/>
        <w:rPr>
          <w:rFonts w:asciiTheme="majorHAnsi" w:hAnsiTheme="majorHAnsi" w:cstheme="majorHAnsi"/>
        </w:rPr>
      </w:pPr>
      <w:bookmarkStart w:id="290" w:name="future-work"/>
      <w:bookmarkStart w:id="291" w:name="_Toc241565804"/>
      <w:bookmarkEnd w:id="288"/>
      <w:r w:rsidRPr="00B95EB3">
        <w:rPr>
          <w:rFonts w:asciiTheme="majorHAnsi" w:hAnsiTheme="majorHAnsi" w:cstheme="majorHAnsi"/>
        </w:rPr>
        <w:t>8.4 Future Work</w:t>
      </w:r>
      <w:bookmarkEnd w:id="291"/>
    </w:p>
    <w:p w14:paraId="10759946"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The following work is listed in order of the value it would add, given the current state of the project.</w:t>
      </w:r>
    </w:p>
    <w:p w14:paraId="0A85CF80"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Complete Tier 1 on the refactored node.</w:t>
      </w:r>
      <w:r w:rsidRPr="00B95EB3">
        <w:rPr>
          <w:rFonts w:asciiTheme="majorHAnsi" w:hAnsiTheme="majorHAnsi" w:cstheme="majorHAnsi"/>
        </w:rPr>
        <w:t xml:space="preserve"> Flash the networked firmware with the payload change (device identifier, cycle number, sample time, reset reason, omission of failed readings), tune the pH settle tolerance from the settle log, and measure the development board’s sleep current.</w:t>
      </w:r>
    </w:p>
    <w:p w14:paraId="4A761666"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Choose the regulator from the measured sleep current.</w:t>
      </w:r>
      <w:r w:rsidRPr="00B95EB3">
        <w:rPr>
          <w:rFonts w:asciiTheme="majorHAnsi" w:hAnsiTheme="majorHAnsi" w:cstheme="majorHAnsi"/>
        </w:rPr>
        <w:t xml:space="preserve"> If the board draws several milliamps in sleep, remove the power LED or move to a low-quiescent board before adding a buck converter (Section 3.3.2). Add a switched battery divider.</w:t>
      </w:r>
    </w:p>
    <w:p w14:paraId="2F462A09"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Run the TDS viability tests.</w:t>
      </w:r>
      <w:r w:rsidRPr="00B95EB3">
        <w:rPr>
          <w:rFonts w:asciiTheme="majorHAnsi" w:hAnsiTheme="majorHAnsi" w:cstheme="majorHAnsi"/>
        </w:rPr>
        <w:t xml:space="preserve"> Build the prompting path, with salt and filter-cleaning events, only if T1 to T4 pass.</w:t>
      </w:r>
    </w:p>
    <w:p w14:paraId="31C77316"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Recalibrate the rain term.</w:t>
      </w:r>
      <w:r w:rsidRPr="00B95EB3">
        <w:rPr>
          <w:rFonts w:asciiTheme="majorHAnsi" w:hAnsiTheme="majorHAnsi" w:cstheme="majorHAnsi"/>
        </w:rPr>
        <w:t xml:space="preserve"> Store pond depth at onboarding, weight rain by depth, and base the term on observed rainfall from the assigned station.</w:t>
      </w:r>
    </w:p>
    <w:p w14:paraId="4B96E856"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Add a dry-window advisory to the application using the forecast rule validated in Section 6.7.2.</w:t>
      </w:r>
      <w:r w:rsidRPr="00B95EB3">
        <w:rPr>
          <w:rFonts w:asciiTheme="majorHAnsi" w:hAnsiTheme="majorHAnsi" w:cstheme="majorHAnsi"/>
        </w:rPr>
      </w:r>
    </w:p>
    <w:p w14:paraId="775C00CF"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Make the model state recoverable.</w:t>
      </w:r>
      <w:r w:rsidRPr="00B95EB3">
        <w:rPr>
          <w:rFonts w:asciiTheme="majorHAnsi" w:hAnsiTheme="majorHAnsi" w:cstheme="majorHAnsi"/>
        </w:rPr>
        <w:t xml:space="preserve"> Give each event an identifier, have the digital twin record which events it has applied, and let the poller apply any intervention row it has not seen. This closes the gap left by the two-write logging path.</w:t>
      </w:r>
    </w:p>
    <w:p w14:paraId="1F97EFAD"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Read all readings since the last poll</w:t>
      </w:r>
      <w:r w:rsidRPr="00B95EB3">
        <w:rPr>
          <w:rFonts w:asciiTheme="majorHAnsi" w:hAnsiTheme="majorHAnsi" w:cstheme="majorHAnsi"/>
        </w:rPr>
        <w:t>, each with its own sample time, instead of only the latest.</w:t>
      </w:r>
    </w:p>
    <w:p w14:paraId="22D277AC"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Improve the camera schedule.</w:t>
      </w:r>
      <w:r w:rsidRPr="00B95EB3">
        <w:rPr>
          <w:rFonts w:asciiTheme="majorHAnsi" w:hAnsiTheme="majorHAnsi" w:cstheme="majorHAnsi"/>
        </w:rPr>
        <w:t xml:space="preserve"> Add hysteresis, implement the 2-hour, 1-hour and 30-minute steps, set a water mask per installation, send an owner alert on obstruction, raise the device’s lower clamp for deployment, and add an automated labelled-sequence test.</w:t>
      </w:r>
    </w:p>
    <w:p w14:paraId="7F45C152"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Host the digital twin</w:t>
      </w:r>
      <w:r w:rsidRPr="00B95EB3">
        <w:rPr>
          <w:rFonts w:asciiTheme="majorHAnsi" w:hAnsiTheme="majorHAnsi" w:cstheme="majorHAnsi"/>
        </w:rPr>
        <w:t xml:space="preserve"> on an always-on platform that supports a long-running process, with requests authenticated by the user’s Supabase session token.</w:t>
      </w:r>
    </w:p>
    <w:p w14:paraId="32165DB4"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Add push notifications</w:t>
      </w:r>
      <w:r w:rsidRPr="00B95EB3">
        <w:rPr>
          <w:rFonts w:asciiTheme="majorHAnsi" w:hAnsiTheme="majorHAnsi" w:cstheme="majorHAnsi"/>
        </w:rPr>
        <w:t xml:space="preserve"> for status changes to red and for obstruction alerts.</w:t>
      </w:r>
    </w:p>
    <w:p w14:paraId="1F15800F"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Calibrate model constants from pond data.</w:t>
      </w:r>
      <w:r w:rsidRPr="00B95EB3">
        <w:rPr>
          <w:rFonts w:asciiTheme="majorHAnsi" w:hAnsiTheme="majorHAnsi" w:cstheme="majorHAnsi"/>
        </w:rPr>
        <w:t xml:space="preserve"> Fit the shelter factor from logged top-ups, the air-to-water offset from the temperature record, and the nitrification rates against periodic test-kit readings.</w:t>
      </w:r>
    </w:p>
    <w:p w14:paraId="16DE85BC"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Add a night-time hypoxia flag</w:t>
      </w:r>
      <w:r w:rsidRPr="00B95EB3">
        <w:rPr>
          <w:rFonts w:asciiTheme="majorHAnsi" w:hAnsiTheme="majorHAnsi" w:cstheme="majorHAnsi"/>
        </w:rPr>
        <w:t xml:space="preserve"> gated on water temperature and darkness from the light sensor.</w:t>
      </w:r>
    </w:p>
    <w:p w14:paraId="71BD3F4E"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lastRenderedPageBreak/>
        <w:t>Isolate the pH board galvanically</w:t>
      </w:r>
      <w:r w:rsidRPr="00B95EB3">
        <w:rPr>
          <w:rFonts w:asciiTheme="majorHAnsi" w:hAnsiTheme="majorHAnsi" w:cstheme="majorHAnsi"/>
        </w:rPr>
        <w:t xml:space="preserve"> if the interference test in Section 4.4.2 shows a shift beyond the probe’s accuracy.</w:t>
      </w:r>
    </w:p>
    <w:p w14:paraId="04329484" w14:textId="77777777" w:rsidR="00DB1607" w:rsidRPr="00B95EB3" w:rsidRDefault="00000000">
      <w:pPr>
        <w:pStyle w:val="Compact"/>
        <w:numPr>
          <w:ilvl w:val="0"/>
          <w:numId w:val="13"/>
        </w:numPr>
        <w:rPr>
          <w:rFonts w:asciiTheme="majorHAnsi" w:hAnsiTheme="majorHAnsi" w:cstheme="majorHAnsi"/>
        </w:rPr>
      </w:pPr>
      <w:r w:rsidRPr="00B95EB3">
        <w:rPr>
          <w:rFonts w:asciiTheme="majorHAnsi" w:hAnsiTheme="majorHAnsi" w:cstheme="majorHAnsi"/>
          <w:b/>
          <w:bCs/>
        </w:rPr>
        <w:t>Remove credentials from source.</w:t>
      </w:r>
      <w:r w:rsidRPr="00B95EB3">
        <w:rPr>
          <w:rFonts w:asciiTheme="majorHAnsi" w:hAnsiTheme="majorHAnsi" w:cstheme="majorHAnsi"/>
        </w:rPr>
        <w:t xml:space="preserve"> Rotate the camera’s Wi-Fi credentials and device token, and move both to build-time configuration or non-volatile storage.</w:t>
      </w:r>
    </w:p>
    <w:p w14:paraId="23784520" w14:textId="77777777" w:rsidR="00DB1607" w:rsidRPr="00B95EB3" w:rsidRDefault="00000000">
      <w:pPr>
        <w:pStyle w:val="Heading2"/>
        <w:rPr>
          <w:rFonts w:asciiTheme="majorHAnsi" w:hAnsiTheme="majorHAnsi" w:cstheme="majorHAnsi"/>
        </w:rPr>
      </w:pPr>
      <w:bookmarkStart w:id="292" w:name="conclusion"/>
      <w:bookmarkStart w:id="293" w:name="_Toc241565805"/>
      <w:bookmarkEnd w:id="290"/>
      <w:r w:rsidRPr="00B95EB3">
        <w:rPr>
          <w:rFonts w:asciiTheme="majorHAnsi" w:hAnsiTheme="majorHAnsi" w:cstheme="majorHAnsi"/>
        </w:rPr>
        <w:t>8.5 Conclusion</w:t>
      </w:r>
      <w:bookmarkEnd w:id="293"/>
    </w:p>
    <w:p w14:paraId="5800A6CE" w14:textId="77777777" w:rsidR="00DB1607" w:rsidRPr="00B95EB3" w:rsidRDefault="00000000">
      <w:pPr>
        <w:pStyle w:val="FirstParagraph"/>
        <w:rPr>
          <w:rFonts w:asciiTheme="majorHAnsi" w:hAnsiTheme="majorHAnsi" w:cstheme="majorHAnsi"/>
        </w:rPr>
      </w:pPr>
      <w:r w:rsidRPr="00B95EB3">
        <w:rPr>
          <w:rFonts w:asciiTheme="majorHAnsi" w:hAnsiTheme="majorHAnsi" w:cstheme="majorHAnsi"/>
        </w:rPr>
        <w:t>This project set out to build a low-cost system that warns an outdoor pond owner of developing water quality problems instead of only reporting the present state of the water. The literature review showed that dissolved oxygen and nitrate cannot be sensed reliably at this budget, and that the practical route is to sense temperature, pH, TDS and light directly, to estimate the nitrogen species from logged feeding and maintenance, to track algae with a camera grounded by the owner’s own ratings, and to use weather forecasts where they add information.</w:t>
      </w:r>
    </w:p>
    <w:p w14:paraId="2C0BFFEF"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system that resulted has two independent pond-side nodes, a hosted camera analysis service, a digital twin that keeps chemistry, evaporation and algae models consistent under one lock and one snapshot, and a Flutter application that presents the models’ outlook and collects the owner’s events. The change from an RS485 pH front end to a 3.3 V analogue kit simplified the hardware to the point where every sensor runs from its own microcontroller pin, and battery life is now set by the development board’s sleep current. The software has been refactored across all components, and its logic is covered by automated tests: 66 firmware checks and 297 digital twin checks pass.</w:t>
      </w:r>
    </w:p>
    <w:p w14:paraId="63663828"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analysis of 6 years of NEA data, reported in Chapter 6, gave the clearest result of the project so far. For a pond of normal depth, rain dilution is small beside routine water changes. The forecast identifies dry days reliably, adds skill for next-day rain, and, once measured on a consistent temperature record, adds real skill for heat at every lead time from same-day to 5 days ahead. A newly validated 2-hour nowcast adds a further, short-fuse layer of warning that no other signal in the system supplies. These findings narrow where the forecast should be used and show that the chemistry model’s rain term should be recalibrated.</w:t>
      </w:r>
    </w:p>
    <w:p w14:paraId="6385498B" w14:textId="77777777" w:rsidR="00DB1607" w:rsidRPr="00B95EB3" w:rsidRDefault="00000000">
      <w:pPr>
        <w:pStyle w:val="BodyText"/>
        <w:rPr>
          <w:rFonts w:asciiTheme="majorHAnsi" w:hAnsiTheme="majorHAnsi" w:cstheme="majorHAnsi"/>
        </w:rPr>
      </w:pPr>
      <w:r w:rsidRPr="00B95EB3">
        <w:rPr>
          <w:rFonts w:asciiTheme="majorHAnsi" w:hAnsiTheme="majorHAnsi" w:cstheme="majorHAnsi"/>
        </w:rPr>
        <w:t>The bench, field and endurance tests in Chapter 4 will decide how far the hardware meets its targets and whether TDS can serve as a context log. [Placeholder: summarise the Tier 1 to Tier 3 outcomes and the TDS viability result once the tests are complete.]</w:t>
      </w:r>
    </w:p>
    <w:p w14:paraId="0B6352BC" w14:textId="77777777" w:rsidR="00DB1607" w:rsidRPr="00B95EB3" w:rsidRDefault="00000000">
      <w:pPr>
        <w:pStyle w:val="Heading1"/>
        <w:rPr>
          <w:rFonts w:asciiTheme="majorHAnsi" w:hAnsiTheme="majorHAnsi" w:cstheme="majorHAnsi"/>
        </w:rPr>
      </w:pPr>
      <w:bookmarkStart w:id="294" w:name="references"/>
      <w:bookmarkStart w:id="295" w:name="_Toc241565806"/>
      <w:bookmarkEnd w:id="282"/>
      <w:bookmarkEnd w:id="292"/>
      <w:r w:rsidRPr="00B95EB3">
        <w:rPr>
          <w:rFonts w:asciiTheme="majorHAnsi" w:hAnsiTheme="majorHAnsi" w:cstheme="majorHAnsi"/>
        </w:rPr>
        <w:lastRenderedPageBreak/>
        <w:t>References</w:t>
      </w:r>
      <w:bookmarkEnd w:id="295"/>
    </w:p>
    <w:p w14:paraId="7C69A5B9" w14:textId="77777777" w:rsidR="00DB1607" w:rsidRPr="00B95EB3" w:rsidRDefault="00000000">
      <w:pPr>
        <w:pStyle w:val="FirstParagraph"/>
        <w:spacing w:line="288" w:lineRule="auto"/>
        <w:ind w:left="567" w:hanging="567"/>
        <w:jc w:val="left"/>
        <w:rPr>
          <w:rFonts w:asciiTheme="majorHAnsi" w:hAnsiTheme="majorHAnsi" w:cstheme="majorHAnsi"/>
        </w:rPr>
      </w:pPr>
      <w:r w:rsidRPr="00B95EB3">
        <w:rPr>
          <w:rFonts w:asciiTheme="majorHAnsi" w:hAnsiTheme="majorHAnsi" w:cstheme="majorHAnsi"/>
        </w:rPr>
        <w:t>Entries are formatted to APA 7th edition. Where a bracketed marker appears, the detail was carried over from the working draft and has not been checked against a publisher record, and APA requires the full author list rather than ‘et al.’ in the reference list, so each marked entry must be completed before submission. Secondary citations to Boyd (1998), Boyd and Hanson (2010), Begum et al. (2004), and Stone and Thomforde (2004) are cited as ‘as cited in Komal et al., 2021’ and are omitted from this list, which lists only the sources consulted.</w:t>
      </w:r>
    </w:p>
    <w:p w14:paraId="7C07A995"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Advanced Monolithic Systems. (n.d.). </w:t>
      </w:r>
      <w:r w:rsidRPr="00B95EB3">
        <w:rPr>
          <w:rFonts w:asciiTheme="majorHAnsi" w:hAnsiTheme="majorHAnsi" w:cstheme="majorHAnsi"/>
          <w:i/>
          <w:iCs/>
        </w:rPr>
        <w:t>AMS1117 1A low dropout voltage regulator</w:t>
      </w:r>
      <w:r w:rsidRPr="00B95EB3">
        <w:rPr>
          <w:rFonts w:asciiTheme="majorHAnsi" w:hAnsiTheme="majorHAnsi" w:cstheme="majorHAnsi"/>
        </w:rPr>
        <w:t xml:space="preserve"> [Datasheet].</w:t>
      </w:r>
    </w:p>
    <w:p w14:paraId="4D01B13D"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Ali, S., Mishra, P. K., Islam, A., &amp; Alam, N. M. (2016). Simulation of water temperature in a small pond using parametric statistical models: Implications of climate warming. </w:t>
      </w:r>
      <w:r w:rsidRPr="00B95EB3">
        <w:rPr>
          <w:rFonts w:asciiTheme="majorHAnsi" w:hAnsiTheme="majorHAnsi" w:cstheme="majorHAnsi"/>
          <w:i/>
          <w:iCs/>
        </w:rPr>
        <w:t>Journal of Environmental Engineering, 142</w:t>
      </w:r>
      <w:r w:rsidRPr="00B95EB3">
        <w:rPr>
          <w:rFonts w:asciiTheme="majorHAnsi" w:hAnsiTheme="majorHAnsi" w:cstheme="majorHAnsi"/>
        </w:rPr>
        <w:t>(3), 04015085. https://doi.org/10.1061/(ASCE)EE.1943-7870.0001050</w:t>
      </w:r>
    </w:p>
    <w:p w14:paraId="54F95198"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Al-Khaldi, Dhandapani, &amp; Al-Badri. (n.d.). Preliminary field evaluation of a low-cost IoT workflow for DO monitoring and short-horizon forecasting in Nile tilapia aquaculture. [Author list, volume and pages to be confirmed]</w:t>
      </w:r>
    </w:p>
    <w:p w14:paraId="7BBC054A"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ams OSRAM. (2023a). </w:t>
      </w:r>
      <w:r w:rsidRPr="00B95EB3">
        <w:rPr>
          <w:rFonts w:asciiTheme="majorHAnsi" w:hAnsiTheme="majorHAnsi" w:cstheme="majorHAnsi"/>
          <w:i/>
          <w:iCs/>
        </w:rPr>
        <w:t>TSL2591 very high sensitivity light-to-digital converter</w:t>
      </w:r>
      <w:r w:rsidRPr="00B95EB3">
        <w:rPr>
          <w:rFonts w:asciiTheme="majorHAnsi" w:hAnsiTheme="majorHAnsi" w:cstheme="majorHAnsi"/>
        </w:rPr>
        <w:t xml:space="preserve"> [Datasheet]. https://look.ams-osram.com/m/c901de8e97608f8/original/TSL2591-DS000338.pdf</w:t>
      </w:r>
    </w:p>
    <w:p w14:paraId="7723D640"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ams OSRAM. (2023b). </w:t>
      </w:r>
      <w:r w:rsidRPr="00B95EB3">
        <w:rPr>
          <w:rFonts w:asciiTheme="majorHAnsi" w:hAnsiTheme="majorHAnsi" w:cstheme="majorHAnsi"/>
          <w:i/>
          <w:iCs/>
        </w:rPr>
        <w:t>TCS3472 colour light-to-digital converter</w:t>
      </w:r>
      <w:r w:rsidRPr="00B95EB3">
        <w:rPr>
          <w:rFonts w:asciiTheme="majorHAnsi" w:hAnsiTheme="majorHAnsi" w:cstheme="majorHAnsi"/>
        </w:rPr>
        <w:t xml:space="preserve"> [Datasheet]. https://look.ams-osram.com/asset/c445632e-47db-4586-8b15-6b637d2dc915/TCS3472-DS000390.pdf</w:t>
      </w:r>
    </w:p>
    <w:p w14:paraId="34DF4485"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Analog Devices. (2014). </w:t>
      </w:r>
      <w:r w:rsidRPr="00B95EB3">
        <w:rPr>
          <w:rFonts w:asciiTheme="majorHAnsi" w:hAnsiTheme="majorHAnsi" w:cstheme="majorHAnsi"/>
          <w:i/>
          <w:iCs/>
        </w:rPr>
        <w:t>CN-0326: Isolated pH monitor with temperature compensation</w:t>
      </w:r>
      <w:r w:rsidRPr="00B95EB3">
        <w:rPr>
          <w:rFonts w:asciiTheme="majorHAnsi" w:hAnsiTheme="majorHAnsi" w:cstheme="majorHAnsi"/>
        </w:rPr>
        <w:t xml:space="preserve"> [Circuit note]. https://www.analog.com/media/en/reference-design-documentation/reference-designs/cn0326.pdf</w:t>
      </w:r>
    </w:p>
    <w:p w14:paraId="7454721D"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Analog Devices. (2026). </w:t>
      </w:r>
      <w:r w:rsidRPr="00B95EB3">
        <w:rPr>
          <w:rFonts w:asciiTheme="majorHAnsi" w:hAnsiTheme="majorHAnsi" w:cstheme="majorHAnsi"/>
          <w:i/>
          <w:iCs/>
        </w:rPr>
        <w:t>DS18B20 programmable resolution 1-Wire digital thermometer</w:t>
      </w:r>
      <w:r w:rsidRPr="00B95EB3">
        <w:rPr>
          <w:rFonts w:asciiTheme="majorHAnsi" w:hAnsiTheme="majorHAnsi" w:cstheme="majorHAnsi"/>
        </w:rPr>
        <w:t xml:space="preserve"> [Datasheet]. https://www.analog.com/media/en/technical-documentation/data-sheets/DS18B20.pdf</w:t>
      </w:r>
    </w:p>
    <w:p w14:paraId="66AAAD88"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Apogee Instruments. (n.d.). Conversion – PPFD to lux. https://www.apogeeinstruments.com/conversion-ppfd-to-lux/</w:t>
      </w:r>
    </w:p>
    <w:p w14:paraId="3CD022EF"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Aquaculture Asia Pacific. (n.d.). The impact of extreme rainfall on aquaculture. [Author list, volume and pages to be confirmed]</w:t>
      </w:r>
    </w:p>
    <w:p w14:paraId="17D8ED37"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Bhoi, A. (n.d.). IoT-IIRS: Internet of Things-based intelligent-irrigation recommendation system using machine learning approach. [Author list, volume and pages to be confirmed]</w:t>
      </w:r>
    </w:p>
    <w:p w14:paraId="781107E8"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Boyd, C. E. (2014, November 1). Light penetration in water. Global Seafood Alliance. https://www.globalseafood.org/advocate/light-penetration-in-water/</w:t>
      </w:r>
    </w:p>
    <w:p w14:paraId="40694093"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Brownridge, J. D. (2015). </w:t>
      </w:r>
      <w:r w:rsidRPr="00B95EB3">
        <w:rPr>
          <w:rFonts w:asciiTheme="majorHAnsi" w:hAnsiTheme="majorHAnsi" w:cstheme="majorHAnsi"/>
          <w:i/>
          <w:iCs/>
        </w:rPr>
        <w:t>Solar-induced thermal activity and stratification in pond water</w:t>
      </w:r>
      <w:r w:rsidRPr="00B95EB3">
        <w:rPr>
          <w:rFonts w:asciiTheme="majorHAnsi" w:hAnsiTheme="majorHAnsi" w:cstheme="majorHAnsi"/>
        </w:rPr>
        <w:t xml:space="preserve"> (arXiv:1504.03986). arXiv. https://arxiv.org/abs/1504.03986</w:t>
      </w:r>
    </w:p>
    <w:p w14:paraId="20DF1375"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Capella, J. V., Bonastre, A., Ors, R., &amp; Peris, M. (2015). An interference-tolerant nitrate smart sensor for wireless sensor network applications. </w:t>
      </w:r>
      <w:r w:rsidRPr="00B95EB3">
        <w:rPr>
          <w:rFonts w:asciiTheme="majorHAnsi" w:hAnsiTheme="majorHAnsi" w:cstheme="majorHAnsi"/>
          <w:i/>
          <w:iCs/>
        </w:rPr>
        <w:t>Sensors and Actuators B: Chemical, 213</w:t>
      </w:r>
      <w:r w:rsidRPr="00B95EB3">
        <w:rPr>
          <w:rFonts w:asciiTheme="majorHAnsi" w:hAnsiTheme="majorHAnsi" w:cstheme="majorHAnsi"/>
        </w:rPr>
        <w:t>, 534–540. https://doi.org/10.1016/j.snb.2015.02.125</w:t>
      </w:r>
    </w:p>
    <w:p w14:paraId="28FA30FE"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Codeluppi, G., Davoli, L., &amp; Ferrari, G. (2021). Forecasting air temperature on edge devices with embedded AI. Sensors, 21(12), 3973. https://doi.org/10.3390/s21123973</w:t>
      </w:r>
    </w:p>
    <w:p w14:paraId="213650AC"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Díaz, V. (n.d.). Kinetics of nitrogen compounds in a commercial marine recirculating aquaculture system. [Author list, volume and pages to be confirmed]</w:t>
      </w:r>
    </w:p>
    <w:p w14:paraId="3BC1AC81"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DFRobot. (2026a). </w:t>
      </w:r>
      <w:r w:rsidRPr="00B95EB3">
        <w:rPr>
          <w:rFonts w:asciiTheme="majorHAnsi" w:hAnsiTheme="majorHAnsi" w:cstheme="majorHAnsi"/>
          <w:i/>
          <w:iCs/>
        </w:rPr>
        <w:t>Gravity: Analog TDS sensor/meter for Arduino (SEN0244)</w:t>
      </w:r>
      <w:r w:rsidRPr="00B95EB3">
        <w:rPr>
          <w:rFonts w:asciiTheme="majorHAnsi" w:hAnsiTheme="majorHAnsi" w:cstheme="majorHAnsi"/>
        </w:rPr>
        <w:t>. https://wiki.dfrobot.com/sen0244</w:t>
      </w:r>
    </w:p>
    <w:p w14:paraId="1003986C"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lastRenderedPageBreak/>
        <w:t xml:space="preserve">DFRobot. (2026b). </w:t>
      </w:r>
      <w:r w:rsidRPr="00B95EB3">
        <w:rPr>
          <w:rFonts w:asciiTheme="majorHAnsi" w:hAnsiTheme="majorHAnsi" w:cstheme="majorHAnsi"/>
          <w:i/>
          <w:iCs/>
        </w:rPr>
        <w:t>ESP32-CAM development board (DFR0602)</w:t>
      </w:r>
      <w:r w:rsidRPr="00B95EB3">
        <w:rPr>
          <w:rFonts w:asciiTheme="majorHAnsi" w:hAnsiTheme="majorHAnsi" w:cstheme="majorHAnsi"/>
        </w:rPr>
        <w:t>. https://wiki.dfrobot.com/dfr0602/</w:t>
      </w:r>
    </w:p>
    <w:p w14:paraId="74FB2C9D"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DFRobot. (2026c). </w:t>
      </w:r>
      <w:r w:rsidRPr="00B95EB3">
        <w:rPr>
          <w:rFonts w:asciiTheme="majorHAnsi" w:hAnsiTheme="majorHAnsi" w:cstheme="majorHAnsi"/>
          <w:i/>
          <w:iCs/>
        </w:rPr>
        <w:t>Gravity: Analog signal isolation module (DFR0504)</w:t>
      </w:r>
      <w:r w:rsidRPr="00B95EB3">
        <w:rPr>
          <w:rFonts w:asciiTheme="majorHAnsi" w:hAnsiTheme="majorHAnsi" w:cstheme="majorHAnsi"/>
        </w:rPr>
        <w:t>. https://wiki.dfrobot.com/dfr0504/</w:t>
      </w:r>
    </w:p>
    <w:p w14:paraId="62EB8AE1"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DFRobot. (n.d.). </w:t>
      </w:r>
      <w:r w:rsidRPr="00B95EB3">
        <w:rPr>
          <w:rFonts w:asciiTheme="majorHAnsi" w:hAnsiTheme="majorHAnsi" w:cstheme="majorHAnsi"/>
          <w:i/>
          <w:iCs/>
        </w:rPr>
        <w:t>Gravity: Analog industrial pH sensor / meter pro kit V2 (SEN0169-V2)</w:t>
      </w:r>
      <w:r w:rsidRPr="00B95EB3">
        <w:rPr>
          <w:rFonts w:asciiTheme="majorHAnsi" w:hAnsiTheme="majorHAnsi" w:cstheme="majorHAnsi"/>
        </w:rPr>
        <w:t>. https://wiki.dfrobot.com/sen0169-v2/</w:t>
      </w:r>
    </w:p>
    <w:p w14:paraId="013BBFB8"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Diana, J. S., Szyper, J. P., Batterson, T. R., Boyd, C. E., &amp; Piedrahita, R. H. (1997). Water quality in ponds. In Dynamics of pond aquaculture. CRC Press. [Editors and page range to be confirmed]</w:t>
      </w:r>
    </w:p>
    <w:p w14:paraId="6C36B17C"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Dipankar, A., Webster, S., Sun, X., Sanchez, C., North, R., Furtado, K., Wilkinson, J., Lock, A., Vosper, S., Huang, X.-Y., &amp; Barker, D. (2020). SINGV: A convective-scale weather forecast model for Singapore. </w:t>
      </w:r>
      <w:r w:rsidRPr="00B95EB3">
        <w:rPr>
          <w:rFonts w:asciiTheme="majorHAnsi" w:hAnsiTheme="majorHAnsi" w:cstheme="majorHAnsi"/>
          <w:i/>
          <w:iCs/>
        </w:rPr>
        <w:t>Quarterly Journal of the Royal Meteorological Society, 146</w:t>
      </w:r>
      <w:r w:rsidRPr="00B95EB3">
        <w:rPr>
          <w:rFonts w:asciiTheme="majorHAnsi" w:hAnsiTheme="majorHAnsi" w:cstheme="majorHAnsi"/>
        </w:rPr>
        <w:t>(733), 4131–4146. https://doi.org/10.1002/qj.3895</w:t>
      </w:r>
    </w:p>
    <w:p w14:paraId="0943D25F"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Espressif Systems. (2026a). </w:t>
      </w:r>
      <w:r w:rsidRPr="00B95EB3">
        <w:rPr>
          <w:rFonts w:asciiTheme="majorHAnsi" w:hAnsiTheme="majorHAnsi" w:cstheme="majorHAnsi"/>
          <w:i/>
          <w:iCs/>
        </w:rPr>
        <w:t>ESP32 series datasheet</w:t>
      </w:r>
      <w:r w:rsidRPr="00B95EB3">
        <w:rPr>
          <w:rFonts w:asciiTheme="majorHAnsi" w:hAnsiTheme="majorHAnsi" w:cstheme="majorHAnsi"/>
        </w:rPr>
        <w:t>. https://www.espressif.com/sites/default/files/documentation/esp32_datasheet_en.pdf</w:t>
      </w:r>
    </w:p>
    <w:p w14:paraId="09EA29F5"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Espressif Systems. (2026b). </w:t>
      </w:r>
      <w:r w:rsidRPr="00B95EB3">
        <w:rPr>
          <w:rFonts w:asciiTheme="majorHAnsi" w:hAnsiTheme="majorHAnsi" w:cstheme="majorHAnsi"/>
          <w:i/>
          <w:iCs/>
        </w:rPr>
        <w:t>ESP32 hardware design guidelines: Schematic checklist</w:t>
      </w:r>
      <w:r w:rsidRPr="00B95EB3">
        <w:rPr>
          <w:rFonts w:asciiTheme="majorHAnsi" w:hAnsiTheme="majorHAnsi" w:cstheme="majorHAnsi"/>
        </w:rPr>
        <w:t>. https://docs.espressif.com/projects/esp-hardware-design-guidelines/en/latest/esp32/schematic-checklist.html</w:t>
      </w:r>
    </w:p>
    <w:p w14:paraId="77584C41"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Espressif Systems. (2026c). </w:t>
      </w:r>
      <w:r w:rsidRPr="00B95EB3">
        <w:rPr>
          <w:rFonts w:asciiTheme="majorHAnsi" w:hAnsiTheme="majorHAnsi" w:cstheme="majorHAnsi"/>
          <w:i/>
          <w:iCs/>
        </w:rPr>
        <w:t>Analog to digital converter (ADC)</w:t>
      </w:r>
      <w:r w:rsidRPr="00B95EB3">
        <w:rPr>
          <w:rFonts w:asciiTheme="majorHAnsi" w:hAnsiTheme="majorHAnsi" w:cstheme="majorHAnsi"/>
        </w:rPr>
        <w:t>. ESP-IDF programming guide. https://docs.espressif.com/projects/esp-idf/en/v4.3.1/esp32/api-reference/peripherals/adc.html</w:t>
      </w:r>
    </w:p>
    <w:p w14:paraId="117258EB"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Føre, M. (2018). Precision fish farming: A new framework to improve production in aquaculture. [Author list, volume and pages to be confirmed]</w:t>
      </w:r>
    </w:p>
    <w:p w14:paraId="6AC9FA39"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Furuta. (2026). Design and test of a lower-cost water-quality sensor for nitrate. ACS ES&amp;T Water. [Author list, volume and pages to be confirmed]</w:t>
      </w:r>
    </w:p>
    <w:p w14:paraId="61914827"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Gong, Z., Shan, K., Zhao, Y., Peng, D., Liang, H., &amp; Zou, B. (2024). Real-time algal bloom detection technique: A zero-shot approach using DINOv2 and HSV filtering. In Proceedings of ICCBN 2024. [Page range to be confirmed]</w:t>
      </w:r>
    </w:p>
    <w:p w14:paraId="1D89EC4B"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Guillén. (n.d.). A deep learning model to predict lower temperatures in agriculture. [Author list, volume and pages to be confirmed]</w:t>
      </w:r>
    </w:p>
    <w:p w14:paraId="4F3AB0D8"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Hernández-Paredes, J. M., Rodríguez-Abreo, O., Díaz-Gómez, L., &amp; Romero-Sánchez, M. G. (2026). Data-efficiency and saturation limits in short-horizon temperature forecasting for outdoor IoT sensing systems. Computers and Electrical Engineering, 139, 111410.</w:t>
      </w:r>
    </w:p>
    <w:p w14:paraId="199F1FC5"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Hossain, S., Chow, C. W. K., Cook, D., Sawade, E., &amp; Hewa, G. A. (2022). Review of nitrification monitoring and control Strategies in drinking water system. International Journal of Environmental Research and Public Health, 19(7), 4003. https://doi.org/10.3390/ijerph19074003</w:t>
      </w:r>
    </w:p>
    <w:p w14:paraId="08927F1E"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Hsu. (n.d.). Development of a low-cost hemin-based dissolved oxygen sensor with anti-biofouling coating for water monitoring. [Author list, volume and pages to be confirmed]</w:t>
      </w:r>
    </w:p>
    <w:p w14:paraId="77235E5D"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Hubert, E., &amp; Wolkersdorfer, C. (2015). Establishing a conversion factor between electrical conductivity and total dissolved solids in South African mine waters. Water SA, 41(4), 490–500. https://doi.org/10.4314/wsa.v41i4.08</w:t>
      </w:r>
    </w:p>
    <w:p w14:paraId="22E80608"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Karim. (2021). [Author list, volume and pages to be confirmed]</w:t>
      </w:r>
    </w:p>
    <w:p w14:paraId="3A3C1847"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Kemp. (n.d.). Light and temperature as triggers for surface filamentous green algal blooms in shallow freshwater systems. [Author list, volume and pages to be confirmed]</w:t>
      </w:r>
    </w:p>
    <w:p w14:paraId="2E7C3E8D"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Komal. (2021). International Journal of Biosciences. [Title, author list and volume to be confirmed]</w:t>
      </w:r>
    </w:p>
    <w:p w14:paraId="6F786A22"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lastRenderedPageBreak/>
        <w:t>Lamoureux, J., Tiersch, T. R., &amp; Hall, S. G. (2006). Pond heat and temperature regulation (PHATR): Modeling temperature and energy balances in earthen outdoor aquaculture ponds. Aquacultural Engineering, 34, 103–116.</w:t>
      </w:r>
    </w:p>
    <w:p w14:paraId="798C7C0E"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Lee. (n.d.). Weather prediction for Singapore: Progress, challenges, and opportunities. [Author list, volume and pages to be confirmed]</w:t>
      </w:r>
    </w:p>
    <w:p w14:paraId="1D801FE5"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Leischner, F., Mietzel, T., Gerner, N., &amp; Heldt, S. (2026). A comparison between low-cost single-parameter IoT sensors and traditional high-cost monitoring stations for stream water quality assessment. </w:t>
      </w:r>
      <w:r w:rsidRPr="00B95EB3">
        <w:rPr>
          <w:rFonts w:asciiTheme="majorHAnsi" w:hAnsiTheme="majorHAnsi" w:cstheme="majorHAnsi"/>
          <w:i/>
          <w:iCs/>
        </w:rPr>
        <w:t>Environmental Technology &amp; Innovation, 41</w:t>
      </w:r>
      <w:r w:rsidRPr="00B95EB3">
        <w:rPr>
          <w:rFonts w:asciiTheme="majorHAnsi" w:hAnsiTheme="majorHAnsi" w:cstheme="majorHAnsi"/>
        </w:rPr>
        <w:t>, 104788. https://doi.org/10.1016/j.eti.2026.104788</w:t>
      </w:r>
    </w:p>
    <w:p w14:paraId="575462F1"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Lin. (n.d.). Neglected thermal effects of colour-temperature on algal growth in aquatic environment under light. [Author list, volume and pages to be confirmed]</w:t>
      </w:r>
    </w:p>
    <w:p w14:paraId="5B648DB8"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Luo. (2015). [Author list, volume and pages to be confirmed]</w:t>
      </w:r>
    </w:p>
    <w:p w14:paraId="3B9DA156"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Luque-Vega, L. F., et al. (2025). Development and evaluation of solar radiation sensor using cost-effective light sensors and machine learning techniques. Technologies, 13(5), 182. https://doi.org/10.3390/technologies13050182 [Full author list to be completed]</w:t>
      </w:r>
    </w:p>
    <w:p w14:paraId="294343C0"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Manandhar. (n.d.). A data-driven approach for accurate rainfall prediction. [Author list, volume and pages to be confirmed]</w:t>
      </w:r>
    </w:p>
    <w:p w14:paraId="148AD89F"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Martins, L. D., et al. (2023). Low-cost water quality sensors for IoT: A systematic review. Sensors, 23(9), 4424. https://doi.org/10.3390/s23094424 [Full author list to be completed]</w:t>
      </w:r>
    </w:p>
    <w:p w14:paraId="2DA50442"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Montjourides, M. A., Röblitz, S., &amp; Dahle, H. (2025). Optimizing alkalinity control in recirculating aquaculture systems (RAS): A dynamic modelling approach. </w:t>
      </w:r>
      <w:r w:rsidRPr="00B95EB3">
        <w:rPr>
          <w:rFonts w:asciiTheme="majorHAnsi" w:hAnsiTheme="majorHAnsi" w:cstheme="majorHAnsi"/>
          <w:i/>
          <w:iCs/>
        </w:rPr>
        <w:t>Aquacultural Engineering, 108</w:t>
      </w:r>
      <w:r w:rsidRPr="00B95EB3">
        <w:rPr>
          <w:rFonts w:asciiTheme="majorHAnsi" w:hAnsiTheme="majorHAnsi" w:cstheme="majorHAnsi"/>
        </w:rPr>
        <w:t>, 102492. https://doi.org/10.1016/j.aquaeng.2024.102492</w:t>
      </w:r>
    </w:p>
    <w:p w14:paraId="2EA1302B"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Morrill, J. C., Bales, R. C., &amp; Conklin, M. H. (2005). Estimating stream temperature from air temperature: Implications for future water quality. </w:t>
      </w:r>
      <w:r w:rsidRPr="00B95EB3">
        <w:rPr>
          <w:rFonts w:asciiTheme="majorHAnsi" w:hAnsiTheme="majorHAnsi" w:cstheme="majorHAnsi"/>
          <w:i/>
          <w:iCs/>
        </w:rPr>
        <w:t>Journal of Environmental Engineering, 131</w:t>
      </w:r>
      <w:r w:rsidRPr="00B95EB3">
        <w:rPr>
          <w:rFonts w:asciiTheme="majorHAnsi" w:hAnsiTheme="majorHAnsi" w:cstheme="majorHAnsi"/>
        </w:rPr>
        <w:t>(1), 139–146. [Quoted wording to be confirmed against this source]</w:t>
      </w:r>
    </w:p>
    <w:p w14:paraId="78C1B371"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Naloufi, M., Abreu, T., Souihi, S., et al. (2024). Long-term stability of low-cost IoT system for monitoring water quality in urban rivers. Water, 16(12), 1708. https://doi.org/10.3390/w16121708 [Full author list to be completed]</w:t>
      </w:r>
    </w:p>
    <w:p w14:paraId="3A0DDD61"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National Environment Agency. (n.d.). Realtime weather readings across Singapore [Data set]. Data.gov.sg. https://data.gov.sg/collections/1459/view</w:t>
      </w:r>
    </w:p>
    <w:p w14:paraId="40F2984C"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Ngo. (n.d.). Determining the correlation between concentration levels and the visual features of algae in water surfaces. [Author list, volume and pages to be confirmed]</w:t>
      </w:r>
    </w:p>
    <w:p w14:paraId="35C96F15"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Ott, Torrans, &amp; Tucker. (n.d.). Fish production, water quality, and the role of nitrification as an ammonia removal process in intensively aerated hybrid catfish ponds. [Author list, volume and pages to be confirmed]</w:t>
      </w:r>
    </w:p>
    <w:p w14:paraId="0BB73972"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Penman, H. L. (1948). Natural evaporation from open water, bare soil and grass. </w:t>
      </w:r>
      <w:r w:rsidRPr="00B95EB3">
        <w:rPr>
          <w:rFonts w:asciiTheme="majorHAnsi" w:hAnsiTheme="majorHAnsi" w:cstheme="majorHAnsi"/>
          <w:i/>
          <w:iCs/>
        </w:rPr>
        <w:t>Proceedings of the Royal Society of London. Series A, 193</w:t>
      </w:r>
      <w:r w:rsidRPr="00B95EB3">
        <w:rPr>
          <w:rFonts w:asciiTheme="majorHAnsi" w:hAnsiTheme="majorHAnsi" w:cstheme="majorHAnsi"/>
        </w:rPr>
        <w:t>(1032), 120–145.</w:t>
      </w:r>
    </w:p>
    <w:p w14:paraId="0F238277"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Pond water quality and its relation to fish yield and disease occurrence in small-scale aquaculture in arid areas. (2023). </w:t>
      </w:r>
      <w:r w:rsidRPr="00B95EB3">
        <w:rPr>
          <w:rFonts w:asciiTheme="majorHAnsi" w:hAnsiTheme="majorHAnsi" w:cstheme="majorHAnsi"/>
          <w:i/>
          <w:iCs/>
        </w:rPr>
        <w:t>Heliyon, 9</w:t>
      </w:r>
      <w:r w:rsidRPr="00B95EB3">
        <w:rPr>
          <w:rFonts w:asciiTheme="majorHAnsi" w:hAnsiTheme="majorHAnsi" w:cstheme="majorHAnsi"/>
        </w:rPr>
        <w:t>(6). https://doi.org/10.1016/j.heliyon.2023.e16753 [Author list to be confirmed]</w:t>
      </w:r>
    </w:p>
    <w:p w14:paraId="6050BD9C"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Puangsuwan, K., Wongpanich, J., &amp; Hama, R. (2026). Development and statistical validation of an image processing system for total ammonia nitrogen monitoring in aquaculture. International Journal of Agricultural and Biological Engineering, 19(1), 26–32. https://doi.org/10.25165/j.ijabe.20261901.10224</w:t>
      </w:r>
    </w:p>
    <w:p w14:paraId="1486F439"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lastRenderedPageBreak/>
        <w:t xml:space="preserve">PythonAnywhere. (n.d.). </w:t>
      </w:r>
      <w:r w:rsidRPr="00B95EB3">
        <w:rPr>
          <w:rFonts w:asciiTheme="majorHAnsi" w:hAnsiTheme="majorHAnsi" w:cstheme="majorHAnsi"/>
          <w:i/>
          <w:iCs/>
        </w:rPr>
        <w:t>Python threads support is disabled. You can enable it with –enable-threads</w:t>
      </w:r>
      <w:r w:rsidRPr="00B95EB3">
        <w:rPr>
          <w:rFonts w:asciiTheme="majorHAnsi" w:hAnsiTheme="majorHAnsi" w:cstheme="majorHAnsi"/>
        </w:rPr>
        <w:t xml:space="preserve"> [Forum thread]. https://www.pythonanywhere.com/forums/topic/32459/</w:t>
      </w:r>
    </w:p>
    <w:p w14:paraId="1853ED6D"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Ray, L. I. P., Mal, B. C., &amp; Moulick, S. (2017). Nutrient modeling for a semi-intensive IMC pond: An MS-Excel approach. Water Science &amp; Technology, 76(10), 2858–2866.</w:t>
      </w:r>
    </w:p>
    <w:p w14:paraId="66C82358"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Reddy. (2026). IoT-based intelligent fish farming system with real-time monitoring, automated feeding, and smart alert mechanism. [Author list, volume and pages to be confirmed]</w:t>
      </w:r>
    </w:p>
    <w:p w14:paraId="2700E261"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Sabouri, F., Gharabaghi, B., Sattar, A. M. A., &amp; Thompson, A. M. (2016). Event-based stormwater management pond runoff temperature model. Journal of Hydrology, 540, 306–316.</w:t>
      </w:r>
    </w:p>
    <w:p w14:paraId="67F95CEE"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Seachem Laboratories. (n.d.). Ammonia Alert [Product specification]. https://www.seachem.com/alert-combo.php</w:t>
      </w:r>
    </w:p>
    <w:p w14:paraId="646F116B"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Seneye. (n.d.-a). </w:t>
      </w:r>
      <w:r w:rsidRPr="00B95EB3">
        <w:rPr>
          <w:rFonts w:asciiTheme="majorHAnsi" w:hAnsiTheme="majorHAnsi" w:cstheme="majorHAnsi"/>
          <w:i/>
          <w:iCs/>
        </w:rPr>
        <w:t>seneye slide NH3/pH</w:t>
      </w:r>
      <w:r w:rsidRPr="00B95EB3">
        <w:rPr>
          <w:rFonts w:asciiTheme="majorHAnsi" w:hAnsiTheme="majorHAnsi" w:cstheme="majorHAnsi"/>
        </w:rPr>
        <w:t>. https://answers.seneye.com/en/Seneye_Products/seneye_slide_NH3_pH</w:t>
      </w:r>
    </w:p>
    <w:p w14:paraId="13FC127C"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Seneye. (n.d.-b). </w:t>
      </w:r>
      <w:r w:rsidRPr="00B95EB3">
        <w:rPr>
          <w:rFonts w:asciiTheme="majorHAnsi" w:hAnsiTheme="majorHAnsi" w:cstheme="majorHAnsi"/>
          <w:i/>
          <w:iCs/>
        </w:rPr>
        <w:t>Aquatic alert system user guide</w:t>
      </w:r>
      <w:r w:rsidRPr="00B95EB3">
        <w:rPr>
          <w:rFonts w:asciiTheme="majorHAnsi" w:hAnsiTheme="majorHAnsi" w:cstheme="majorHAnsi"/>
        </w:rPr>
        <w:t>. https://s3.amazonaws.com/brsinstructions/brsSeneye/User_Guide_UK.pdf</w:t>
      </w:r>
    </w:p>
    <w:p w14:paraId="485DE601"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Shafi. (2025). Journal of Advanced Veterinary and Animal Research. [Title, author list and volume to be confirmed]</w:t>
      </w:r>
    </w:p>
    <w:p w14:paraId="554D8EBA"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Singh, &amp; Singh. (n.d.). Effect of temperature and light on the growth of algae species: A review. [Author list, volume and pages to be confirmed]</w:t>
      </w:r>
    </w:p>
    <w:p w14:paraId="1B6951A9"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Song, L., Chen, Y., Li, D., Chen, C., Wang, L., Chen, T., &amp; Lian, G. (2026). Modeling ammonia nitrogen dynamics coupled with fish growth physiology in recirculating aquaculture systems. </w:t>
      </w:r>
      <w:r w:rsidRPr="00B95EB3">
        <w:rPr>
          <w:rFonts w:asciiTheme="majorHAnsi" w:hAnsiTheme="majorHAnsi" w:cstheme="majorHAnsi"/>
          <w:i/>
          <w:iCs/>
        </w:rPr>
        <w:t>Aquacultural Engineering, 114</w:t>
      </w:r>
      <w:r w:rsidRPr="00B95EB3">
        <w:rPr>
          <w:rFonts w:asciiTheme="majorHAnsi" w:hAnsiTheme="majorHAnsi" w:cstheme="majorHAnsi"/>
        </w:rPr>
        <w:t>, 102721. https://doi.org/10.1016/j.aquaeng.2026.102721</w:t>
      </w:r>
    </w:p>
    <w:p w14:paraId="326E7CF0"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Suhaimi. (2021). [Author list, volume and pages to be confirmed]</w:t>
      </w:r>
    </w:p>
    <w:p w14:paraId="53BBD409"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Sunoj, S., Hammed, A., Igathinathane, C., Eshkabilov, S., &amp; Simsek, H. (2021). Identification, quantification, and growth profiling of eight different microalgae species using image analysis. Algal Research, 60, 102487.</w:t>
      </w:r>
    </w:p>
    <w:p w14:paraId="67C236BB"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 xml:space="preserve">Supabase. (2026). </w:t>
      </w:r>
      <w:r w:rsidRPr="00B95EB3">
        <w:rPr>
          <w:rFonts w:asciiTheme="majorHAnsi" w:hAnsiTheme="majorHAnsi" w:cstheme="majorHAnsi"/>
          <w:i/>
          <w:iCs/>
        </w:rPr>
        <w:t>Securing your data</w:t>
      </w:r>
      <w:r w:rsidRPr="00B95EB3">
        <w:rPr>
          <w:rFonts w:asciiTheme="majorHAnsi" w:hAnsiTheme="majorHAnsi" w:cstheme="majorHAnsi"/>
        </w:rPr>
        <w:t>. https://supabase.com/docs/guides/database/secure-data</w:t>
      </w:r>
    </w:p>
    <w:p w14:paraId="20BA9F7E"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Taher Tamim. (2022). [Author list, volume and pages to be confirmed]</w:t>
      </w:r>
    </w:p>
    <w:p w14:paraId="32856C68"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United States Environmental Protection Agency. (1982). Method 120.1: Conductance (specific conductance, micromhos at 25 degrees Celsius) by conductivity meter. https://www.epa.gov/sites/default/files/2015-08/documents/method_120-1_1982.pdf</w:t>
      </w:r>
    </w:p>
    <w:p w14:paraId="439C9E22"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Wang, Zhao, Zhang, &amp; Li. (n.d.). The role of fish in harmful algal bloom management: Results of pond experiments across seasons. [Author list, volume and pages to be confirmed]</w:t>
      </w:r>
    </w:p>
    <w:p w14:paraId="6A6B5BB6"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Yusoff, F. M., Umi, W. A. D., Ramli, N. M., &amp; Harun, R. (2024). Water quality management in aquaculture. Cambridge Prisms: Water, 2, e8. https://doi.org/10.1017/wat.2024.6</w:t>
      </w:r>
    </w:p>
    <w:p w14:paraId="33AA3B65"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Zhang. (2020). Effects of rainfall on thermal stratification and dissolved oxygen in a deep drinking water reservoir. Hydrological Processes. [Author list, volume and pages to be confirmed]</w:t>
      </w:r>
    </w:p>
    <w:p w14:paraId="24B56936" w14:textId="77777777" w:rsidR="00DB1607" w:rsidRPr="00B95EB3" w:rsidRDefault="00000000">
      <w:pPr>
        <w:pStyle w:val="BodyText"/>
        <w:spacing w:line="288" w:lineRule="auto"/>
        <w:ind w:left="567" w:hanging="567"/>
        <w:jc w:val="left"/>
        <w:rPr>
          <w:rFonts w:asciiTheme="majorHAnsi" w:hAnsiTheme="majorHAnsi" w:cstheme="majorHAnsi"/>
        </w:rPr>
      </w:pPr>
      <w:r w:rsidRPr="00B95EB3">
        <w:rPr>
          <w:rFonts w:asciiTheme="majorHAnsi" w:hAnsiTheme="majorHAnsi" w:cstheme="majorHAnsi"/>
        </w:rPr>
        <w:t>Zuhaer. (2025). Sustainable aquaculture: An IoT-integrated system for real-time water quality monitoring featuring advanced DO and ammonia sensors. Aquacultural Engineering. [Author list, volume and pages to be confirmed]</w:t>
      </w:r>
      <w:bookmarkEnd w:id="294"/>
    </w:p>
    <w:sectPr w:rsidR="00DB1607" w:rsidRPr="00B95EB3">
      <w:footerReference w:type="default" r:id="rId11"/>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21219" w14:textId="77777777" w:rsidR="003917A0" w:rsidRDefault="003917A0">
      <w:pPr>
        <w:spacing w:after="0" w:line="240" w:lineRule="auto"/>
      </w:pPr>
      <w:r>
        <w:separator/>
      </w:r>
    </w:p>
  </w:endnote>
  <w:endnote w:type="continuationSeparator" w:id="0">
    <w:p w14:paraId="5924EA0E" w14:textId="77777777" w:rsidR="003917A0" w:rsidRDefault="003917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AD2A5" w14:textId="77777777" w:rsidR="00DB1607" w:rsidRDefault="00000000">
    <w:pPr>
      <w:jc w:val="center"/>
    </w:pPr>
    <w:r>
      <w:fldChar w:fldCharType="begin"/>
    </w:r>
    <w:r>
      <w:instrText xml:space="preserve"> PAGE </w:instrText>
    </w:r>
    <w:r w:rsidR="00B95EB3">
      <w:fldChar w:fldCharType="separate"/>
    </w:r>
    <w:r w:rsidR="00B95EB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41CC9" w14:textId="77777777" w:rsidR="003917A0" w:rsidRDefault="003917A0">
      <w:r>
        <w:separator/>
      </w:r>
    </w:p>
  </w:footnote>
  <w:footnote w:type="continuationSeparator" w:id="0">
    <w:p w14:paraId="4B457C4D" w14:textId="77777777" w:rsidR="003917A0" w:rsidRDefault="003917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39C820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198329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CC22E7E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33957476">
    <w:abstractNumId w:val="0"/>
  </w:num>
  <w:num w:numId="2" w16cid:durableId="8844886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5792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19771464">
    <w:abstractNumId w:val="1"/>
  </w:num>
  <w:num w:numId="5" w16cid:durableId="20654423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042852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41518800">
    <w:abstractNumId w:val="1"/>
  </w:num>
  <w:num w:numId="8" w16cid:durableId="1271160087">
    <w:abstractNumId w:val="1"/>
  </w:num>
  <w:num w:numId="9" w16cid:durableId="111678095">
    <w:abstractNumId w:val="1"/>
  </w:num>
  <w:num w:numId="10" w16cid:durableId="377557459">
    <w:abstractNumId w:val="1"/>
  </w:num>
  <w:num w:numId="11" w16cid:durableId="692149323">
    <w:abstractNumId w:val="1"/>
  </w:num>
  <w:num w:numId="12" w16cid:durableId="1554194361">
    <w:abstractNumId w:val="1"/>
  </w:num>
  <w:num w:numId="13" w16cid:durableId="16466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B1607"/>
    <w:rsid w:val="003917A0"/>
    <w:rsid w:val="00B95EB3"/>
    <w:rsid w:val="00DB1607"/>
    <w:rsid w:val="00E7265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709C0"/>
  <w15:docId w15:val="{A4DCFBA2-C8A1-4461-8454-E646AEF9B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60" w:lineRule="auto"/>
    </w:pPr>
    <w:rPr>
      <w:rFonts w:ascii="Times New Roman" w:eastAsia="Times New Roman" w:hAnsi="Times New Roman" w:cs="Times New Roman"/>
      <w:color w:val="000000"/>
    </w:rPr>
  </w:style>
  <w:style w:type="paragraph" w:styleId="Heading1">
    <w:name w:val="heading 1"/>
    <w:basedOn w:val="Normal"/>
    <w:next w:val="BodyText"/>
    <w:uiPriority w:val="9"/>
    <w:qFormat/>
    <w:pPr>
      <w:keepNext/>
      <w:keepLines/>
      <w:pageBreakBefore/>
      <w:spacing w:before="360" w:line="276" w:lineRule="auto"/>
      <w:outlineLvl w:val="0"/>
    </w:pPr>
    <w:rPr>
      <w:b/>
      <w:bCs/>
      <w:sz w:val="32"/>
      <w:szCs w:val="32"/>
    </w:rPr>
  </w:style>
  <w:style w:type="paragraph" w:styleId="Heading2">
    <w:name w:val="heading 2"/>
    <w:basedOn w:val="Normal"/>
    <w:next w:val="BodyText"/>
    <w:uiPriority w:val="9"/>
    <w:unhideWhenUsed/>
    <w:qFormat/>
    <w:pPr>
      <w:keepNext/>
      <w:keepLines/>
      <w:spacing w:before="240" w:line="276" w:lineRule="auto"/>
      <w:outlineLvl w:val="1"/>
    </w:pPr>
    <w:rPr>
      <w:b/>
      <w:bCs/>
      <w:sz w:val="27"/>
      <w:szCs w:val="28"/>
    </w:rPr>
  </w:style>
  <w:style w:type="paragraph" w:styleId="Heading3">
    <w:name w:val="heading 3"/>
    <w:basedOn w:val="Normal"/>
    <w:next w:val="BodyText"/>
    <w:uiPriority w:val="9"/>
    <w:unhideWhenUsed/>
    <w:qFormat/>
    <w:pPr>
      <w:keepNext/>
      <w:keepLines/>
      <w:spacing w:before="240" w:line="276" w:lineRule="auto"/>
      <w:outlineLvl w:val="2"/>
    </w:pPr>
    <w:rPr>
      <w:b/>
      <w:bCs/>
    </w:rPr>
  </w:style>
  <w:style w:type="paragraph" w:styleId="Heading4">
    <w:name w:val="heading 4"/>
    <w:basedOn w:val="Normal"/>
    <w:next w:val="BodyText"/>
    <w:uiPriority w:val="9"/>
    <w:unhideWhenUsed/>
    <w:qFormat/>
    <w:pPr>
      <w:keepNext/>
      <w:keepLines/>
      <w:spacing w:before="240" w:line="276" w:lineRule="auto"/>
      <w:outlineLvl w:val="3"/>
    </w:pPr>
    <w:rPr>
      <w:b/>
      <w:bCs/>
      <w:i/>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after="40" w:line="312" w:lineRule="auto"/>
    </w:pPr>
  </w:style>
  <w:style w:type="paragraph" w:styleId="Title">
    <w:name w:val="Title"/>
    <w:basedOn w:val="Normal"/>
    <w:next w:val="BodyText"/>
    <w:qFormat/>
    <w:pPr>
      <w:keepNext/>
      <w:keepLines/>
      <w:spacing w:before="480" w:after="240"/>
      <w:jc w:val="center"/>
    </w:pPr>
    <w:rPr>
      <w:b/>
      <w:bCs/>
      <w:sz w:val="40"/>
      <w:szCs w:val="36"/>
    </w:rPr>
  </w:style>
  <w:style w:type="paragraph" w:styleId="Subtitle">
    <w:name w:val="Subtitle"/>
    <w:basedOn w:val="Title"/>
    <w:next w:val="BodyText"/>
    <w:qFormat/>
    <w:pPr>
      <w:spacing w:before="240"/>
    </w:pPr>
    <w:rPr>
      <w:b w:val="0"/>
      <w:sz w:val="28"/>
      <w:szCs w:val="30"/>
    </w:rPr>
  </w:style>
  <w:style w:type="paragraph" w:customStyle="1" w:styleId="Author">
    <w:name w:val="Author"/>
    <w:next w:val="BodyText"/>
    <w:qFormat/>
    <w:pPr>
      <w:keepNext/>
      <w:keepLines/>
      <w:spacing w:after="240"/>
      <w:jc w:val="center"/>
    </w:pPr>
    <w:rPr>
      <w:rFonts w:ascii="Times New Roman" w:eastAsia="Times New Roman" w:hAnsi="Times New Roman" w:cs="Times New Roman"/>
      <w:color w:val="000000"/>
    </w:rPr>
  </w:style>
  <w:style w:type="paragraph" w:styleId="Date">
    <w:name w:val="Date"/>
    <w:next w:val="BodyText"/>
    <w:qFormat/>
    <w:pPr>
      <w:keepNext/>
      <w:keepLines/>
      <w:spacing w:after="240"/>
      <w:jc w:val="center"/>
    </w:pPr>
    <w:rPr>
      <w:rFonts w:ascii="Times New Roman" w:eastAsia="Times New Roman" w:hAnsi="Times New Roman" w:cs="Times New Roman"/>
      <w:color w:val="000000"/>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240" w:line="276" w:lineRule="auto"/>
    </w:pPr>
    <w:rPr>
      <w:sz w:val="21"/>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C3F8C"/>
    </w:rPr>
  </w:style>
  <w:style w:type="paragraph" w:styleId="TOCHeading">
    <w:name w:val="TOC Heading"/>
    <w:basedOn w:val="Heading1"/>
    <w:next w:val="BodyText"/>
    <w:uiPriority w:val="39"/>
    <w:unhideWhenUsed/>
    <w:qFormat/>
    <w:pPr>
      <w:spacing w:before="240" w:line="259" w:lineRule="auto"/>
      <w:outlineLvl w:val="9"/>
    </w:pPr>
    <w:rPr>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B95EB3"/>
    <w:pPr>
      <w:spacing w:after="100"/>
    </w:pPr>
  </w:style>
  <w:style w:type="paragraph" w:styleId="TOC2">
    <w:name w:val="toc 2"/>
    <w:basedOn w:val="Normal"/>
    <w:next w:val="Normal"/>
    <w:autoRedefine/>
    <w:uiPriority w:val="39"/>
    <w:rsid w:val="00B95EB3"/>
    <w:pPr>
      <w:spacing w:after="100"/>
      <w:ind w:left="240"/>
    </w:pPr>
  </w:style>
  <w:style w:type="paragraph" w:styleId="TOC3">
    <w:name w:val="toc 3"/>
    <w:basedOn w:val="Normal"/>
    <w:next w:val="Normal"/>
    <w:autoRedefine/>
    <w:uiPriority w:val="39"/>
    <w:rsid w:val="00B95EB3"/>
    <w:pPr>
      <w:spacing w:after="100"/>
      <w:ind w:left="480"/>
    </w:pPr>
  </w:style>
  <w:style w:type="paragraph" w:styleId="TOC4">
    <w:name w:val="toc 4"/>
    <w:basedOn w:val="Normal"/>
    <w:next w:val="Normal"/>
    <w:autoRedefine/>
    <w:uiPriority w:val="39"/>
    <w:unhideWhenUsed/>
    <w:rsid w:val="00B95EB3"/>
    <w:pPr>
      <w:spacing w:after="100" w:line="278" w:lineRule="auto"/>
      <w:ind w:left="720"/>
    </w:pPr>
    <w:rPr>
      <w:rFonts w:asciiTheme="minorHAnsi" w:eastAsiaTheme="minorEastAsia" w:hAnsiTheme="minorHAnsi" w:cstheme="minorBidi"/>
      <w:color w:val="auto"/>
      <w:kern w:val="2"/>
      <w:lang w:val="en-SG" w:eastAsia="en-SG"/>
    </w:rPr>
  </w:style>
  <w:style w:type="paragraph" w:styleId="TOC5">
    <w:name w:val="toc 5"/>
    <w:basedOn w:val="Normal"/>
    <w:next w:val="Normal"/>
    <w:autoRedefine/>
    <w:uiPriority w:val="39"/>
    <w:unhideWhenUsed/>
    <w:rsid w:val="00B95EB3"/>
    <w:pPr>
      <w:spacing w:after="100" w:line="278" w:lineRule="auto"/>
      <w:ind w:left="960"/>
    </w:pPr>
    <w:rPr>
      <w:rFonts w:asciiTheme="minorHAnsi" w:eastAsiaTheme="minorEastAsia" w:hAnsiTheme="minorHAnsi" w:cstheme="minorBidi"/>
      <w:color w:val="auto"/>
      <w:kern w:val="2"/>
      <w:lang w:val="en-SG" w:eastAsia="en-SG"/>
    </w:rPr>
  </w:style>
  <w:style w:type="paragraph" w:styleId="TOC6">
    <w:name w:val="toc 6"/>
    <w:basedOn w:val="Normal"/>
    <w:next w:val="Normal"/>
    <w:autoRedefine/>
    <w:uiPriority w:val="39"/>
    <w:unhideWhenUsed/>
    <w:rsid w:val="00B95EB3"/>
    <w:pPr>
      <w:spacing w:after="100" w:line="278" w:lineRule="auto"/>
      <w:ind w:left="1200"/>
    </w:pPr>
    <w:rPr>
      <w:rFonts w:asciiTheme="minorHAnsi" w:eastAsiaTheme="minorEastAsia" w:hAnsiTheme="minorHAnsi" w:cstheme="minorBidi"/>
      <w:color w:val="auto"/>
      <w:kern w:val="2"/>
      <w:lang w:val="en-SG" w:eastAsia="en-SG"/>
    </w:rPr>
  </w:style>
  <w:style w:type="paragraph" w:styleId="TOC7">
    <w:name w:val="toc 7"/>
    <w:basedOn w:val="Normal"/>
    <w:next w:val="Normal"/>
    <w:autoRedefine/>
    <w:uiPriority w:val="39"/>
    <w:unhideWhenUsed/>
    <w:rsid w:val="00B95EB3"/>
    <w:pPr>
      <w:spacing w:after="100" w:line="278" w:lineRule="auto"/>
      <w:ind w:left="1440"/>
    </w:pPr>
    <w:rPr>
      <w:rFonts w:asciiTheme="minorHAnsi" w:eastAsiaTheme="minorEastAsia" w:hAnsiTheme="minorHAnsi" w:cstheme="minorBidi"/>
      <w:color w:val="auto"/>
      <w:kern w:val="2"/>
      <w:lang w:val="en-SG" w:eastAsia="en-SG"/>
    </w:rPr>
  </w:style>
  <w:style w:type="paragraph" w:styleId="TOC8">
    <w:name w:val="toc 8"/>
    <w:basedOn w:val="Normal"/>
    <w:next w:val="Normal"/>
    <w:autoRedefine/>
    <w:uiPriority w:val="39"/>
    <w:unhideWhenUsed/>
    <w:rsid w:val="00B95EB3"/>
    <w:pPr>
      <w:spacing w:after="100" w:line="278" w:lineRule="auto"/>
      <w:ind w:left="1680"/>
    </w:pPr>
    <w:rPr>
      <w:rFonts w:asciiTheme="minorHAnsi" w:eastAsiaTheme="minorEastAsia" w:hAnsiTheme="minorHAnsi" w:cstheme="minorBidi"/>
      <w:color w:val="auto"/>
      <w:kern w:val="2"/>
      <w:lang w:val="en-SG" w:eastAsia="en-SG"/>
    </w:rPr>
  </w:style>
  <w:style w:type="paragraph" w:styleId="TOC9">
    <w:name w:val="toc 9"/>
    <w:basedOn w:val="Normal"/>
    <w:next w:val="Normal"/>
    <w:autoRedefine/>
    <w:uiPriority w:val="39"/>
    <w:unhideWhenUsed/>
    <w:rsid w:val="00B95EB3"/>
    <w:pPr>
      <w:spacing w:after="100" w:line="278" w:lineRule="auto"/>
      <w:ind w:left="1920"/>
    </w:pPr>
    <w:rPr>
      <w:rFonts w:asciiTheme="minorHAnsi" w:eastAsiaTheme="minorEastAsia" w:hAnsiTheme="minorHAnsi" w:cstheme="minorBidi"/>
      <w:color w:val="auto"/>
      <w:kern w:val="2"/>
      <w:lang w:val="en-SG" w:eastAsia="en-SG"/>
    </w:rPr>
  </w:style>
  <w:style w:type="character" w:styleId="UnresolvedMention">
    <w:name w:val="Unresolved Mention"/>
    <w:basedOn w:val="DefaultParagraphFont"/>
    <w:uiPriority w:val="99"/>
    <w:semiHidden/>
    <w:unhideWhenUsed/>
    <w:rsid w:val="00B95E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36174</Words>
  <Characters>206192</Characters>
  <Application>Microsoft Office Word</Application>
  <DocSecurity>0</DocSecurity>
  <Lines>1718</Lines>
  <Paragraphs>483</Paragraphs>
  <ScaleCrop>false</ScaleCrop>
  <Company/>
  <LinksUpToDate>false</LinksUpToDate>
  <CharactersWithSpaces>241883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 Forecast-Augmented IoT Monitoring and Advisory System for Outdoor Ornamental Fish Ponds</dc:title>
  <dc:creator>U2222226C</dc:creator>
  <cp:keywords/>
  <cp:lastModifiedBy>#EDWIN TAN KAI JIE#</cp:lastModifiedBy>
  <cp:revision>3</cp:revision>
  <dcterms:created xsi:type="dcterms:W3CDTF">2026-09-28T06:17:00Z</dcterms:created>
  <dcterms:modified xsi:type="dcterms:W3CDTF">2026-09-29T01:15:00Z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Final Year Project Report</vt:lpwstr>
  </property>
  <property fmtid="{D5CDD505-2E9C-101B-9397-08002B2CF9AE}" pid="3" name="toc-title">
    <vt:lpwstr>Contents</vt:lpwstr>
  </property>
</Properties>
</file>