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DE94" w14:textId="77777777" w:rsidR="00DB1607" w:rsidRPr="00B95EB3" w:rsidRDefault="00000000">
      <w:pPr>
        <w:pStyle w:val="Title"/>
        <w:rPr>
          <w:rFonts w:asciiTheme="majorHAnsi" w:hAnsiTheme="majorHAnsi" w:cstheme="majorHAnsi"/>
        </w:rPr>
      </w:pPr>
      <w:r w:rsidRPr="00B95EB3">
        <w:rPr>
          <w:rFonts w:asciiTheme="majorHAnsi" w:hAnsiTheme="majorHAnsi" w:cstheme="majorHAnsi"/>
        </w:rPr>
        <w:t>Development of a Forecast-Augmented IoT Monitoring and Advisory System for Outdoor Ornamental Fish Ponds</w:t>
      </w:r>
    </w:p>
    <w:p w14:paraId="33A7B3C0" w14:textId="77777777" w:rsidR="00DB1607" w:rsidRPr="00B95EB3" w:rsidRDefault="00000000">
      <w:pPr>
        <w:pStyle w:val="Subtitle"/>
        <w:rPr>
          <w:rFonts w:asciiTheme="majorHAnsi" w:hAnsiTheme="majorHAnsi" w:cstheme="majorHAnsi"/>
        </w:rPr>
      </w:pPr>
      <w:r w:rsidRPr="00B95EB3">
        <w:rPr>
          <w:rFonts w:asciiTheme="majorHAnsi" w:hAnsiTheme="majorHAnsi" w:cstheme="majorHAnsi"/>
        </w:rPr>
        <w:t>Final Year Project Report</w:t>
      </w:r>
    </w:p>
    <w:p w14:paraId="43A79A60" w14:textId="77777777" w:rsidR="00DB1607" w:rsidRPr="00B95EB3" w:rsidRDefault="00000000">
      <w:pPr>
        <w:pStyle w:val="Author"/>
        <w:rPr>
          <w:rFonts w:asciiTheme="majorHAnsi" w:hAnsiTheme="majorHAnsi" w:cstheme="majorHAnsi"/>
        </w:rPr>
      </w:pPr>
      <w:r w:rsidRPr="00B95EB3">
        <w:rPr>
          <w:rFonts w:asciiTheme="majorHAnsi" w:hAnsiTheme="majorHAnsi" w:cstheme="majorHAnsi"/>
        </w:rPr>
        <w:t>U2222226C</w:t>
      </w:r>
    </w:p>
    <w:sdt>
      <w:sdtPr>
        <w:rPr>
          <w:rFonts w:asciiTheme="majorHAnsi" w:hAnsiTheme="majorHAnsi" w:cstheme="majorHAnsi"/>
          <w:b w:val="0"/>
          <w:sz w:val="24"/>
          <w:szCs w:val="24"/>
        </w:rPr>
        <w:id w:val="256408502"/>
        <w:docPartObj>
          <w:docPartGallery w:val="Table of Contents"/>
          <w:docPartUnique/>
        </w:docPartObj>
      </w:sdtPr>
      <w:sdtContent>
        <w:p w14:paraId="0FDA359C" w14:textId="77777777" w:rsidR="00DB1607" w:rsidRPr="00B95EB3" w:rsidRDefault="00000000">
          <w:pPr>
            <w:pStyle w:val="TOCHeading"/>
            <w:rPr>
              <w:rFonts w:asciiTheme="majorHAnsi" w:hAnsiTheme="majorHAnsi" w:cstheme="majorHAnsi"/>
            </w:rPr>
          </w:pPr>
          <w:r w:rsidRPr="00B95EB3">
            <w:rPr>
              <w:rFonts w:asciiTheme="majorHAnsi" w:hAnsiTheme="majorHAnsi" w:cstheme="majorHAnsi"/>
            </w:rPr>
            <w:t>Contents</w:t>
          </w:r>
        </w:p>
        <w:p w14:paraId="41476841" w14:textId="77777777" w:rsidR="00B95EB3" w:rsidRPr="00B95EB3" w:rsidRDefault="00000000">
          <w:pPr>
            <w:pStyle w:val="TOC1"/>
            <w:tabs>
              <w:tab w:val="right" w:leader="dot" w:pos="9016"/>
            </w:tabs>
            <w:rPr>
              <w:rFonts w:asciiTheme="majorHAnsi" w:hAnsiTheme="majorHAnsi" w:cstheme="majorHAnsi"/>
              <w:noProof/>
            </w:rPr>
          </w:pPr>
          <w:r w:rsidRPr="00B95EB3">
            <w:rPr>
              <w:rFonts w:asciiTheme="majorHAnsi" w:hAnsiTheme="majorHAnsi" w:cstheme="majorHAnsi"/>
            </w:rPr>
            <w:fldChar w:fldCharType="begin"/>
          </w:r>
          <w:r w:rsidRPr="00B95EB3">
            <w:rPr>
              <w:rFonts w:asciiTheme="majorHAnsi" w:hAnsiTheme="majorHAnsi" w:cstheme="majorHAnsi"/>
            </w:rPr>
            <w:instrText>TOC \o "1-3" \h \z \u</w:instrText>
          </w:r>
          <w:r w:rsidRPr="00B95EB3">
            <w:rPr>
              <w:rFonts w:asciiTheme="majorHAnsi" w:hAnsiTheme="majorHAnsi" w:cstheme="majorHAnsi"/>
            </w:rPr>
            <w:fldChar w:fldCharType="separate"/>
          </w:r>
          <w:hyperlink w:anchor="_Toc241565661" w:history="1">
            <w:r w:rsidR="00B95EB3" w:rsidRPr="00B95EB3">
              <w:rPr>
                <w:rStyle w:val="Hyperlink"/>
                <w:rFonts w:asciiTheme="majorHAnsi" w:hAnsiTheme="majorHAnsi" w:cstheme="majorHAnsi"/>
                <w:noProof/>
              </w:rPr>
              <w:t>Abstract</w:t>
            </w:r>
            <w:r w:rsidR="00B95EB3" w:rsidRPr="00B95EB3">
              <w:rPr>
                <w:rFonts w:asciiTheme="majorHAnsi" w:hAnsiTheme="majorHAnsi" w:cstheme="majorHAnsi"/>
                <w:noProof/>
                <w:webHidden/>
              </w:rPr>
              <w:tab/>
            </w:r>
            <w:r w:rsidR="00B95EB3" w:rsidRPr="00B95EB3">
              <w:rPr>
                <w:rFonts w:asciiTheme="majorHAnsi" w:hAnsiTheme="majorHAnsi" w:cstheme="majorHAnsi"/>
                <w:noProof/>
                <w:webHidden/>
              </w:rPr>
              <w:fldChar w:fldCharType="begin"/>
            </w:r>
            <w:r w:rsidR="00B95EB3" w:rsidRPr="00B95EB3">
              <w:rPr>
                <w:rFonts w:asciiTheme="majorHAnsi" w:hAnsiTheme="majorHAnsi" w:cstheme="majorHAnsi"/>
                <w:noProof/>
                <w:webHidden/>
              </w:rPr>
              <w:instrText xml:space="preserve"> PAGEREF _Toc241565661 \h </w:instrText>
            </w:r>
            <w:r w:rsidR="00B95EB3" w:rsidRPr="00B95EB3">
              <w:rPr>
                <w:rFonts w:asciiTheme="majorHAnsi" w:hAnsiTheme="majorHAnsi" w:cstheme="majorHAnsi"/>
                <w:noProof/>
                <w:webHidden/>
              </w:rPr>
            </w:r>
            <w:r w:rsidR="00B95EB3" w:rsidRPr="00B95EB3">
              <w:rPr>
                <w:rFonts w:asciiTheme="majorHAnsi" w:hAnsiTheme="majorHAnsi" w:cstheme="majorHAnsi"/>
                <w:noProof/>
                <w:webHidden/>
              </w:rPr>
              <w:fldChar w:fldCharType="separate"/>
            </w:r>
            <w:r w:rsidR="00B95EB3" w:rsidRPr="00B95EB3">
              <w:rPr>
                <w:rFonts w:asciiTheme="majorHAnsi" w:hAnsiTheme="majorHAnsi" w:cstheme="majorHAnsi"/>
                <w:noProof/>
                <w:webHidden/>
              </w:rPr>
              <w:t>1</w:t>
            </w:r>
            <w:r w:rsidR="00B95EB3" w:rsidRPr="00B95EB3">
              <w:rPr>
                <w:rFonts w:asciiTheme="majorHAnsi" w:hAnsiTheme="majorHAnsi" w:cstheme="majorHAnsi"/>
                <w:noProof/>
                <w:webHidden/>
              </w:rPr>
              <w:fldChar w:fldCharType="end"/>
            </w:r>
          </w:hyperlink>
        </w:p>
        <w:p w14:paraId="6B77637F" w14:textId="77777777" w:rsidR="00B95EB3" w:rsidRPr="00B95EB3" w:rsidRDefault="00B95EB3">
          <w:pPr>
            <w:pStyle w:val="TOC1"/>
            <w:tabs>
              <w:tab w:val="right" w:leader="dot" w:pos="9016"/>
            </w:tabs>
            <w:rPr>
              <w:rFonts w:asciiTheme="majorHAnsi" w:hAnsiTheme="majorHAnsi" w:cstheme="majorHAnsi"/>
              <w:noProof/>
            </w:rPr>
          </w:pPr>
          <w:hyperlink w:anchor="_Toc241565662" w:history="1">
            <w:r w:rsidRPr="00B95EB3">
              <w:rPr>
                <w:rStyle w:val="Hyperlink"/>
                <w:rFonts w:asciiTheme="majorHAnsi" w:hAnsiTheme="majorHAnsi" w:cstheme="majorHAnsi"/>
                <w:noProof/>
              </w:rPr>
              <w:t>Chapter 1: Introduction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E30EFD4" w14:textId="77777777" w:rsidR="00B95EB3" w:rsidRPr="00B95EB3" w:rsidRDefault="00B95EB3">
          <w:pPr>
            <w:pStyle w:val="TOC2"/>
            <w:tabs>
              <w:tab w:val="right" w:leader="dot" w:pos="9016"/>
            </w:tabs>
            <w:rPr>
              <w:rFonts w:asciiTheme="majorHAnsi" w:hAnsiTheme="majorHAnsi" w:cstheme="majorHAnsi"/>
              <w:noProof/>
            </w:rPr>
          </w:pPr>
          <w:hyperlink w:anchor="_Toc241565663" w:history="1">
            <w:r w:rsidRPr="00B95EB3">
              <w:rPr>
                <w:rStyle w:val="Hyperlink"/>
                <w:rFonts w:asciiTheme="majorHAnsi" w:hAnsiTheme="majorHAnsi" w:cstheme="majorHAnsi"/>
                <w:noProof/>
              </w:rPr>
              <w:t>1.1 Background and Motivation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66D790D" w14:textId="77777777" w:rsidR="00B95EB3" w:rsidRPr="00B95EB3" w:rsidRDefault="00B95EB3">
          <w:pPr>
            <w:pStyle w:val="TOC2"/>
            <w:tabs>
              <w:tab w:val="right" w:leader="dot" w:pos="9016"/>
            </w:tabs>
            <w:rPr>
              <w:rFonts w:asciiTheme="majorHAnsi" w:hAnsiTheme="majorHAnsi" w:cstheme="majorHAnsi"/>
              <w:noProof/>
            </w:rPr>
          </w:pPr>
          <w:hyperlink w:anchor="_Toc241565664" w:history="1">
            <w:r w:rsidRPr="00B95EB3">
              <w:rPr>
                <w:rStyle w:val="Hyperlink"/>
                <w:rFonts w:asciiTheme="majorHAnsi" w:hAnsiTheme="majorHAnsi" w:cstheme="majorHAnsi"/>
                <w:noProof/>
              </w:rPr>
              <w:t>1.2 Project Scope Evolution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0C9A3D2" w14:textId="77777777" w:rsidR="00B95EB3" w:rsidRPr="00B95EB3" w:rsidRDefault="00B95EB3">
          <w:pPr>
            <w:pStyle w:val="TOC2"/>
            <w:tabs>
              <w:tab w:val="right" w:leader="dot" w:pos="9016"/>
            </w:tabs>
            <w:rPr>
              <w:rFonts w:asciiTheme="majorHAnsi" w:hAnsiTheme="majorHAnsi" w:cstheme="majorHAnsi"/>
              <w:noProof/>
            </w:rPr>
          </w:pPr>
          <w:hyperlink w:anchor="_Toc241565665" w:history="1">
            <w:r w:rsidRPr="00B95EB3">
              <w:rPr>
                <w:rStyle w:val="Hyperlink"/>
                <w:rFonts w:asciiTheme="majorHAnsi" w:hAnsiTheme="majorHAnsi" w:cstheme="majorHAnsi"/>
                <w:noProof/>
              </w:rPr>
              <w:t>1.3 Problem Statement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29E5653" w14:textId="77777777" w:rsidR="00B95EB3" w:rsidRPr="00B95EB3" w:rsidRDefault="00B95EB3">
          <w:pPr>
            <w:pStyle w:val="TOC2"/>
            <w:tabs>
              <w:tab w:val="right" w:leader="dot" w:pos="9016"/>
            </w:tabs>
            <w:rPr>
              <w:rFonts w:asciiTheme="majorHAnsi" w:hAnsiTheme="majorHAnsi" w:cstheme="majorHAnsi"/>
              <w:noProof/>
            </w:rPr>
          </w:pPr>
          <w:hyperlink w:anchor="_Toc241565666" w:history="1">
            <w:r w:rsidRPr="00B95EB3">
              <w:rPr>
                <w:rStyle w:val="Hyperlink"/>
                <w:rFonts w:asciiTheme="majorHAnsi" w:hAnsiTheme="majorHAnsi" w:cstheme="majorHAnsi"/>
                <w:noProof/>
              </w:rPr>
              <w:t>1.4 Aims and Objectives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F62A059" w14:textId="77777777" w:rsidR="00B95EB3" w:rsidRPr="00B95EB3" w:rsidRDefault="00B95EB3">
          <w:pPr>
            <w:pStyle w:val="TOC2"/>
            <w:tabs>
              <w:tab w:val="right" w:leader="dot" w:pos="9016"/>
            </w:tabs>
            <w:rPr>
              <w:rFonts w:asciiTheme="majorHAnsi" w:hAnsiTheme="majorHAnsi" w:cstheme="majorHAnsi"/>
              <w:noProof/>
            </w:rPr>
          </w:pPr>
          <w:hyperlink w:anchor="_Toc241565667" w:history="1">
            <w:r w:rsidRPr="00B95EB3">
              <w:rPr>
                <w:rStyle w:val="Hyperlink"/>
                <w:rFonts w:asciiTheme="majorHAnsi" w:hAnsiTheme="majorHAnsi" w:cstheme="majorHAnsi"/>
                <w:noProof/>
              </w:rPr>
              <w:t>1.5 Scope and Exclusions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5AE2E61" w14:textId="77777777" w:rsidR="00B95EB3" w:rsidRPr="00B95EB3" w:rsidRDefault="00B95EB3">
          <w:pPr>
            <w:pStyle w:val="TOC2"/>
            <w:tabs>
              <w:tab w:val="right" w:leader="dot" w:pos="9016"/>
            </w:tabs>
            <w:rPr>
              <w:rFonts w:asciiTheme="majorHAnsi" w:hAnsiTheme="majorHAnsi" w:cstheme="majorHAnsi"/>
              <w:noProof/>
            </w:rPr>
          </w:pPr>
          <w:hyperlink w:anchor="_Toc241565668" w:history="1">
            <w:r w:rsidRPr="00B95EB3">
              <w:rPr>
                <w:rStyle w:val="Hyperlink"/>
                <w:rFonts w:asciiTheme="majorHAnsi" w:hAnsiTheme="majorHAnsi" w:cstheme="majorHAnsi"/>
                <w:noProof/>
              </w:rPr>
              <w:t>1.6 Report Structure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63613FC" w14:textId="77777777" w:rsidR="00B95EB3" w:rsidRPr="00B95EB3" w:rsidRDefault="00B95EB3">
          <w:pPr>
            <w:pStyle w:val="TOC1"/>
            <w:tabs>
              <w:tab w:val="right" w:leader="dot" w:pos="9016"/>
            </w:tabs>
            <w:rPr>
              <w:rFonts w:asciiTheme="majorHAnsi" w:hAnsiTheme="majorHAnsi" w:cstheme="majorHAnsi"/>
              <w:noProof/>
            </w:rPr>
          </w:pPr>
          <w:hyperlink w:anchor="_Toc241565669" w:history="1">
            <w:r w:rsidRPr="00B95EB3">
              <w:rPr>
                <w:rStyle w:val="Hyperlink"/>
                <w:rFonts w:asciiTheme="majorHAnsi" w:hAnsiTheme="majorHAnsi" w:cstheme="majorHAnsi"/>
                <w:noProof/>
              </w:rPr>
              <w:t>Chapter 2: Literature Review</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_Toc241565669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3A96EBC" w14:textId="77777777" w:rsidR="00B95EB3" w:rsidRPr="00B95EB3" w:rsidRDefault="00B95EB3">
          <w:pPr>
            <w:pStyle w:val="TOC2"/>
            <w:tabs>
              <w:tab w:val="right" w:leader="dot" w:pos="9016"/>
            </w:tabs>
            <w:rPr>
              <w:rFonts w:asciiTheme="majorHAnsi" w:hAnsiTheme="majorHAnsi" w:cstheme="majorHAnsi"/>
              <w:noProof/>
            </w:rPr>
          </w:pPr>
          <w:hyperlink w:anchor="_Toc241565670" w:history="1">
            <w:r w:rsidRPr="00B95EB3">
              <w:rPr>
                <w:rStyle w:val="Hyperlink"/>
                <w:rFonts w:asciiTheme="majorHAnsi" w:hAnsiTheme="majorHAnsi" w:cstheme="majorHAnsi"/>
                <w:noProof/>
              </w:rPr>
              <w:t>2.1 Existing Low-Cost IoT Water Quality Monitoring Approaches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609E104" w14:textId="77777777" w:rsidR="00B95EB3" w:rsidRPr="00B95EB3" w:rsidRDefault="00B95EB3">
          <w:pPr>
            <w:pStyle w:val="TOC2"/>
            <w:tabs>
              <w:tab w:val="right" w:leader="dot" w:pos="9016"/>
            </w:tabs>
            <w:rPr>
              <w:rFonts w:asciiTheme="majorHAnsi" w:hAnsiTheme="majorHAnsi" w:cstheme="majorHAnsi"/>
              <w:noProof/>
            </w:rPr>
          </w:pPr>
          <w:hyperlink w:anchor="_Toc241565671" w:history="1">
            <w:r w:rsidRPr="00B95EB3">
              <w:rPr>
                <w:rStyle w:val="Hyperlink"/>
                <w:rFonts w:asciiTheme="majorHAnsi" w:hAnsiTheme="majorHAnsi" w:cstheme="majorHAnsi"/>
                <w:noProof/>
              </w:rPr>
              <w:t>2.2 Water Quality Parameters and Fish Physiological Needs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40A0B35" w14:textId="77777777" w:rsidR="00B95EB3" w:rsidRPr="00B95EB3" w:rsidRDefault="00B95EB3">
          <w:pPr>
            <w:pStyle w:val="TOC2"/>
            <w:tabs>
              <w:tab w:val="right" w:leader="dot" w:pos="9016"/>
            </w:tabs>
            <w:rPr>
              <w:rFonts w:asciiTheme="majorHAnsi" w:hAnsiTheme="majorHAnsi" w:cstheme="majorHAnsi"/>
              <w:noProof/>
            </w:rPr>
          </w:pPr>
          <w:hyperlink w:anchor="_Toc241565672" w:history="1">
            <w:r w:rsidRPr="00B95EB3">
              <w:rPr>
                <w:rStyle w:val="Hyperlink"/>
                <w:rFonts w:asciiTheme="majorHAnsi" w:hAnsiTheme="majorHAnsi" w:cstheme="majorHAnsi"/>
                <w:noProof/>
              </w:rPr>
              <w:t>2.3 Outdoor-Specific Stressor Classes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05C9EEF" w14:textId="77777777" w:rsidR="00B95EB3" w:rsidRPr="00B95EB3" w:rsidRDefault="00B95EB3">
          <w:pPr>
            <w:pStyle w:val="TOC3"/>
            <w:tabs>
              <w:tab w:val="right" w:leader="dot" w:pos="9016"/>
            </w:tabs>
            <w:rPr>
              <w:rFonts w:asciiTheme="majorHAnsi" w:hAnsiTheme="majorHAnsi" w:cstheme="majorHAnsi"/>
              <w:noProof/>
            </w:rPr>
          </w:pPr>
          <w:hyperlink w:anchor="_Toc241565673" w:history="1">
            <w:r w:rsidRPr="00B95EB3">
              <w:rPr>
                <w:rStyle w:val="Hyperlink"/>
                <w:rFonts w:asciiTheme="majorHAnsi" w:hAnsiTheme="majorHAnsi" w:cstheme="majorHAnsi"/>
                <w:noProof/>
              </w:rPr>
              <w:t>2.3.1 Algal Growth</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C4A16E2" w14:textId="77777777" w:rsidR="00B95EB3" w:rsidRPr="00B95EB3" w:rsidRDefault="00B95EB3">
          <w:pPr>
            <w:pStyle w:val="TOC3"/>
            <w:tabs>
              <w:tab w:val="right" w:leader="dot" w:pos="9016"/>
            </w:tabs>
            <w:rPr>
              <w:rFonts w:asciiTheme="majorHAnsi" w:hAnsiTheme="majorHAnsi" w:cstheme="majorHAnsi"/>
              <w:noProof/>
            </w:rPr>
          </w:pPr>
          <w:hyperlink w:anchor="_Toc241565674" w:history="1">
            <w:r w:rsidRPr="00B95EB3">
              <w:rPr>
                <w:rStyle w:val="Hyperlink"/>
                <w:rFonts w:asciiTheme="majorHAnsi" w:hAnsiTheme="majorHAnsi" w:cstheme="majorHAnsi"/>
                <w:noProof/>
              </w:rPr>
              <w:t>2.3.2 Extreme Rainfall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15CB0B3" w14:textId="77777777" w:rsidR="00B95EB3" w:rsidRPr="00B95EB3" w:rsidRDefault="00B95EB3">
          <w:pPr>
            <w:pStyle w:val="TOC3"/>
            <w:tabs>
              <w:tab w:val="right" w:leader="dot" w:pos="9016"/>
            </w:tabs>
            <w:rPr>
              <w:rFonts w:asciiTheme="majorHAnsi" w:hAnsiTheme="majorHAnsi" w:cstheme="majorHAnsi"/>
              <w:noProof/>
            </w:rPr>
          </w:pPr>
          <w:hyperlink w:anchor="_Toc241565675" w:history="1">
            <w:r w:rsidRPr="00B95EB3">
              <w:rPr>
                <w:rStyle w:val="Hyperlink"/>
                <w:rFonts w:asciiTheme="majorHAnsi" w:hAnsiTheme="majorHAnsi" w:cstheme="majorHAnsi"/>
                <w:noProof/>
              </w:rPr>
              <w:t>2.3.3 Extreme Heat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BF37946" w14:textId="77777777" w:rsidR="00B95EB3" w:rsidRPr="00B95EB3" w:rsidRDefault="00B95EB3">
          <w:pPr>
            <w:pStyle w:val="TOC2"/>
            <w:tabs>
              <w:tab w:val="right" w:leader="dot" w:pos="9016"/>
            </w:tabs>
            <w:rPr>
              <w:rFonts w:asciiTheme="majorHAnsi" w:hAnsiTheme="majorHAnsi" w:cstheme="majorHAnsi"/>
              <w:noProof/>
            </w:rPr>
          </w:pPr>
          <w:hyperlink w:anchor="_Toc241565676" w:history="1">
            <w:r w:rsidRPr="00B95EB3">
              <w:rPr>
                <w:rStyle w:val="Hyperlink"/>
                <w:rFonts w:asciiTheme="majorHAnsi" w:hAnsiTheme="majorHAnsi" w:cstheme="majorHAnsi"/>
                <w:noProof/>
              </w:rPr>
              <w:t>2.4 Managing Risks and Outcomes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6805FC0" w14:textId="77777777" w:rsidR="00B95EB3" w:rsidRPr="00B95EB3" w:rsidRDefault="00B95EB3">
          <w:pPr>
            <w:pStyle w:val="TOC2"/>
            <w:tabs>
              <w:tab w:val="right" w:leader="dot" w:pos="9016"/>
            </w:tabs>
            <w:rPr>
              <w:rFonts w:asciiTheme="majorHAnsi" w:hAnsiTheme="majorHAnsi" w:cstheme="majorHAnsi"/>
              <w:noProof/>
            </w:rPr>
          </w:pPr>
          <w:hyperlink w:anchor="_Toc241565677" w:history="1">
            <w:r w:rsidRPr="00B95EB3">
              <w:rPr>
                <w:rStyle w:val="Hyperlink"/>
                <w:rFonts w:asciiTheme="majorHAnsi" w:hAnsiTheme="majorHAnsi" w:cstheme="majorHAnsi"/>
                <w:noProof/>
              </w:rPr>
              <w:t>2.5 Forecasting Value-Add for Outdoor IoT Systems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5E62330" w14:textId="77777777" w:rsidR="00B95EB3" w:rsidRPr="00B95EB3" w:rsidRDefault="00B95EB3">
          <w:pPr>
            <w:pStyle w:val="TOC3"/>
            <w:tabs>
              <w:tab w:val="right" w:leader="dot" w:pos="9016"/>
            </w:tabs>
            <w:rPr>
              <w:rFonts w:asciiTheme="majorHAnsi" w:hAnsiTheme="majorHAnsi" w:cstheme="majorHAnsi"/>
              <w:noProof/>
            </w:rPr>
          </w:pPr>
          <w:hyperlink w:anchor="_Toc241565678" w:history="1">
            <w:r w:rsidRPr="00B95EB3">
              <w:rPr>
                <w:rStyle w:val="Hyperlink"/>
                <w:rFonts w:asciiTheme="majorHAnsi" w:hAnsiTheme="majorHAnsi" w:cstheme="majorHAnsi"/>
                <w:noProof/>
              </w:rPr>
              <w:t>2.5.1 Projecting Water Temperature Ahead of Time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8E0CB7F" w14:textId="77777777" w:rsidR="00B95EB3" w:rsidRPr="00B95EB3" w:rsidRDefault="00B95EB3">
          <w:pPr>
            <w:pStyle w:val="TOC2"/>
            <w:tabs>
              <w:tab w:val="right" w:leader="dot" w:pos="9016"/>
            </w:tabs>
            <w:rPr>
              <w:rFonts w:asciiTheme="majorHAnsi" w:hAnsiTheme="majorHAnsi" w:cstheme="majorHAnsi"/>
              <w:noProof/>
            </w:rPr>
          </w:pPr>
          <w:hyperlink w:anchor="_Toc241565679" w:history="1">
            <w:r w:rsidRPr="00B95EB3">
              <w:rPr>
                <w:rStyle w:val="Hyperlink"/>
                <w:rFonts w:asciiTheme="majorHAnsi" w:hAnsiTheme="majorHAnsi" w:cstheme="majorHAnsi"/>
                <w:noProof/>
              </w:rPr>
              <w:t>2.6 Instrumentation and Inference Options for the Parameters Identified</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_Toc241565679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2EB7F8F" w14:textId="77777777" w:rsidR="00B95EB3" w:rsidRPr="00B95EB3" w:rsidRDefault="00B95EB3">
          <w:pPr>
            <w:pStyle w:val="TOC3"/>
            <w:tabs>
              <w:tab w:val="right" w:leader="dot" w:pos="9016"/>
            </w:tabs>
            <w:rPr>
              <w:rFonts w:asciiTheme="majorHAnsi" w:hAnsiTheme="majorHAnsi" w:cstheme="majorHAnsi"/>
              <w:noProof/>
            </w:rPr>
          </w:pPr>
          <w:hyperlink w:anchor="_Toc241565680" w:history="1">
            <w:r w:rsidRPr="00B95EB3">
              <w:rPr>
                <w:rStyle w:val="Hyperlink"/>
                <w:rFonts w:asciiTheme="majorHAnsi" w:hAnsiTheme="majorHAnsi" w:cstheme="majorHAnsi"/>
                <w:noProof/>
              </w:rPr>
              <w:t>2.6.1 The Maintenance Gradient Between Sensor Classes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F89622C" w14:textId="77777777" w:rsidR="00B95EB3" w:rsidRPr="00B95EB3" w:rsidRDefault="00B95EB3">
          <w:pPr>
            <w:pStyle w:val="TOC3"/>
            <w:tabs>
              <w:tab w:val="right" w:leader="dot" w:pos="9016"/>
            </w:tabs>
            <w:rPr>
              <w:rFonts w:asciiTheme="majorHAnsi" w:hAnsiTheme="majorHAnsi" w:cstheme="majorHAnsi"/>
              <w:noProof/>
            </w:rPr>
          </w:pPr>
          <w:hyperlink w:anchor="_Toc241565681" w:history="1">
            <w:r w:rsidRPr="00B95EB3">
              <w:rPr>
                <w:rStyle w:val="Hyperlink"/>
                <w:rFonts w:asciiTheme="majorHAnsi" w:hAnsiTheme="majorHAnsi" w:cstheme="majorHAnsi"/>
                <w:noProof/>
              </w:rPr>
              <w:t>2.6.2 pH: Maintenance Cost Against Breadth of Use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48807ED" w14:textId="77777777" w:rsidR="00B95EB3" w:rsidRPr="00B95EB3" w:rsidRDefault="00B95EB3">
          <w:pPr>
            <w:pStyle w:val="TOC3"/>
            <w:tabs>
              <w:tab w:val="right" w:leader="dot" w:pos="9016"/>
            </w:tabs>
            <w:rPr>
              <w:rFonts w:asciiTheme="majorHAnsi" w:hAnsiTheme="majorHAnsi" w:cstheme="majorHAnsi"/>
              <w:noProof/>
            </w:rPr>
          </w:pPr>
          <w:hyperlink w:anchor="_Toc241565682" w:history="1">
            <w:r w:rsidRPr="00B95EB3">
              <w:rPr>
                <w:rStyle w:val="Hyperlink"/>
                <w:rFonts w:asciiTheme="majorHAnsi" w:hAnsiTheme="majorHAnsi" w:cstheme="majorHAnsi"/>
                <w:noProof/>
              </w:rPr>
              <w:t>2.6.3 Dissolved Oxygen Instrumentation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1A4F60D" w14:textId="77777777" w:rsidR="00B95EB3" w:rsidRPr="00B95EB3" w:rsidRDefault="00B95EB3">
          <w:pPr>
            <w:pStyle w:val="TOC3"/>
            <w:tabs>
              <w:tab w:val="right" w:leader="dot" w:pos="9016"/>
            </w:tabs>
            <w:rPr>
              <w:rFonts w:asciiTheme="majorHAnsi" w:hAnsiTheme="majorHAnsi" w:cstheme="majorHAnsi"/>
              <w:noProof/>
            </w:rPr>
          </w:pPr>
          <w:hyperlink w:anchor="_Toc241565683" w:history="1">
            <w:r w:rsidRPr="00B95EB3">
              <w:rPr>
                <w:rStyle w:val="Hyperlink"/>
                <w:rFonts w:asciiTheme="majorHAnsi" w:hAnsiTheme="majorHAnsi" w:cstheme="majorHAnsi"/>
                <w:noProof/>
              </w:rPr>
              <w:t>2.6.4 Nitrate Instrumentation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0801A3B" w14:textId="77777777" w:rsidR="00B95EB3" w:rsidRPr="00B95EB3" w:rsidRDefault="00B95EB3">
          <w:pPr>
            <w:pStyle w:val="TOC3"/>
            <w:tabs>
              <w:tab w:val="right" w:leader="dot" w:pos="9016"/>
            </w:tabs>
            <w:rPr>
              <w:rFonts w:asciiTheme="majorHAnsi" w:hAnsiTheme="majorHAnsi" w:cstheme="majorHAnsi"/>
              <w:noProof/>
            </w:rPr>
          </w:pPr>
          <w:hyperlink w:anchor="_Toc241565684" w:history="1">
            <w:r w:rsidRPr="00B95EB3">
              <w:rPr>
                <w:rStyle w:val="Hyperlink"/>
                <w:rFonts w:asciiTheme="majorHAnsi" w:hAnsiTheme="majorHAnsi" w:cstheme="majorHAnsi"/>
                <w:noProof/>
              </w:rPr>
              <w:t>2.6.5 TDS as a Non-Specific Context Signal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D7B042D" w14:textId="77777777" w:rsidR="00B95EB3" w:rsidRPr="00B95EB3" w:rsidRDefault="00B95EB3">
          <w:pPr>
            <w:pStyle w:val="TOC3"/>
            <w:tabs>
              <w:tab w:val="right" w:leader="dot" w:pos="9016"/>
            </w:tabs>
            <w:rPr>
              <w:rFonts w:asciiTheme="majorHAnsi" w:hAnsiTheme="majorHAnsi" w:cstheme="majorHAnsi"/>
              <w:noProof/>
            </w:rPr>
          </w:pPr>
          <w:hyperlink w:anchor="_Toc241565685" w:history="1">
            <w:r w:rsidRPr="00B95EB3">
              <w:rPr>
                <w:rStyle w:val="Hyperlink"/>
                <w:rFonts w:asciiTheme="majorHAnsi" w:hAnsiTheme="majorHAnsi" w:cstheme="majorHAnsi"/>
                <w:noProof/>
              </w:rPr>
              <w:t>2.6.6 Inferring Nitrogenous Loading from Feeding Events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35C1BC6" w14:textId="77777777" w:rsidR="00B95EB3" w:rsidRPr="00B95EB3" w:rsidRDefault="00B95EB3">
          <w:pPr>
            <w:pStyle w:val="TOC3"/>
            <w:tabs>
              <w:tab w:val="right" w:leader="dot" w:pos="9016"/>
            </w:tabs>
            <w:rPr>
              <w:rFonts w:asciiTheme="majorHAnsi" w:hAnsiTheme="majorHAnsi" w:cstheme="majorHAnsi"/>
              <w:noProof/>
            </w:rPr>
          </w:pPr>
          <w:hyperlink w:anchor="_Toc241565686" w:history="1">
            <w:r w:rsidRPr="00B95EB3">
              <w:rPr>
                <w:rStyle w:val="Hyperlink"/>
                <w:rFonts w:asciiTheme="majorHAnsi" w:hAnsiTheme="majorHAnsi" w:cstheme="majorHAnsi"/>
                <w:noProof/>
              </w:rPr>
              <w:t>2.6.7 Colorimetric Ammonia Indication Read Optically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FA24449" w14:textId="77777777" w:rsidR="00B95EB3" w:rsidRPr="00B95EB3" w:rsidRDefault="00B95EB3">
          <w:pPr>
            <w:pStyle w:val="TOC3"/>
            <w:tabs>
              <w:tab w:val="right" w:leader="dot" w:pos="9016"/>
            </w:tabs>
            <w:rPr>
              <w:rFonts w:asciiTheme="majorHAnsi" w:hAnsiTheme="majorHAnsi" w:cstheme="majorHAnsi"/>
              <w:noProof/>
            </w:rPr>
          </w:pPr>
          <w:hyperlink w:anchor="_Toc241565687" w:history="1">
            <w:r w:rsidRPr="00B95EB3">
              <w:rPr>
                <w:rStyle w:val="Hyperlink"/>
                <w:rFonts w:asciiTheme="majorHAnsi" w:hAnsiTheme="majorHAnsi" w:cstheme="majorHAnsi"/>
                <w:noProof/>
              </w:rPr>
              <w:t>2.6.8 Optical Proxying of Algal Biomass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F2277B1" w14:textId="77777777" w:rsidR="00B95EB3" w:rsidRPr="00B95EB3" w:rsidRDefault="00B95EB3">
          <w:pPr>
            <w:pStyle w:val="TOC3"/>
            <w:tabs>
              <w:tab w:val="right" w:leader="dot" w:pos="9016"/>
            </w:tabs>
            <w:rPr>
              <w:rFonts w:asciiTheme="majorHAnsi" w:hAnsiTheme="majorHAnsi" w:cstheme="majorHAnsi"/>
              <w:noProof/>
            </w:rPr>
          </w:pPr>
          <w:hyperlink w:anchor="_Toc241565688" w:history="1">
            <w:r w:rsidRPr="00B95EB3">
              <w:rPr>
                <w:rStyle w:val="Hyperlink"/>
                <w:rFonts w:asciiTheme="majorHAnsi" w:hAnsiTheme="majorHAnsi" w:cstheme="majorHAnsi"/>
                <w:noProof/>
              </w:rPr>
              <w:t>2.6.9 Ambient Light Measurement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8568C9A" w14:textId="77777777" w:rsidR="00B95EB3" w:rsidRPr="00B95EB3" w:rsidRDefault="00B95EB3">
          <w:pPr>
            <w:pStyle w:val="TOC2"/>
            <w:tabs>
              <w:tab w:val="right" w:leader="dot" w:pos="9016"/>
            </w:tabs>
            <w:rPr>
              <w:rFonts w:asciiTheme="majorHAnsi" w:hAnsiTheme="majorHAnsi" w:cstheme="majorHAnsi"/>
              <w:noProof/>
            </w:rPr>
          </w:pPr>
          <w:hyperlink w:anchor="_Toc241565689" w:history="1">
            <w:r w:rsidRPr="00B95EB3">
              <w:rPr>
                <w:rStyle w:val="Hyperlink"/>
                <w:rFonts w:asciiTheme="majorHAnsi" w:hAnsiTheme="majorHAnsi" w:cstheme="majorHAnsi"/>
                <w:noProof/>
              </w:rPr>
              <w:t>2.7 Chapter Synthesis and Gap Statement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_Toc241565689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B5CDED8" w14:textId="77777777" w:rsidR="00B95EB3" w:rsidRPr="00B95EB3" w:rsidRDefault="00B95EB3">
          <w:pPr>
            <w:pStyle w:val="TOC1"/>
            <w:tabs>
              <w:tab w:val="right" w:leader="dot" w:pos="9016"/>
            </w:tabs>
            <w:rPr>
              <w:rFonts w:asciiTheme="majorHAnsi" w:hAnsiTheme="majorHAnsi" w:cstheme="majorHAnsi"/>
              <w:noProof/>
            </w:rPr>
          </w:pPr>
          <w:hyperlink w:anchor="_Toc241565690" w:history="1">
            <w:r w:rsidRPr="00B95EB3">
              <w:rPr>
                <w:rStyle w:val="Hyperlink"/>
                <w:rFonts w:asciiTheme="majorHAnsi" w:hAnsiTheme="majorHAnsi" w:cstheme="majorHAnsi"/>
                <w:noProof/>
              </w:rPr>
              <w:t>Chapter 3: Architecture and System Design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4DDB15B" w14:textId="77777777" w:rsidR="00B95EB3" w:rsidRPr="00B95EB3" w:rsidRDefault="00B95EB3">
          <w:pPr>
            <w:pStyle w:val="TOC2"/>
            <w:tabs>
              <w:tab w:val="right" w:leader="dot" w:pos="9016"/>
            </w:tabs>
            <w:rPr>
              <w:rFonts w:asciiTheme="majorHAnsi" w:hAnsiTheme="majorHAnsi" w:cstheme="majorHAnsi"/>
              <w:noProof/>
            </w:rPr>
          </w:pPr>
          <w:hyperlink w:anchor="_Toc241565691" w:history="1">
            <w:r w:rsidRPr="00B95EB3">
              <w:rPr>
                <w:rStyle w:val="Hyperlink"/>
                <w:rFonts w:asciiTheme="majorHAnsi" w:hAnsiTheme="majorHAnsi" w:cstheme="majorHAnsi"/>
                <w:noProof/>
              </w:rPr>
              <w:t>3.1 Architecture Overview</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7E99BF7" w14:textId="77777777" w:rsidR="00B95EB3" w:rsidRPr="00B95EB3" w:rsidRDefault="00B95EB3">
          <w:pPr>
            <w:pStyle w:val="TOC2"/>
            <w:tabs>
              <w:tab w:val="right" w:leader="dot" w:pos="9016"/>
            </w:tabs>
            <w:rPr>
              <w:rFonts w:asciiTheme="majorHAnsi" w:hAnsiTheme="majorHAnsi" w:cstheme="majorHAnsi"/>
              <w:noProof/>
            </w:rPr>
          </w:pPr>
          <w:hyperlink w:anchor="_Toc241565692" w:history="1">
            <w:r w:rsidRPr="00B95EB3">
              <w:rPr>
                <w:rStyle w:val="Hyperlink"/>
                <w:rFonts w:asciiTheme="majorHAnsi" w:hAnsiTheme="majorHAnsi" w:cstheme="majorHAnsi"/>
                <w:noProof/>
              </w:rPr>
              <w:t>3.2 Hardware Selection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8113D80" w14:textId="77777777" w:rsidR="00B95EB3" w:rsidRPr="00B95EB3" w:rsidRDefault="00B95EB3">
          <w:pPr>
            <w:pStyle w:val="TOC3"/>
            <w:tabs>
              <w:tab w:val="right" w:leader="dot" w:pos="9016"/>
            </w:tabs>
            <w:rPr>
              <w:rFonts w:asciiTheme="majorHAnsi" w:hAnsiTheme="majorHAnsi" w:cstheme="majorHAnsi"/>
              <w:noProof/>
            </w:rPr>
          </w:pPr>
          <w:hyperlink w:anchor="_Toc241565693" w:history="1">
            <w:r w:rsidRPr="00B95EB3">
              <w:rPr>
                <w:rStyle w:val="Hyperlink"/>
                <w:rFonts w:asciiTheme="majorHAnsi" w:hAnsiTheme="majorHAnsi" w:cstheme="majorHAnsi"/>
                <w:noProof/>
              </w:rPr>
              <w:t>3.2.1 ESP32 Main Microcontroller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871517B" w14:textId="77777777" w:rsidR="00B95EB3" w:rsidRPr="00B95EB3" w:rsidRDefault="00B95EB3">
          <w:pPr>
            <w:pStyle w:val="TOC3"/>
            <w:tabs>
              <w:tab w:val="right" w:leader="dot" w:pos="9016"/>
            </w:tabs>
            <w:rPr>
              <w:rFonts w:asciiTheme="majorHAnsi" w:hAnsiTheme="majorHAnsi" w:cstheme="majorHAnsi"/>
              <w:noProof/>
            </w:rPr>
          </w:pPr>
          <w:hyperlink w:anchor="_Toc241565694" w:history="1">
            <w:r w:rsidRPr="00B95EB3">
              <w:rPr>
                <w:rStyle w:val="Hyperlink"/>
                <w:rFonts w:asciiTheme="majorHAnsi" w:hAnsiTheme="majorHAnsi" w:cstheme="majorHAnsi"/>
                <w:noProof/>
              </w:rPr>
              <w:t>3.2.2 Powering Sensors from GPIO Pins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E4FD0CC" w14:textId="77777777" w:rsidR="00B95EB3" w:rsidRPr="00B95EB3" w:rsidRDefault="00B95EB3">
          <w:pPr>
            <w:pStyle w:val="TOC3"/>
            <w:tabs>
              <w:tab w:val="right" w:leader="dot" w:pos="9016"/>
            </w:tabs>
            <w:rPr>
              <w:rFonts w:asciiTheme="majorHAnsi" w:hAnsiTheme="majorHAnsi" w:cstheme="majorHAnsi"/>
              <w:noProof/>
            </w:rPr>
          </w:pPr>
          <w:hyperlink w:anchor="_Toc241565695" w:history="1">
            <w:r w:rsidRPr="00B95EB3">
              <w:rPr>
                <w:rStyle w:val="Hyperlink"/>
                <w:rFonts w:asciiTheme="majorHAnsi" w:hAnsiTheme="majorHAnsi" w:cstheme="majorHAnsi"/>
                <w:noProof/>
              </w:rPr>
              <w:t>3.2.3 DS18B20 Water Temperature Sensor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709F85A" w14:textId="77777777" w:rsidR="00B95EB3" w:rsidRPr="00B95EB3" w:rsidRDefault="00B95EB3">
          <w:pPr>
            <w:pStyle w:val="TOC3"/>
            <w:tabs>
              <w:tab w:val="right" w:leader="dot" w:pos="9016"/>
            </w:tabs>
            <w:rPr>
              <w:rFonts w:asciiTheme="majorHAnsi" w:hAnsiTheme="majorHAnsi" w:cstheme="majorHAnsi"/>
              <w:noProof/>
            </w:rPr>
          </w:pPr>
          <w:hyperlink w:anchor="_Toc241565696" w:history="1">
            <w:r w:rsidRPr="00B95EB3">
              <w:rPr>
                <w:rStyle w:val="Hyperlink"/>
                <w:rFonts w:asciiTheme="majorHAnsi" w:hAnsiTheme="majorHAnsi" w:cstheme="majorHAnsi"/>
                <w:noProof/>
              </w:rPr>
              <w:t>3.2.4 Analogue TDS Sensor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4897128" w14:textId="77777777" w:rsidR="00B95EB3" w:rsidRPr="00B95EB3" w:rsidRDefault="00B95EB3">
          <w:pPr>
            <w:pStyle w:val="TOC3"/>
            <w:tabs>
              <w:tab w:val="right" w:leader="dot" w:pos="9016"/>
            </w:tabs>
            <w:rPr>
              <w:rFonts w:asciiTheme="majorHAnsi" w:hAnsiTheme="majorHAnsi" w:cstheme="majorHAnsi"/>
              <w:noProof/>
            </w:rPr>
          </w:pPr>
          <w:hyperlink w:anchor="_Toc241565697" w:history="1">
            <w:r w:rsidRPr="00B95EB3">
              <w:rPr>
                <w:rStyle w:val="Hyperlink"/>
                <w:rFonts w:asciiTheme="majorHAnsi" w:hAnsiTheme="majorHAnsi" w:cstheme="majorHAnsi"/>
                <w:noProof/>
              </w:rPr>
              <w:t>3.2.5 pH Sensor and Front End</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7C6EAEB" w14:textId="77777777" w:rsidR="00B95EB3" w:rsidRPr="00B95EB3" w:rsidRDefault="00B95EB3">
          <w:pPr>
            <w:pStyle w:val="TOC3"/>
            <w:tabs>
              <w:tab w:val="right" w:leader="dot" w:pos="9016"/>
            </w:tabs>
            <w:rPr>
              <w:rFonts w:asciiTheme="majorHAnsi" w:hAnsiTheme="majorHAnsi" w:cstheme="majorHAnsi"/>
              <w:noProof/>
            </w:rPr>
          </w:pPr>
          <w:hyperlink w:anchor="_Toc241565698" w:history="1">
            <w:r w:rsidRPr="00B95EB3">
              <w:rPr>
                <w:rStyle w:val="Hyperlink"/>
                <w:rFonts w:asciiTheme="majorHAnsi" w:hAnsiTheme="majorHAnsi" w:cstheme="majorHAnsi"/>
                <w:noProof/>
              </w:rPr>
              <w:t>3.2.6 Light and Colour Sensors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52EF59C" w14:textId="77777777" w:rsidR="00B95EB3" w:rsidRPr="00B95EB3" w:rsidRDefault="00B95EB3">
          <w:pPr>
            <w:pStyle w:val="TOC3"/>
            <w:tabs>
              <w:tab w:val="right" w:leader="dot" w:pos="9016"/>
            </w:tabs>
            <w:rPr>
              <w:rFonts w:asciiTheme="majorHAnsi" w:hAnsiTheme="majorHAnsi" w:cstheme="majorHAnsi"/>
              <w:noProof/>
            </w:rPr>
          </w:pPr>
          <w:hyperlink w:anchor="_Toc241565699" w:history="1">
            <w:r w:rsidRPr="00B95EB3">
              <w:rPr>
                <w:rStyle w:val="Hyperlink"/>
                <w:rFonts w:asciiTheme="majorHAnsi" w:hAnsiTheme="majorHAnsi" w:cstheme="majorHAnsi"/>
                <w:noProof/>
              </w:rPr>
              <w:t>3.2.7 ESP32-CAM Module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_Toc241565699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5916360" w14:textId="77777777" w:rsidR="00B95EB3" w:rsidRPr="00B95EB3" w:rsidRDefault="00B95EB3">
          <w:pPr>
            <w:pStyle w:val="TOC3"/>
            <w:tabs>
              <w:tab w:val="right" w:leader="dot" w:pos="9016"/>
            </w:tabs>
            <w:rPr>
              <w:rFonts w:asciiTheme="majorHAnsi" w:hAnsiTheme="majorHAnsi" w:cstheme="majorHAnsi"/>
              <w:noProof/>
            </w:rPr>
          </w:pPr>
          <w:hyperlink w:anchor="_Toc241565700" w:history="1">
            <w:r w:rsidRPr="00B95EB3">
              <w:rPr>
                <w:rStyle w:val="Hyperlink"/>
                <w:rFonts w:asciiTheme="majorHAnsi" w:hAnsiTheme="majorHAnsi" w:cstheme="majorHAnsi"/>
                <w:noProof/>
              </w:rPr>
              <w:t>3.2.8 Power Supply and Regulation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59E1D89" w14:textId="77777777" w:rsidR="00B95EB3" w:rsidRPr="00B95EB3" w:rsidRDefault="00B95EB3">
          <w:pPr>
            <w:pStyle w:val="TOC2"/>
            <w:tabs>
              <w:tab w:val="right" w:leader="dot" w:pos="9016"/>
            </w:tabs>
            <w:rPr>
              <w:rFonts w:asciiTheme="majorHAnsi" w:hAnsiTheme="majorHAnsi" w:cstheme="majorHAnsi"/>
              <w:noProof/>
            </w:rPr>
          </w:pPr>
          <w:hyperlink w:anchor="_Toc241565701" w:history="1">
            <w:r w:rsidRPr="00B95EB3">
              <w:rPr>
                <w:rStyle w:val="Hyperlink"/>
                <w:rFonts w:asciiTheme="majorHAnsi" w:hAnsiTheme="majorHAnsi" w:cstheme="majorHAnsi"/>
                <w:noProof/>
              </w:rPr>
              <w:t>3.3 Power Budget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DDFEB6F" w14:textId="77777777" w:rsidR="00B95EB3" w:rsidRPr="00B95EB3" w:rsidRDefault="00B95EB3">
          <w:pPr>
            <w:pStyle w:val="TOC3"/>
            <w:tabs>
              <w:tab w:val="right" w:leader="dot" w:pos="9016"/>
            </w:tabs>
            <w:rPr>
              <w:rFonts w:asciiTheme="majorHAnsi" w:hAnsiTheme="majorHAnsi" w:cstheme="majorHAnsi"/>
              <w:noProof/>
            </w:rPr>
          </w:pPr>
          <w:hyperlink w:anchor="_Toc241565702" w:history="1">
            <w:r w:rsidRPr="00B95EB3">
              <w:rPr>
                <w:rStyle w:val="Hyperlink"/>
                <w:rFonts w:asciiTheme="majorHAnsi" w:hAnsiTheme="majorHAnsi" w:cstheme="majorHAnsi"/>
                <w:noProof/>
              </w:rPr>
              <w:t>3.3.1 Load Figures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257D2ED" w14:textId="77777777" w:rsidR="00B95EB3" w:rsidRPr="00B95EB3" w:rsidRDefault="00B95EB3">
          <w:pPr>
            <w:pStyle w:val="TOC3"/>
            <w:tabs>
              <w:tab w:val="right" w:leader="dot" w:pos="9016"/>
            </w:tabs>
            <w:rPr>
              <w:rFonts w:asciiTheme="majorHAnsi" w:hAnsiTheme="majorHAnsi" w:cstheme="majorHAnsi"/>
              <w:noProof/>
            </w:rPr>
          </w:pPr>
          <w:hyperlink w:anchor="_Toc241565703" w:history="1">
            <w:r w:rsidRPr="00B95EB3">
              <w:rPr>
                <w:rStyle w:val="Hyperlink"/>
                <w:rFonts w:asciiTheme="majorHAnsi" w:hAnsiTheme="majorHAnsi" w:cstheme="majorHAnsi"/>
                <w:noProof/>
              </w:rPr>
              <w:t>3.3.2 Energy per Cycle and Service Estimate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E437A27" w14:textId="77777777" w:rsidR="00B95EB3" w:rsidRPr="00B95EB3" w:rsidRDefault="00B95EB3">
          <w:pPr>
            <w:pStyle w:val="TOC2"/>
            <w:tabs>
              <w:tab w:val="right" w:leader="dot" w:pos="9016"/>
            </w:tabs>
            <w:rPr>
              <w:rFonts w:asciiTheme="majorHAnsi" w:hAnsiTheme="majorHAnsi" w:cstheme="majorHAnsi"/>
              <w:noProof/>
            </w:rPr>
          </w:pPr>
          <w:hyperlink w:anchor="_Toc241565704" w:history="1">
            <w:r w:rsidRPr="00B95EB3">
              <w:rPr>
                <w:rStyle w:val="Hyperlink"/>
                <w:rFonts w:asciiTheme="majorHAnsi" w:hAnsiTheme="majorHAnsi" w:cstheme="majorHAnsi"/>
                <w:noProof/>
              </w:rPr>
              <w:t>3.4 Sampling Schedule, Deep Sleep and Interference Control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DB222E0" w14:textId="77777777" w:rsidR="00B95EB3" w:rsidRPr="00B95EB3" w:rsidRDefault="00B95EB3">
          <w:pPr>
            <w:pStyle w:val="TOC3"/>
            <w:tabs>
              <w:tab w:val="right" w:leader="dot" w:pos="9016"/>
            </w:tabs>
            <w:rPr>
              <w:rFonts w:asciiTheme="majorHAnsi" w:hAnsiTheme="majorHAnsi" w:cstheme="majorHAnsi"/>
              <w:noProof/>
            </w:rPr>
          </w:pPr>
          <w:hyperlink w:anchor="_Toc241565705" w:history="1">
            <w:r w:rsidRPr="00B95EB3">
              <w:rPr>
                <w:rStyle w:val="Hyperlink"/>
                <w:rFonts w:asciiTheme="majorHAnsi" w:hAnsiTheme="majorHAnsi" w:cstheme="majorHAnsi"/>
                <w:noProof/>
              </w:rPr>
              <w:t>3.4.1 Five-Minute Base Interval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5F0F41F" w14:textId="77777777" w:rsidR="00B95EB3" w:rsidRPr="00B95EB3" w:rsidRDefault="00B95EB3">
          <w:pPr>
            <w:pStyle w:val="TOC3"/>
            <w:tabs>
              <w:tab w:val="right" w:leader="dot" w:pos="9016"/>
            </w:tabs>
            <w:rPr>
              <w:rFonts w:asciiTheme="majorHAnsi" w:hAnsiTheme="majorHAnsi" w:cstheme="majorHAnsi"/>
              <w:noProof/>
            </w:rPr>
          </w:pPr>
          <w:hyperlink w:anchor="_Toc241565706" w:history="1">
            <w:r w:rsidRPr="00B95EB3">
              <w:rPr>
                <w:rStyle w:val="Hyperlink"/>
                <w:rFonts w:asciiTheme="majorHAnsi" w:hAnsiTheme="majorHAnsi" w:cstheme="majorHAnsi"/>
                <w:noProof/>
              </w:rPr>
              <w:t>3.4.2 Sensor Cycle Sequence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7D20FC4" w14:textId="77777777" w:rsidR="00B95EB3" w:rsidRPr="00B95EB3" w:rsidRDefault="00B95EB3">
          <w:pPr>
            <w:pStyle w:val="TOC3"/>
            <w:tabs>
              <w:tab w:val="right" w:leader="dot" w:pos="9016"/>
            </w:tabs>
            <w:rPr>
              <w:rFonts w:asciiTheme="majorHAnsi" w:hAnsiTheme="majorHAnsi" w:cstheme="majorHAnsi"/>
              <w:noProof/>
            </w:rPr>
          </w:pPr>
          <w:hyperlink w:anchor="_Toc241565707" w:history="1">
            <w:r w:rsidRPr="00B95EB3">
              <w:rPr>
                <w:rStyle w:val="Hyperlink"/>
                <w:rFonts w:asciiTheme="majorHAnsi" w:hAnsiTheme="majorHAnsi" w:cstheme="majorHAnsi"/>
                <w:noProof/>
              </w:rPr>
              <w:t>3.4.3 Why pH Requires Time Separation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0B3CF7C" w14:textId="77777777" w:rsidR="00B95EB3" w:rsidRPr="00B95EB3" w:rsidRDefault="00B95EB3">
          <w:pPr>
            <w:pStyle w:val="TOC3"/>
            <w:tabs>
              <w:tab w:val="right" w:leader="dot" w:pos="9016"/>
            </w:tabs>
            <w:rPr>
              <w:rFonts w:asciiTheme="majorHAnsi" w:hAnsiTheme="majorHAnsi" w:cstheme="majorHAnsi"/>
              <w:noProof/>
            </w:rPr>
          </w:pPr>
          <w:hyperlink w:anchor="_Toc241565708" w:history="1">
            <w:r w:rsidRPr="00B95EB3">
              <w:rPr>
                <w:rStyle w:val="Hyperlink"/>
                <w:rFonts w:asciiTheme="majorHAnsi" w:hAnsiTheme="majorHAnsi" w:cstheme="majorHAnsi"/>
                <w:noProof/>
              </w:rPr>
              <w:t>3.4.4 Deep Sleep Operation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D2B9680" w14:textId="77777777" w:rsidR="00B95EB3" w:rsidRPr="00B95EB3" w:rsidRDefault="00B95EB3">
          <w:pPr>
            <w:pStyle w:val="TOC2"/>
            <w:tabs>
              <w:tab w:val="right" w:leader="dot" w:pos="9016"/>
            </w:tabs>
            <w:rPr>
              <w:rFonts w:asciiTheme="majorHAnsi" w:hAnsiTheme="majorHAnsi" w:cstheme="majorHAnsi"/>
              <w:noProof/>
            </w:rPr>
          </w:pPr>
          <w:hyperlink w:anchor="_Toc241565709" w:history="1">
            <w:r w:rsidRPr="00B95EB3">
              <w:rPr>
                <w:rStyle w:val="Hyperlink"/>
                <w:rFonts w:asciiTheme="majorHAnsi" w:hAnsiTheme="majorHAnsi" w:cstheme="majorHAnsi"/>
                <w:noProof/>
              </w:rPr>
              <w:t>3.5 Consolidated Hardware Summary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_Toc241565709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C3966CC" w14:textId="77777777" w:rsidR="00B95EB3" w:rsidRPr="00B95EB3" w:rsidRDefault="00B95EB3">
          <w:pPr>
            <w:pStyle w:val="TOC2"/>
            <w:tabs>
              <w:tab w:val="right" w:leader="dot" w:pos="9016"/>
            </w:tabs>
            <w:rPr>
              <w:rFonts w:asciiTheme="majorHAnsi" w:hAnsiTheme="majorHAnsi" w:cstheme="majorHAnsi"/>
              <w:noProof/>
            </w:rPr>
          </w:pPr>
          <w:hyperlink w:anchor="_Toc241565710" w:history="1">
            <w:r w:rsidRPr="00B95EB3">
              <w:rPr>
                <w:rStyle w:val="Hyperlink"/>
                <w:rFonts w:asciiTheme="majorHAnsi" w:hAnsiTheme="majorHAnsi" w:cstheme="majorHAnsi"/>
                <w:noProof/>
              </w:rPr>
              <w:t>3.6 Communication Architecture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1295FBA" w14:textId="77777777" w:rsidR="00B95EB3" w:rsidRPr="00B95EB3" w:rsidRDefault="00B95EB3">
          <w:pPr>
            <w:pStyle w:val="TOC3"/>
            <w:tabs>
              <w:tab w:val="right" w:leader="dot" w:pos="9016"/>
            </w:tabs>
            <w:rPr>
              <w:rFonts w:asciiTheme="majorHAnsi" w:hAnsiTheme="majorHAnsi" w:cstheme="majorHAnsi"/>
              <w:noProof/>
            </w:rPr>
          </w:pPr>
          <w:hyperlink w:anchor="_Toc241565711" w:history="1">
            <w:r w:rsidRPr="00B95EB3">
              <w:rPr>
                <w:rStyle w:val="Hyperlink"/>
                <w:rFonts w:asciiTheme="majorHAnsi" w:hAnsiTheme="majorHAnsi" w:cstheme="majorHAnsi"/>
                <w:noProof/>
              </w:rPr>
              <w:t>3.6.1 Local Hardware Protocols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B4A1E37" w14:textId="77777777" w:rsidR="00B95EB3" w:rsidRPr="00B95EB3" w:rsidRDefault="00B95EB3">
          <w:pPr>
            <w:pStyle w:val="TOC3"/>
            <w:tabs>
              <w:tab w:val="right" w:leader="dot" w:pos="9016"/>
            </w:tabs>
            <w:rPr>
              <w:rFonts w:asciiTheme="majorHAnsi" w:hAnsiTheme="majorHAnsi" w:cstheme="majorHAnsi"/>
              <w:noProof/>
            </w:rPr>
          </w:pPr>
          <w:hyperlink w:anchor="_Toc241565712" w:history="1">
            <w:r w:rsidRPr="00B95EB3">
              <w:rPr>
                <w:rStyle w:val="Hyperlink"/>
                <w:rFonts w:asciiTheme="majorHAnsi" w:hAnsiTheme="majorHAnsi" w:cstheme="majorHAnsi"/>
                <w:noProof/>
              </w:rPr>
              <w:t>3.6.2 Sensor Node Telemetry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575EDF0" w14:textId="77777777" w:rsidR="00B95EB3" w:rsidRPr="00B95EB3" w:rsidRDefault="00B95EB3">
          <w:pPr>
            <w:pStyle w:val="TOC3"/>
            <w:tabs>
              <w:tab w:val="right" w:leader="dot" w:pos="9016"/>
            </w:tabs>
            <w:rPr>
              <w:rFonts w:asciiTheme="majorHAnsi" w:hAnsiTheme="majorHAnsi" w:cstheme="majorHAnsi"/>
              <w:noProof/>
            </w:rPr>
          </w:pPr>
          <w:hyperlink w:anchor="_Toc241565713" w:history="1">
            <w:r w:rsidRPr="00B95EB3">
              <w:rPr>
                <w:rStyle w:val="Hyperlink"/>
                <w:rFonts w:asciiTheme="majorHAnsi" w:hAnsiTheme="majorHAnsi" w:cstheme="majorHAnsi"/>
                <w:noProof/>
              </w:rPr>
              <w:t>3.6.3 Two Data Paths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835CE61" w14:textId="77777777" w:rsidR="00B95EB3" w:rsidRPr="00B95EB3" w:rsidRDefault="00B95EB3">
          <w:pPr>
            <w:pStyle w:val="TOC2"/>
            <w:tabs>
              <w:tab w:val="right" w:leader="dot" w:pos="9016"/>
            </w:tabs>
            <w:rPr>
              <w:rFonts w:asciiTheme="majorHAnsi" w:hAnsiTheme="majorHAnsi" w:cstheme="majorHAnsi"/>
              <w:noProof/>
            </w:rPr>
          </w:pPr>
          <w:hyperlink w:anchor="_Toc241565714" w:history="1">
            <w:r w:rsidRPr="00B95EB3">
              <w:rPr>
                <w:rStyle w:val="Hyperlink"/>
                <w:rFonts w:asciiTheme="majorHAnsi" w:hAnsiTheme="majorHAnsi" w:cstheme="majorHAnsi"/>
                <w:noProof/>
              </w:rPr>
              <w:t>3.7 Camera Analysis Service and Scheduling</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33B2FEF" w14:textId="77777777" w:rsidR="00B95EB3" w:rsidRPr="00B95EB3" w:rsidRDefault="00B95EB3">
          <w:pPr>
            <w:pStyle w:val="TOC3"/>
            <w:tabs>
              <w:tab w:val="right" w:leader="dot" w:pos="9016"/>
            </w:tabs>
            <w:rPr>
              <w:rFonts w:asciiTheme="majorHAnsi" w:hAnsiTheme="majorHAnsi" w:cstheme="majorHAnsi"/>
              <w:noProof/>
            </w:rPr>
          </w:pPr>
          <w:hyperlink w:anchor="_Toc241565715" w:history="1">
            <w:r w:rsidRPr="00B95EB3">
              <w:rPr>
                <w:rStyle w:val="Hyperlink"/>
                <w:rFonts w:asciiTheme="majorHAnsi" w:hAnsiTheme="majorHAnsi" w:cstheme="majorHAnsi"/>
                <w:noProof/>
              </w:rPr>
              <w:t>3.7.1 Hosting on PythonAnywhere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0AAD5B6" w14:textId="77777777" w:rsidR="00B95EB3" w:rsidRPr="00B95EB3" w:rsidRDefault="00B95EB3">
          <w:pPr>
            <w:pStyle w:val="TOC3"/>
            <w:tabs>
              <w:tab w:val="right" w:leader="dot" w:pos="9016"/>
            </w:tabs>
            <w:rPr>
              <w:rFonts w:asciiTheme="majorHAnsi" w:hAnsiTheme="majorHAnsi" w:cstheme="majorHAnsi"/>
              <w:noProof/>
            </w:rPr>
          </w:pPr>
          <w:hyperlink w:anchor="_Toc241565716" w:history="1">
            <w:r w:rsidRPr="00B95EB3">
              <w:rPr>
                <w:rStyle w:val="Hyperlink"/>
                <w:rFonts w:asciiTheme="majorHAnsi" w:hAnsiTheme="majorHAnsi" w:cstheme="majorHAnsi"/>
                <w:noProof/>
              </w:rPr>
              <w:t>3.7.2 Image Analysis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4D5AAEA" w14:textId="77777777" w:rsidR="00B95EB3" w:rsidRPr="00B95EB3" w:rsidRDefault="00B95EB3">
          <w:pPr>
            <w:pStyle w:val="TOC3"/>
            <w:tabs>
              <w:tab w:val="right" w:leader="dot" w:pos="9016"/>
            </w:tabs>
            <w:rPr>
              <w:rFonts w:asciiTheme="majorHAnsi" w:hAnsiTheme="majorHAnsi" w:cstheme="majorHAnsi"/>
              <w:noProof/>
            </w:rPr>
          </w:pPr>
          <w:hyperlink w:anchor="_Toc241565717" w:history="1">
            <w:r w:rsidRPr="00B95EB3">
              <w:rPr>
                <w:rStyle w:val="Hyperlink"/>
                <w:rFonts w:asciiTheme="majorHAnsi" w:hAnsiTheme="majorHAnsi" w:cstheme="majorHAnsi"/>
                <w:noProof/>
              </w:rPr>
              <w:t>3.7.3 Camera States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40AC053" w14:textId="77777777" w:rsidR="00B95EB3" w:rsidRPr="00B95EB3" w:rsidRDefault="00B95EB3">
          <w:pPr>
            <w:pStyle w:val="TOC3"/>
            <w:tabs>
              <w:tab w:val="right" w:leader="dot" w:pos="9016"/>
            </w:tabs>
            <w:rPr>
              <w:rFonts w:asciiTheme="majorHAnsi" w:hAnsiTheme="majorHAnsi" w:cstheme="majorHAnsi"/>
              <w:noProof/>
            </w:rPr>
          </w:pPr>
          <w:hyperlink w:anchor="_Toc241565718" w:history="1">
            <w:r w:rsidRPr="00B95EB3">
              <w:rPr>
                <w:rStyle w:val="Hyperlink"/>
                <w:rFonts w:asciiTheme="majorHAnsi" w:hAnsiTheme="majorHAnsi" w:cstheme="majorHAnsi"/>
                <w:noProof/>
              </w:rPr>
              <w:t>3.7.4 Device-Side Safeguards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B8130E1" w14:textId="77777777" w:rsidR="00B95EB3" w:rsidRPr="00B95EB3" w:rsidRDefault="00B95EB3">
          <w:pPr>
            <w:pStyle w:val="TOC2"/>
            <w:tabs>
              <w:tab w:val="right" w:leader="dot" w:pos="9016"/>
            </w:tabs>
            <w:rPr>
              <w:rFonts w:asciiTheme="majorHAnsi" w:hAnsiTheme="majorHAnsi" w:cstheme="majorHAnsi"/>
              <w:noProof/>
            </w:rPr>
          </w:pPr>
          <w:hyperlink w:anchor="_Toc241565719" w:history="1">
            <w:r w:rsidRPr="00B95EB3">
              <w:rPr>
                <w:rStyle w:val="Hyperlink"/>
                <w:rFonts w:asciiTheme="majorHAnsi" w:hAnsiTheme="majorHAnsi" w:cstheme="majorHAnsi"/>
                <w:noProof/>
              </w:rPr>
              <w:t>3.8 Supabase Data Store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_Toc241565719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63D03FB" w14:textId="77777777" w:rsidR="00B95EB3" w:rsidRPr="00B95EB3" w:rsidRDefault="00B95EB3">
          <w:pPr>
            <w:pStyle w:val="TOC2"/>
            <w:tabs>
              <w:tab w:val="right" w:leader="dot" w:pos="9016"/>
            </w:tabs>
            <w:rPr>
              <w:rFonts w:asciiTheme="majorHAnsi" w:hAnsiTheme="majorHAnsi" w:cstheme="majorHAnsi"/>
              <w:noProof/>
            </w:rPr>
          </w:pPr>
          <w:hyperlink w:anchor="_Toc241565720" w:history="1">
            <w:r w:rsidRPr="00B95EB3">
              <w:rPr>
                <w:rStyle w:val="Hyperlink"/>
                <w:rFonts w:asciiTheme="majorHAnsi" w:hAnsiTheme="majorHAnsi" w:cstheme="majorHAnsi"/>
                <w:noProof/>
              </w:rPr>
              <w:t>3.9 Digital Twin Service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DCE584C" w14:textId="77777777" w:rsidR="00B95EB3" w:rsidRPr="00B95EB3" w:rsidRDefault="00B95EB3">
          <w:pPr>
            <w:pStyle w:val="TOC3"/>
            <w:tabs>
              <w:tab w:val="right" w:leader="dot" w:pos="9016"/>
            </w:tabs>
            <w:rPr>
              <w:rFonts w:asciiTheme="majorHAnsi" w:hAnsiTheme="majorHAnsi" w:cstheme="majorHAnsi"/>
              <w:noProof/>
            </w:rPr>
          </w:pPr>
          <w:hyperlink w:anchor="_Toc241565721" w:history="1">
            <w:r w:rsidRPr="00B95EB3">
              <w:rPr>
                <w:rStyle w:val="Hyperlink"/>
                <w:rFonts w:asciiTheme="majorHAnsi" w:hAnsiTheme="majorHAnsi" w:cstheme="majorHAnsi"/>
                <w:noProof/>
              </w:rPr>
              <w:t>3.9.1 Structure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01E4A95" w14:textId="77777777" w:rsidR="00B95EB3" w:rsidRPr="00B95EB3" w:rsidRDefault="00B95EB3">
          <w:pPr>
            <w:pStyle w:val="TOC3"/>
            <w:tabs>
              <w:tab w:val="right" w:leader="dot" w:pos="9016"/>
            </w:tabs>
            <w:rPr>
              <w:rFonts w:asciiTheme="majorHAnsi" w:hAnsiTheme="majorHAnsi" w:cstheme="majorHAnsi"/>
              <w:noProof/>
            </w:rPr>
          </w:pPr>
          <w:hyperlink w:anchor="_Toc241565722" w:history="1">
            <w:r w:rsidRPr="00B95EB3">
              <w:rPr>
                <w:rStyle w:val="Hyperlink"/>
                <w:rFonts w:asciiTheme="majorHAnsi" w:hAnsiTheme="majorHAnsi" w:cstheme="majorHAnsi"/>
                <w:noProof/>
              </w:rPr>
              <w:t>3.9.2 Domain Engines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51FEA0E" w14:textId="77777777" w:rsidR="00B95EB3" w:rsidRPr="00B95EB3" w:rsidRDefault="00B95EB3">
          <w:pPr>
            <w:pStyle w:val="TOC3"/>
            <w:tabs>
              <w:tab w:val="right" w:leader="dot" w:pos="9016"/>
            </w:tabs>
            <w:rPr>
              <w:rFonts w:asciiTheme="majorHAnsi" w:hAnsiTheme="majorHAnsi" w:cstheme="majorHAnsi"/>
              <w:noProof/>
            </w:rPr>
          </w:pPr>
          <w:hyperlink w:anchor="_Toc241565723" w:history="1">
            <w:r w:rsidRPr="00B95EB3">
              <w:rPr>
                <w:rStyle w:val="Hyperlink"/>
                <w:rFonts w:asciiTheme="majorHAnsi" w:hAnsiTheme="majorHAnsi" w:cstheme="majorHAnsi"/>
                <w:noProof/>
              </w:rPr>
              <w:t>3.9.3 Inputs and Update Triggers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462F034" w14:textId="77777777" w:rsidR="00B95EB3" w:rsidRPr="00B95EB3" w:rsidRDefault="00B95EB3">
          <w:pPr>
            <w:pStyle w:val="TOC3"/>
            <w:tabs>
              <w:tab w:val="right" w:leader="dot" w:pos="9016"/>
            </w:tabs>
            <w:rPr>
              <w:rFonts w:asciiTheme="majorHAnsi" w:hAnsiTheme="majorHAnsi" w:cstheme="majorHAnsi"/>
              <w:noProof/>
            </w:rPr>
          </w:pPr>
          <w:hyperlink w:anchor="_Toc241565724" w:history="1">
            <w:r w:rsidRPr="00B95EB3">
              <w:rPr>
                <w:rStyle w:val="Hyperlink"/>
                <w:rFonts w:asciiTheme="majorHAnsi" w:hAnsiTheme="majorHAnsi" w:cstheme="majorHAnsi"/>
                <w:noProof/>
              </w:rPr>
              <w:t>3.9.4 TDS Context Processing</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2A5E1EC" w14:textId="77777777" w:rsidR="00B95EB3" w:rsidRPr="00B95EB3" w:rsidRDefault="00B95EB3">
          <w:pPr>
            <w:pStyle w:val="TOC3"/>
            <w:tabs>
              <w:tab w:val="right" w:leader="dot" w:pos="9016"/>
            </w:tabs>
            <w:rPr>
              <w:rFonts w:asciiTheme="majorHAnsi" w:hAnsiTheme="majorHAnsi" w:cstheme="majorHAnsi"/>
              <w:noProof/>
            </w:rPr>
          </w:pPr>
          <w:hyperlink w:anchor="_Toc241565725" w:history="1">
            <w:r w:rsidRPr="00B95EB3">
              <w:rPr>
                <w:rStyle w:val="Hyperlink"/>
                <w:rFonts w:asciiTheme="majorHAnsi" w:hAnsiTheme="majorHAnsi" w:cstheme="majorHAnsi"/>
                <w:noProof/>
              </w:rPr>
              <w:t>3.9.5 Hosting</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0D8C4EC" w14:textId="77777777" w:rsidR="00B95EB3" w:rsidRPr="00B95EB3" w:rsidRDefault="00B95EB3">
          <w:pPr>
            <w:pStyle w:val="TOC2"/>
            <w:tabs>
              <w:tab w:val="right" w:leader="dot" w:pos="9016"/>
            </w:tabs>
            <w:rPr>
              <w:rFonts w:asciiTheme="majorHAnsi" w:hAnsiTheme="majorHAnsi" w:cstheme="majorHAnsi"/>
              <w:noProof/>
            </w:rPr>
          </w:pPr>
          <w:hyperlink w:anchor="_Toc241565726" w:history="1">
            <w:r w:rsidRPr="00B95EB3">
              <w:rPr>
                <w:rStyle w:val="Hyperlink"/>
                <w:rFonts w:asciiTheme="majorHAnsi" w:hAnsiTheme="majorHAnsi" w:cstheme="majorHAnsi"/>
                <w:noProof/>
              </w:rPr>
              <w:t>3.10 Reliability, Safety and Maintainability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7074F54" w14:textId="77777777" w:rsidR="00B95EB3" w:rsidRPr="00B95EB3" w:rsidRDefault="00B95EB3">
          <w:pPr>
            <w:pStyle w:val="TOC3"/>
            <w:tabs>
              <w:tab w:val="right" w:leader="dot" w:pos="9016"/>
            </w:tabs>
            <w:rPr>
              <w:rFonts w:asciiTheme="majorHAnsi" w:hAnsiTheme="majorHAnsi" w:cstheme="majorHAnsi"/>
              <w:noProof/>
            </w:rPr>
          </w:pPr>
          <w:hyperlink w:anchor="_Toc241565727" w:history="1">
            <w:r w:rsidRPr="00B95EB3">
              <w:rPr>
                <w:rStyle w:val="Hyperlink"/>
                <w:rFonts w:asciiTheme="majorHAnsi" w:hAnsiTheme="majorHAnsi" w:cstheme="majorHAnsi"/>
                <w:noProof/>
              </w:rPr>
              <w:t>3.10.1 Fault Handling</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E7B08D6" w14:textId="77777777" w:rsidR="00B95EB3" w:rsidRPr="00B95EB3" w:rsidRDefault="00B95EB3">
          <w:pPr>
            <w:pStyle w:val="TOC3"/>
            <w:tabs>
              <w:tab w:val="right" w:leader="dot" w:pos="9016"/>
            </w:tabs>
            <w:rPr>
              <w:rFonts w:asciiTheme="majorHAnsi" w:hAnsiTheme="majorHAnsi" w:cstheme="majorHAnsi"/>
              <w:noProof/>
            </w:rPr>
          </w:pPr>
          <w:hyperlink w:anchor="_Toc241565728" w:history="1">
            <w:r w:rsidRPr="00B95EB3">
              <w:rPr>
                <w:rStyle w:val="Hyperlink"/>
                <w:rFonts w:asciiTheme="majorHAnsi" w:hAnsiTheme="majorHAnsi" w:cstheme="majorHAnsi"/>
                <w:noProof/>
              </w:rPr>
              <w:t>3.10.2 Outdoor Electrical Design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10EA504" w14:textId="77777777" w:rsidR="00B95EB3" w:rsidRPr="00B95EB3" w:rsidRDefault="00B95EB3">
          <w:pPr>
            <w:pStyle w:val="TOC3"/>
            <w:tabs>
              <w:tab w:val="right" w:leader="dot" w:pos="9016"/>
            </w:tabs>
            <w:rPr>
              <w:rFonts w:asciiTheme="majorHAnsi" w:hAnsiTheme="majorHAnsi" w:cstheme="majorHAnsi"/>
              <w:noProof/>
            </w:rPr>
          </w:pPr>
          <w:hyperlink w:anchor="_Toc241565729" w:history="1">
            <w:r w:rsidRPr="00B95EB3">
              <w:rPr>
                <w:rStyle w:val="Hyperlink"/>
                <w:rFonts w:asciiTheme="majorHAnsi" w:hAnsiTheme="majorHAnsi" w:cstheme="majorHAnsi"/>
                <w:noProof/>
              </w:rPr>
              <w:t>3.10.3 Battery State and Service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_Toc241565729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9DD4D2D" w14:textId="77777777" w:rsidR="00B95EB3" w:rsidRPr="00B95EB3" w:rsidRDefault="00B95EB3">
          <w:pPr>
            <w:pStyle w:val="TOC2"/>
            <w:tabs>
              <w:tab w:val="right" w:leader="dot" w:pos="9016"/>
            </w:tabs>
            <w:rPr>
              <w:rFonts w:asciiTheme="majorHAnsi" w:hAnsiTheme="majorHAnsi" w:cstheme="majorHAnsi"/>
              <w:noProof/>
            </w:rPr>
          </w:pPr>
          <w:hyperlink w:anchor="_Toc241565730" w:history="1">
            <w:r w:rsidRPr="00B95EB3">
              <w:rPr>
                <w:rStyle w:val="Hyperlink"/>
                <w:rFonts w:asciiTheme="majorHAnsi" w:hAnsiTheme="majorHAnsi" w:cstheme="majorHAnsi"/>
                <w:noProof/>
              </w:rPr>
              <w:t>3.11 System Requirements Specification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9E69AD1" w14:textId="77777777" w:rsidR="00B95EB3" w:rsidRPr="00B95EB3" w:rsidRDefault="00B95EB3">
          <w:pPr>
            <w:pStyle w:val="TOC2"/>
            <w:tabs>
              <w:tab w:val="right" w:leader="dot" w:pos="9016"/>
            </w:tabs>
            <w:rPr>
              <w:rFonts w:asciiTheme="majorHAnsi" w:hAnsiTheme="majorHAnsi" w:cstheme="majorHAnsi"/>
              <w:noProof/>
            </w:rPr>
          </w:pPr>
          <w:hyperlink w:anchor="_Toc241565731" w:history="1">
            <w:r w:rsidRPr="00B95EB3">
              <w:rPr>
                <w:rStyle w:val="Hyperlink"/>
                <w:rFonts w:asciiTheme="majorHAnsi" w:hAnsiTheme="majorHAnsi" w:cstheme="majorHAnsi"/>
                <w:noProof/>
              </w:rPr>
              <w:t>3.12 Application Layer and Mobile Client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ECE0F74" w14:textId="77777777" w:rsidR="00B95EB3" w:rsidRPr="00B95EB3" w:rsidRDefault="00B95EB3">
          <w:pPr>
            <w:pStyle w:val="TOC3"/>
            <w:tabs>
              <w:tab w:val="right" w:leader="dot" w:pos="9016"/>
            </w:tabs>
            <w:rPr>
              <w:rFonts w:asciiTheme="majorHAnsi" w:hAnsiTheme="majorHAnsi" w:cstheme="majorHAnsi"/>
              <w:noProof/>
            </w:rPr>
          </w:pPr>
          <w:hyperlink w:anchor="_Toc241565732" w:history="1">
            <w:r w:rsidRPr="00B95EB3">
              <w:rPr>
                <w:rStyle w:val="Hyperlink"/>
                <w:rFonts w:asciiTheme="majorHAnsi" w:hAnsiTheme="majorHAnsi" w:cstheme="majorHAnsi"/>
                <w:noProof/>
              </w:rPr>
              <w:t>3.12.1 Context Prompts and User Effort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233B294" w14:textId="77777777" w:rsidR="00B95EB3" w:rsidRPr="00B95EB3" w:rsidRDefault="00B95EB3">
          <w:pPr>
            <w:pStyle w:val="TOC2"/>
            <w:tabs>
              <w:tab w:val="right" w:leader="dot" w:pos="9016"/>
            </w:tabs>
            <w:rPr>
              <w:rFonts w:asciiTheme="majorHAnsi" w:hAnsiTheme="majorHAnsi" w:cstheme="majorHAnsi"/>
              <w:noProof/>
            </w:rPr>
          </w:pPr>
          <w:hyperlink w:anchor="_Toc241565733" w:history="1">
            <w:r w:rsidRPr="00B95EB3">
              <w:rPr>
                <w:rStyle w:val="Hyperlink"/>
                <w:rFonts w:asciiTheme="majorHAnsi" w:hAnsiTheme="majorHAnsi" w:cstheme="majorHAnsi"/>
                <w:noProof/>
              </w:rPr>
              <w:t>3.13 Cost Summary and Budget Position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4569EA7" w14:textId="77777777" w:rsidR="00B95EB3" w:rsidRPr="00B95EB3" w:rsidRDefault="00B95EB3">
          <w:pPr>
            <w:pStyle w:val="TOC2"/>
            <w:tabs>
              <w:tab w:val="right" w:leader="dot" w:pos="9016"/>
            </w:tabs>
            <w:rPr>
              <w:rFonts w:asciiTheme="majorHAnsi" w:hAnsiTheme="majorHAnsi" w:cstheme="majorHAnsi"/>
              <w:noProof/>
            </w:rPr>
          </w:pPr>
          <w:hyperlink w:anchor="_Toc241565734" w:history="1">
            <w:r w:rsidRPr="00B95EB3">
              <w:rPr>
                <w:rStyle w:val="Hyperlink"/>
                <w:rFonts w:asciiTheme="majorHAnsi" w:hAnsiTheme="majorHAnsi" w:cstheme="majorHAnsi"/>
                <w:noProof/>
              </w:rPr>
              <w:t>3.14 Chapter Summary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A1119B4" w14:textId="77777777" w:rsidR="00B95EB3" w:rsidRPr="00B95EB3" w:rsidRDefault="00B95EB3">
          <w:pPr>
            <w:pStyle w:val="TOC1"/>
            <w:tabs>
              <w:tab w:val="right" w:leader="dot" w:pos="9016"/>
            </w:tabs>
            <w:rPr>
              <w:rFonts w:asciiTheme="majorHAnsi" w:hAnsiTheme="majorHAnsi" w:cstheme="majorHAnsi"/>
              <w:noProof/>
            </w:rPr>
          </w:pPr>
          <w:hyperlink w:anchor="_Toc241565735" w:history="1">
            <w:r w:rsidRPr="00B95EB3">
              <w:rPr>
                <w:rStyle w:val="Hyperlink"/>
                <w:rFonts w:asciiTheme="majorHAnsi" w:hAnsiTheme="majorHAnsi" w:cstheme="majorHAnsi"/>
                <w:noProof/>
              </w:rPr>
              <w:t>Chapter 4: Experimental Framework</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D13C83C" w14:textId="77777777" w:rsidR="00B95EB3" w:rsidRPr="00B95EB3" w:rsidRDefault="00B95EB3">
          <w:pPr>
            <w:pStyle w:val="TOC2"/>
            <w:tabs>
              <w:tab w:val="right" w:leader="dot" w:pos="9016"/>
            </w:tabs>
            <w:rPr>
              <w:rFonts w:asciiTheme="majorHAnsi" w:hAnsiTheme="majorHAnsi" w:cstheme="majorHAnsi"/>
              <w:noProof/>
            </w:rPr>
          </w:pPr>
          <w:hyperlink w:anchor="_Toc241565736" w:history="1">
            <w:r w:rsidRPr="00B95EB3">
              <w:rPr>
                <w:rStyle w:val="Hyperlink"/>
                <w:rFonts w:asciiTheme="majorHAnsi" w:hAnsiTheme="majorHAnsi" w:cstheme="majorHAnsi"/>
                <w:noProof/>
              </w:rPr>
              <w:t>4.1 Purpose and Testing Philosophy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AF58855" w14:textId="77777777" w:rsidR="00B95EB3" w:rsidRPr="00B95EB3" w:rsidRDefault="00B95EB3">
          <w:pPr>
            <w:pStyle w:val="TOC2"/>
            <w:tabs>
              <w:tab w:val="right" w:leader="dot" w:pos="9016"/>
            </w:tabs>
            <w:rPr>
              <w:rFonts w:asciiTheme="majorHAnsi" w:hAnsiTheme="majorHAnsi" w:cstheme="majorHAnsi"/>
              <w:noProof/>
            </w:rPr>
          </w:pPr>
          <w:hyperlink w:anchor="_Toc241565737" w:history="1">
            <w:r w:rsidRPr="00B95EB3">
              <w:rPr>
                <w:rStyle w:val="Hyperlink"/>
                <w:rFonts w:asciiTheme="majorHAnsi" w:hAnsiTheme="majorHAnsi" w:cstheme="majorHAnsi"/>
                <w:noProof/>
              </w:rPr>
              <w:t>4.2 Three Test Tiers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87BD2E3" w14:textId="77777777" w:rsidR="00B95EB3" w:rsidRPr="00B95EB3" w:rsidRDefault="00B95EB3">
          <w:pPr>
            <w:pStyle w:val="TOC2"/>
            <w:tabs>
              <w:tab w:val="right" w:leader="dot" w:pos="9016"/>
            </w:tabs>
            <w:rPr>
              <w:rFonts w:asciiTheme="majorHAnsi" w:hAnsiTheme="majorHAnsi" w:cstheme="majorHAnsi"/>
              <w:noProof/>
            </w:rPr>
          </w:pPr>
          <w:hyperlink w:anchor="_Toc241565738" w:history="1">
            <w:r w:rsidRPr="00B95EB3">
              <w:rPr>
                <w:rStyle w:val="Hyperlink"/>
                <w:rFonts w:asciiTheme="majorHAnsi" w:hAnsiTheme="majorHAnsi" w:cstheme="majorHAnsi"/>
                <w:noProof/>
              </w:rPr>
              <w:t>4.3 Equipment Protection Protocol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156162D" w14:textId="77777777" w:rsidR="00B95EB3" w:rsidRPr="00B95EB3" w:rsidRDefault="00B95EB3">
          <w:pPr>
            <w:pStyle w:val="TOC2"/>
            <w:tabs>
              <w:tab w:val="right" w:leader="dot" w:pos="9016"/>
            </w:tabs>
            <w:rPr>
              <w:rFonts w:asciiTheme="majorHAnsi" w:hAnsiTheme="majorHAnsi" w:cstheme="majorHAnsi"/>
              <w:noProof/>
            </w:rPr>
          </w:pPr>
          <w:hyperlink w:anchor="_Toc241565739" w:history="1">
            <w:r w:rsidRPr="00B95EB3">
              <w:rPr>
                <w:rStyle w:val="Hyperlink"/>
                <w:rFonts w:asciiTheme="majorHAnsi" w:hAnsiTheme="majorHAnsi" w:cstheme="majorHAnsi"/>
                <w:noProof/>
              </w:rPr>
              <w:t>4.4 Tier 1: Functional Subsystem Tests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_Toc241565739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E9D694E" w14:textId="77777777" w:rsidR="00B95EB3" w:rsidRPr="00B95EB3" w:rsidRDefault="00B95EB3">
          <w:pPr>
            <w:pStyle w:val="TOC3"/>
            <w:tabs>
              <w:tab w:val="right" w:leader="dot" w:pos="9016"/>
            </w:tabs>
            <w:rPr>
              <w:rFonts w:asciiTheme="majorHAnsi" w:hAnsiTheme="majorHAnsi" w:cstheme="majorHAnsi"/>
              <w:noProof/>
            </w:rPr>
          </w:pPr>
          <w:hyperlink w:anchor="_Toc241565740" w:history="1">
            <w:r w:rsidRPr="00B95EB3">
              <w:rPr>
                <w:rStyle w:val="Hyperlink"/>
                <w:rFonts w:asciiTheme="majorHAnsi" w:hAnsiTheme="majorHAnsi" w:cstheme="majorHAnsi"/>
                <w:noProof/>
              </w:rPr>
              <w:t>4.4.1 Temperature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7DDAE93" w14:textId="77777777" w:rsidR="00B95EB3" w:rsidRPr="00B95EB3" w:rsidRDefault="00B95EB3">
          <w:pPr>
            <w:pStyle w:val="TOC3"/>
            <w:tabs>
              <w:tab w:val="right" w:leader="dot" w:pos="9016"/>
            </w:tabs>
            <w:rPr>
              <w:rFonts w:asciiTheme="majorHAnsi" w:hAnsiTheme="majorHAnsi" w:cstheme="majorHAnsi"/>
              <w:noProof/>
            </w:rPr>
          </w:pPr>
          <w:hyperlink w:anchor="_Toc241565741" w:history="1">
            <w:r w:rsidRPr="00B95EB3">
              <w:rPr>
                <w:rStyle w:val="Hyperlink"/>
                <w:rFonts w:asciiTheme="majorHAnsi" w:hAnsiTheme="majorHAnsi" w:cstheme="majorHAnsi"/>
                <w:noProof/>
              </w:rPr>
              <w:t>4.4.2 pH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E7F240E" w14:textId="77777777" w:rsidR="00B95EB3" w:rsidRPr="00B95EB3" w:rsidRDefault="00B95EB3">
          <w:pPr>
            <w:pStyle w:val="TOC3"/>
            <w:tabs>
              <w:tab w:val="right" w:leader="dot" w:pos="9016"/>
            </w:tabs>
            <w:rPr>
              <w:rFonts w:asciiTheme="majorHAnsi" w:hAnsiTheme="majorHAnsi" w:cstheme="majorHAnsi"/>
              <w:noProof/>
            </w:rPr>
          </w:pPr>
          <w:hyperlink w:anchor="_Toc241565742" w:history="1">
            <w:r w:rsidRPr="00B95EB3">
              <w:rPr>
                <w:rStyle w:val="Hyperlink"/>
                <w:rFonts w:asciiTheme="majorHAnsi" w:hAnsiTheme="majorHAnsi" w:cstheme="majorHAnsi"/>
                <w:noProof/>
              </w:rPr>
              <w:t>4.4.3 TDS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E970115" w14:textId="77777777" w:rsidR="00B95EB3" w:rsidRPr="00B95EB3" w:rsidRDefault="00B95EB3">
          <w:pPr>
            <w:pStyle w:val="TOC3"/>
            <w:tabs>
              <w:tab w:val="right" w:leader="dot" w:pos="9016"/>
            </w:tabs>
            <w:rPr>
              <w:rFonts w:asciiTheme="majorHAnsi" w:hAnsiTheme="majorHAnsi" w:cstheme="majorHAnsi"/>
              <w:noProof/>
            </w:rPr>
          </w:pPr>
          <w:hyperlink w:anchor="_Toc241565743" w:history="1">
            <w:r w:rsidRPr="00B95EB3">
              <w:rPr>
                <w:rStyle w:val="Hyperlink"/>
                <w:rFonts w:asciiTheme="majorHAnsi" w:hAnsiTheme="majorHAnsi" w:cstheme="majorHAnsi"/>
                <w:noProof/>
              </w:rPr>
              <w:t>4.4.4 Light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2114DDB" w14:textId="77777777" w:rsidR="00B95EB3" w:rsidRPr="00B95EB3" w:rsidRDefault="00B95EB3">
          <w:pPr>
            <w:pStyle w:val="TOC3"/>
            <w:tabs>
              <w:tab w:val="right" w:leader="dot" w:pos="9016"/>
            </w:tabs>
            <w:rPr>
              <w:rFonts w:asciiTheme="majorHAnsi" w:hAnsiTheme="majorHAnsi" w:cstheme="majorHAnsi"/>
              <w:noProof/>
            </w:rPr>
          </w:pPr>
          <w:hyperlink w:anchor="_Toc241565744" w:history="1">
            <w:r w:rsidRPr="00B95EB3">
              <w:rPr>
                <w:rStyle w:val="Hyperlink"/>
                <w:rFonts w:asciiTheme="majorHAnsi" w:hAnsiTheme="majorHAnsi" w:cstheme="majorHAnsi"/>
                <w:noProof/>
              </w:rPr>
              <w:t>4.4.5 Colour Sensor and Colorimetric Badge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CE4B27D" w14:textId="77777777" w:rsidR="00B95EB3" w:rsidRPr="00B95EB3" w:rsidRDefault="00B95EB3">
          <w:pPr>
            <w:pStyle w:val="TOC3"/>
            <w:tabs>
              <w:tab w:val="right" w:leader="dot" w:pos="9016"/>
            </w:tabs>
            <w:rPr>
              <w:rFonts w:asciiTheme="majorHAnsi" w:hAnsiTheme="majorHAnsi" w:cstheme="majorHAnsi"/>
              <w:noProof/>
            </w:rPr>
          </w:pPr>
          <w:hyperlink w:anchor="_Toc241565745" w:history="1">
            <w:r w:rsidRPr="00B95EB3">
              <w:rPr>
                <w:rStyle w:val="Hyperlink"/>
                <w:rFonts w:asciiTheme="majorHAnsi" w:hAnsiTheme="majorHAnsi" w:cstheme="majorHAnsi"/>
                <w:noProof/>
              </w:rPr>
              <w:t>4.4.6 Camera and HSV Channel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CA0167E" w14:textId="77777777" w:rsidR="00B95EB3" w:rsidRPr="00B95EB3" w:rsidRDefault="00B95EB3">
          <w:pPr>
            <w:pStyle w:val="TOC3"/>
            <w:tabs>
              <w:tab w:val="right" w:leader="dot" w:pos="9016"/>
            </w:tabs>
            <w:rPr>
              <w:rFonts w:asciiTheme="majorHAnsi" w:hAnsiTheme="majorHAnsi" w:cstheme="majorHAnsi"/>
              <w:noProof/>
            </w:rPr>
          </w:pPr>
          <w:hyperlink w:anchor="_Toc241565746" w:history="1">
            <w:r w:rsidRPr="00B95EB3">
              <w:rPr>
                <w:rStyle w:val="Hyperlink"/>
                <w:rFonts w:asciiTheme="majorHAnsi" w:hAnsiTheme="majorHAnsi" w:cstheme="majorHAnsi"/>
                <w:noProof/>
              </w:rPr>
              <w:t>4.4.7 Power and Communication Path</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48B9246" w14:textId="77777777" w:rsidR="00B95EB3" w:rsidRPr="00B95EB3" w:rsidRDefault="00B95EB3">
          <w:pPr>
            <w:pStyle w:val="TOC2"/>
            <w:tabs>
              <w:tab w:val="right" w:leader="dot" w:pos="9016"/>
            </w:tabs>
            <w:rPr>
              <w:rFonts w:asciiTheme="majorHAnsi" w:hAnsiTheme="majorHAnsi" w:cstheme="majorHAnsi"/>
              <w:noProof/>
            </w:rPr>
          </w:pPr>
          <w:hyperlink w:anchor="_Toc241565747" w:history="1">
            <w:r w:rsidRPr="00B95EB3">
              <w:rPr>
                <w:rStyle w:val="Hyperlink"/>
                <w:rFonts w:asciiTheme="majorHAnsi" w:hAnsiTheme="majorHAnsi" w:cstheme="majorHAnsi"/>
                <w:noProof/>
              </w:rPr>
              <w:t>4.5 Tier 2: Operational Subsystem Tests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977719B" w14:textId="77777777" w:rsidR="00B95EB3" w:rsidRPr="00B95EB3" w:rsidRDefault="00B95EB3">
          <w:pPr>
            <w:pStyle w:val="TOC3"/>
            <w:tabs>
              <w:tab w:val="right" w:leader="dot" w:pos="9016"/>
            </w:tabs>
            <w:rPr>
              <w:rFonts w:asciiTheme="majorHAnsi" w:hAnsiTheme="majorHAnsi" w:cstheme="majorHAnsi"/>
              <w:noProof/>
            </w:rPr>
          </w:pPr>
          <w:hyperlink w:anchor="_Toc241565748" w:history="1">
            <w:r w:rsidRPr="00B95EB3">
              <w:rPr>
                <w:rStyle w:val="Hyperlink"/>
                <w:rFonts w:asciiTheme="majorHAnsi" w:hAnsiTheme="majorHAnsi" w:cstheme="majorHAnsi"/>
                <w:noProof/>
              </w:rPr>
              <w:t>4.5.1 Environmental Data and Measurement Variation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64E099E" w14:textId="77777777" w:rsidR="00B95EB3" w:rsidRPr="00B95EB3" w:rsidRDefault="00B95EB3">
          <w:pPr>
            <w:pStyle w:val="TOC3"/>
            <w:tabs>
              <w:tab w:val="right" w:leader="dot" w:pos="9016"/>
            </w:tabs>
            <w:rPr>
              <w:rFonts w:asciiTheme="majorHAnsi" w:hAnsiTheme="majorHAnsi" w:cstheme="majorHAnsi"/>
              <w:noProof/>
            </w:rPr>
          </w:pPr>
          <w:hyperlink w:anchor="_Toc241565749" w:history="1">
            <w:r w:rsidRPr="00B95EB3">
              <w:rPr>
                <w:rStyle w:val="Hyperlink"/>
                <w:rFonts w:asciiTheme="majorHAnsi" w:hAnsiTheme="majorHAnsi" w:cstheme="majorHAnsi"/>
                <w:noProof/>
              </w:rPr>
              <w:t>4.5.2 Deployment, Supply and Enclosure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_Toc241565749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AD3E915" w14:textId="77777777" w:rsidR="00B95EB3" w:rsidRPr="00B95EB3" w:rsidRDefault="00B95EB3">
          <w:pPr>
            <w:pStyle w:val="TOC3"/>
            <w:tabs>
              <w:tab w:val="right" w:leader="dot" w:pos="9016"/>
            </w:tabs>
            <w:rPr>
              <w:rFonts w:asciiTheme="majorHAnsi" w:hAnsiTheme="majorHAnsi" w:cstheme="majorHAnsi"/>
              <w:noProof/>
            </w:rPr>
          </w:pPr>
          <w:hyperlink w:anchor="_Toc241565750" w:history="1">
            <w:r w:rsidRPr="00B95EB3">
              <w:rPr>
                <w:rStyle w:val="Hyperlink"/>
                <w:rFonts w:asciiTheme="majorHAnsi" w:hAnsiTheme="majorHAnsi" w:cstheme="majorHAnsi"/>
                <w:noProof/>
              </w:rPr>
              <w:t>4.5.3 Camera Observation and Decision Record</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EA1C00B" w14:textId="77777777" w:rsidR="00B95EB3" w:rsidRPr="00B95EB3" w:rsidRDefault="00B95EB3">
          <w:pPr>
            <w:pStyle w:val="TOC3"/>
            <w:tabs>
              <w:tab w:val="right" w:leader="dot" w:pos="9016"/>
            </w:tabs>
            <w:rPr>
              <w:rFonts w:asciiTheme="majorHAnsi" w:hAnsiTheme="majorHAnsi" w:cstheme="majorHAnsi"/>
              <w:noProof/>
            </w:rPr>
          </w:pPr>
          <w:hyperlink w:anchor="_Toc241565751" w:history="1">
            <w:r w:rsidRPr="00B95EB3">
              <w:rPr>
                <w:rStyle w:val="Hyperlink"/>
                <w:rFonts w:asciiTheme="majorHAnsi" w:hAnsiTheme="majorHAnsi" w:cstheme="majorHAnsi"/>
                <w:noProof/>
              </w:rPr>
              <w:t>4.5.4 Field Run Records and Completion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E5131AC" w14:textId="77777777" w:rsidR="00B95EB3" w:rsidRPr="00B95EB3" w:rsidRDefault="00B95EB3">
          <w:pPr>
            <w:pStyle w:val="TOC3"/>
            <w:tabs>
              <w:tab w:val="right" w:leader="dot" w:pos="9016"/>
            </w:tabs>
            <w:rPr>
              <w:rFonts w:asciiTheme="majorHAnsi" w:hAnsiTheme="majorHAnsi" w:cstheme="majorHAnsi"/>
              <w:noProof/>
            </w:rPr>
          </w:pPr>
          <w:hyperlink w:anchor="_Toc241565752" w:history="1">
            <w:r w:rsidRPr="00B95EB3">
              <w:rPr>
                <w:rStyle w:val="Hyperlink"/>
                <w:rFonts w:asciiTheme="majorHAnsi" w:hAnsiTheme="majorHAnsi" w:cstheme="majorHAnsi"/>
                <w:noProof/>
              </w:rPr>
              <w:t>4.5.5 Record Design for the Field Experiment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BEB7EDB" w14:textId="77777777" w:rsidR="00B95EB3" w:rsidRPr="00B95EB3" w:rsidRDefault="00B95EB3">
          <w:pPr>
            <w:pStyle w:val="TOC3"/>
            <w:tabs>
              <w:tab w:val="right" w:leader="dot" w:pos="9016"/>
            </w:tabs>
            <w:rPr>
              <w:rFonts w:asciiTheme="majorHAnsi" w:hAnsiTheme="majorHAnsi" w:cstheme="majorHAnsi"/>
              <w:noProof/>
            </w:rPr>
          </w:pPr>
          <w:hyperlink w:anchor="_Toc241565753" w:history="1">
            <w:r w:rsidRPr="00B95EB3">
              <w:rPr>
                <w:rStyle w:val="Hyperlink"/>
                <w:rFonts w:asciiTheme="majorHAnsi" w:hAnsiTheme="majorHAnsi" w:cstheme="majorHAnsi"/>
                <w:noProof/>
              </w:rPr>
              <w:t>4.5.6 Server Processing During the Field Run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46E7CA3" w14:textId="77777777" w:rsidR="00B95EB3" w:rsidRPr="00B95EB3" w:rsidRDefault="00B95EB3">
          <w:pPr>
            <w:pStyle w:val="TOC3"/>
            <w:tabs>
              <w:tab w:val="right" w:leader="dot" w:pos="9016"/>
            </w:tabs>
            <w:rPr>
              <w:rFonts w:asciiTheme="majorHAnsi" w:hAnsiTheme="majorHAnsi" w:cstheme="majorHAnsi"/>
              <w:noProof/>
            </w:rPr>
          </w:pPr>
          <w:hyperlink w:anchor="_Toc241565754" w:history="1">
            <w:r w:rsidRPr="00B95EB3">
              <w:rPr>
                <w:rStyle w:val="Hyperlink"/>
                <w:rFonts w:asciiTheme="majorHAnsi" w:hAnsiTheme="majorHAnsi" w:cstheme="majorHAnsi"/>
                <w:noProof/>
              </w:rPr>
              <w:t>4.5.7 Mobile Presentation During the Field Run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DB05454" w14:textId="77777777" w:rsidR="00B95EB3" w:rsidRPr="00B95EB3" w:rsidRDefault="00B95EB3">
          <w:pPr>
            <w:pStyle w:val="TOC2"/>
            <w:tabs>
              <w:tab w:val="right" w:leader="dot" w:pos="9016"/>
            </w:tabs>
            <w:rPr>
              <w:rFonts w:asciiTheme="majorHAnsi" w:hAnsiTheme="majorHAnsi" w:cstheme="majorHAnsi"/>
              <w:noProof/>
            </w:rPr>
          </w:pPr>
          <w:hyperlink w:anchor="_Toc241565755" w:history="1">
            <w:r w:rsidRPr="00B95EB3">
              <w:rPr>
                <w:rStyle w:val="Hyperlink"/>
                <w:rFonts w:asciiTheme="majorHAnsi" w:hAnsiTheme="majorHAnsi" w:cstheme="majorHAnsi"/>
                <w:noProof/>
              </w:rPr>
              <w:t>4.6 Tier 3: Full System Tests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09FEF8F" w14:textId="77777777" w:rsidR="00B95EB3" w:rsidRPr="00B95EB3" w:rsidRDefault="00B95EB3">
          <w:pPr>
            <w:pStyle w:val="TOC3"/>
            <w:tabs>
              <w:tab w:val="right" w:leader="dot" w:pos="9016"/>
            </w:tabs>
            <w:rPr>
              <w:rFonts w:asciiTheme="majorHAnsi" w:hAnsiTheme="majorHAnsi" w:cstheme="majorHAnsi"/>
              <w:noProof/>
            </w:rPr>
          </w:pPr>
          <w:hyperlink w:anchor="_Toc241565756" w:history="1">
            <w:r w:rsidRPr="00B95EB3">
              <w:rPr>
                <w:rStyle w:val="Hyperlink"/>
                <w:rFonts w:asciiTheme="majorHAnsi" w:hAnsiTheme="majorHAnsi" w:cstheme="majorHAnsi"/>
                <w:noProof/>
              </w:rPr>
              <w:t>4.6.1 Indoor Endurance Session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2B62101" w14:textId="77777777" w:rsidR="00B95EB3" w:rsidRPr="00B95EB3" w:rsidRDefault="00B95EB3">
          <w:pPr>
            <w:pStyle w:val="TOC3"/>
            <w:tabs>
              <w:tab w:val="right" w:leader="dot" w:pos="9016"/>
            </w:tabs>
            <w:rPr>
              <w:rFonts w:asciiTheme="majorHAnsi" w:hAnsiTheme="majorHAnsi" w:cstheme="majorHAnsi"/>
              <w:noProof/>
            </w:rPr>
          </w:pPr>
          <w:hyperlink w:anchor="_Toc241565757" w:history="1">
            <w:r w:rsidRPr="00B95EB3">
              <w:rPr>
                <w:rStyle w:val="Hyperlink"/>
                <w:rFonts w:asciiTheme="majorHAnsi" w:hAnsiTheme="majorHAnsi" w:cstheme="majorHAnsi"/>
                <w:noProof/>
              </w:rPr>
              <w:t>4.6.2 Outdoor Integration Session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01D1E52" w14:textId="77777777" w:rsidR="00B95EB3" w:rsidRPr="00B95EB3" w:rsidRDefault="00B95EB3">
          <w:pPr>
            <w:pStyle w:val="TOC2"/>
            <w:tabs>
              <w:tab w:val="right" w:leader="dot" w:pos="9016"/>
            </w:tabs>
            <w:rPr>
              <w:rFonts w:asciiTheme="majorHAnsi" w:hAnsiTheme="majorHAnsi" w:cstheme="majorHAnsi"/>
              <w:noProof/>
            </w:rPr>
          </w:pPr>
          <w:hyperlink w:anchor="_Toc241565758" w:history="1">
            <w:r w:rsidRPr="00B95EB3">
              <w:rPr>
                <w:rStyle w:val="Hyperlink"/>
                <w:rFonts w:asciiTheme="majorHAnsi" w:hAnsiTheme="majorHAnsi" w:cstheme="majorHAnsi"/>
                <w:noProof/>
              </w:rPr>
              <w:t>4.7 Data Capture and Reporting Format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8210C7B" w14:textId="77777777" w:rsidR="00B95EB3" w:rsidRPr="00B95EB3" w:rsidRDefault="00B95EB3">
          <w:pPr>
            <w:pStyle w:val="TOC2"/>
            <w:tabs>
              <w:tab w:val="right" w:leader="dot" w:pos="9016"/>
            </w:tabs>
            <w:rPr>
              <w:rFonts w:asciiTheme="majorHAnsi" w:hAnsiTheme="majorHAnsi" w:cstheme="majorHAnsi"/>
              <w:noProof/>
            </w:rPr>
          </w:pPr>
          <w:hyperlink w:anchor="_Toc241565759" w:history="1">
            <w:r w:rsidRPr="00B95EB3">
              <w:rPr>
                <w:rStyle w:val="Hyperlink"/>
                <w:rFonts w:asciiTheme="majorHAnsi" w:hAnsiTheme="majorHAnsi" w:cstheme="majorHAnsi"/>
                <w:noProof/>
              </w:rPr>
              <w:t>4.8 Iterative Development and Change Control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_Toc241565759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6E8723E" w14:textId="77777777" w:rsidR="00B95EB3" w:rsidRPr="00B95EB3" w:rsidRDefault="00B95EB3">
          <w:pPr>
            <w:pStyle w:val="TOC2"/>
            <w:tabs>
              <w:tab w:val="right" w:leader="dot" w:pos="9016"/>
            </w:tabs>
            <w:rPr>
              <w:rFonts w:asciiTheme="majorHAnsi" w:hAnsiTheme="majorHAnsi" w:cstheme="majorHAnsi"/>
              <w:noProof/>
            </w:rPr>
          </w:pPr>
          <w:hyperlink w:anchor="_Toc241565760" w:history="1">
            <w:r w:rsidRPr="00B95EB3">
              <w:rPr>
                <w:rStyle w:val="Hyperlink"/>
                <w:rFonts w:asciiTheme="majorHAnsi" w:hAnsiTheme="majorHAnsi" w:cstheme="majorHAnsi"/>
                <w:noProof/>
              </w:rPr>
              <w:t>4.9 Test Risks and Mitigations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E73B121" w14:textId="77777777" w:rsidR="00B95EB3" w:rsidRPr="00B95EB3" w:rsidRDefault="00B95EB3">
          <w:pPr>
            <w:pStyle w:val="TOC1"/>
            <w:tabs>
              <w:tab w:val="right" w:leader="dot" w:pos="9016"/>
            </w:tabs>
            <w:rPr>
              <w:rFonts w:asciiTheme="majorHAnsi" w:hAnsiTheme="majorHAnsi" w:cstheme="majorHAnsi"/>
              <w:noProof/>
            </w:rPr>
          </w:pPr>
          <w:hyperlink w:anchor="_Toc241565761" w:history="1">
            <w:r w:rsidRPr="00B95EB3">
              <w:rPr>
                <w:rStyle w:val="Hyperlink"/>
                <w:rFonts w:asciiTheme="majorHAnsi" w:hAnsiTheme="majorHAnsi" w:cstheme="majorHAnsi"/>
                <w:noProof/>
              </w:rPr>
              <w:t>Chapter 5: Software Implementation and Verification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75F1B86" w14:textId="77777777" w:rsidR="00B95EB3" w:rsidRPr="00B95EB3" w:rsidRDefault="00B95EB3">
          <w:pPr>
            <w:pStyle w:val="TOC2"/>
            <w:tabs>
              <w:tab w:val="right" w:leader="dot" w:pos="9016"/>
            </w:tabs>
            <w:rPr>
              <w:rFonts w:asciiTheme="majorHAnsi" w:hAnsiTheme="majorHAnsi" w:cstheme="majorHAnsi"/>
              <w:noProof/>
            </w:rPr>
          </w:pPr>
          <w:hyperlink w:anchor="_Toc241565762" w:history="1">
            <w:r w:rsidRPr="00B95EB3">
              <w:rPr>
                <w:rStyle w:val="Hyperlink"/>
                <w:rFonts w:asciiTheme="majorHAnsi" w:hAnsiTheme="majorHAnsi" w:cstheme="majorHAnsi"/>
                <w:noProof/>
              </w:rPr>
              <w:t>5.1 Repository and Development Approach</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6AFCA09" w14:textId="77777777" w:rsidR="00B95EB3" w:rsidRPr="00B95EB3" w:rsidRDefault="00B95EB3">
          <w:pPr>
            <w:pStyle w:val="TOC2"/>
            <w:tabs>
              <w:tab w:val="right" w:leader="dot" w:pos="9016"/>
            </w:tabs>
            <w:rPr>
              <w:rFonts w:asciiTheme="majorHAnsi" w:hAnsiTheme="majorHAnsi" w:cstheme="majorHAnsi"/>
              <w:noProof/>
            </w:rPr>
          </w:pPr>
          <w:hyperlink w:anchor="_Toc241565763" w:history="1">
            <w:r w:rsidRPr="00B95EB3">
              <w:rPr>
                <w:rStyle w:val="Hyperlink"/>
                <w:rFonts w:asciiTheme="majorHAnsi" w:hAnsiTheme="majorHAnsi" w:cstheme="majorHAnsi"/>
                <w:noProof/>
              </w:rPr>
              <w:t>5.2 Sensor Node Firmware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0E67364" w14:textId="77777777" w:rsidR="00B95EB3" w:rsidRPr="00B95EB3" w:rsidRDefault="00B95EB3">
          <w:pPr>
            <w:pStyle w:val="TOC3"/>
            <w:tabs>
              <w:tab w:val="right" w:leader="dot" w:pos="9016"/>
            </w:tabs>
            <w:rPr>
              <w:rFonts w:asciiTheme="majorHAnsi" w:hAnsiTheme="majorHAnsi" w:cstheme="majorHAnsi"/>
              <w:noProof/>
            </w:rPr>
          </w:pPr>
          <w:hyperlink w:anchor="_Toc241565764" w:history="1">
            <w:r w:rsidRPr="00B95EB3">
              <w:rPr>
                <w:rStyle w:val="Hyperlink"/>
                <w:rFonts w:asciiTheme="majorHAnsi" w:hAnsiTheme="majorHAnsi" w:cstheme="majorHAnsi"/>
                <w:noProof/>
              </w:rPr>
              <w:t>5.2.1 Structure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3E59F0A" w14:textId="77777777" w:rsidR="00B95EB3" w:rsidRPr="00B95EB3" w:rsidRDefault="00B95EB3">
          <w:pPr>
            <w:pStyle w:val="TOC3"/>
            <w:tabs>
              <w:tab w:val="right" w:leader="dot" w:pos="9016"/>
            </w:tabs>
            <w:rPr>
              <w:rFonts w:asciiTheme="majorHAnsi" w:hAnsiTheme="majorHAnsi" w:cstheme="majorHAnsi"/>
              <w:noProof/>
            </w:rPr>
          </w:pPr>
          <w:hyperlink w:anchor="_Toc241565765" w:history="1">
            <w:r w:rsidRPr="00B95EB3">
              <w:rPr>
                <w:rStyle w:val="Hyperlink"/>
                <w:rFonts w:asciiTheme="majorHAnsi" w:hAnsiTheme="majorHAnsi" w:cstheme="majorHAnsi"/>
                <w:noProof/>
              </w:rPr>
              <w:t>5.2.2 Changes Made in the Refactor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B13290E" w14:textId="77777777" w:rsidR="00B95EB3" w:rsidRPr="00B95EB3" w:rsidRDefault="00B95EB3">
          <w:pPr>
            <w:pStyle w:val="TOC3"/>
            <w:tabs>
              <w:tab w:val="right" w:leader="dot" w:pos="9016"/>
            </w:tabs>
            <w:rPr>
              <w:rFonts w:asciiTheme="majorHAnsi" w:hAnsiTheme="majorHAnsi" w:cstheme="majorHAnsi"/>
              <w:noProof/>
            </w:rPr>
          </w:pPr>
          <w:hyperlink w:anchor="_Toc241565766" w:history="1">
            <w:r w:rsidRPr="00B95EB3">
              <w:rPr>
                <w:rStyle w:val="Hyperlink"/>
                <w:rFonts w:asciiTheme="majorHAnsi" w:hAnsiTheme="majorHAnsi" w:cstheme="majorHAnsi"/>
                <w:noProof/>
              </w:rPr>
              <w:t>5.2.3 Verification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91B09E7" w14:textId="77777777" w:rsidR="00B95EB3" w:rsidRPr="00B95EB3" w:rsidRDefault="00B95EB3">
          <w:pPr>
            <w:pStyle w:val="TOC2"/>
            <w:tabs>
              <w:tab w:val="right" w:leader="dot" w:pos="9016"/>
            </w:tabs>
            <w:rPr>
              <w:rFonts w:asciiTheme="majorHAnsi" w:hAnsiTheme="majorHAnsi" w:cstheme="majorHAnsi"/>
              <w:noProof/>
            </w:rPr>
          </w:pPr>
          <w:hyperlink w:anchor="_Toc241565767" w:history="1">
            <w:r w:rsidRPr="00B95EB3">
              <w:rPr>
                <w:rStyle w:val="Hyperlink"/>
                <w:rFonts w:asciiTheme="majorHAnsi" w:hAnsiTheme="majorHAnsi" w:cstheme="majorHAnsi"/>
                <w:noProof/>
              </w:rPr>
              <w:t>5.3 Camera Firmware and Analysis Service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D57BAAA" w14:textId="77777777" w:rsidR="00B95EB3" w:rsidRPr="00B95EB3" w:rsidRDefault="00B95EB3">
          <w:pPr>
            <w:pStyle w:val="TOC3"/>
            <w:tabs>
              <w:tab w:val="right" w:leader="dot" w:pos="9016"/>
            </w:tabs>
            <w:rPr>
              <w:rFonts w:asciiTheme="majorHAnsi" w:hAnsiTheme="majorHAnsi" w:cstheme="majorHAnsi"/>
              <w:noProof/>
            </w:rPr>
          </w:pPr>
          <w:hyperlink w:anchor="_Toc241565768" w:history="1">
            <w:r w:rsidRPr="00B95EB3">
              <w:rPr>
                <w:rStyle w:val="Hyperlink"/>
                <w:rFonts w:asciiTheme="majorHAnsi" w:hAnsiTheme="majorHAnsi" w:cstheme="majorHAnsi"/>
                <w:noProof/>
              </w:rPr>
              <w:t>5.3.1 Camera Firmware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9A0B3C4" w14:textId="77777777" w:rsidR="00B95EB3" w:rsidRPr="00B95EB3" w:rsidRDefault="00B95EB3">
          <w:pPr>
            <w:pStyle w:val="TOC3"/>
            <w:tabs>
              <w:tab w:val="right" w:leader="dot" w:pos="9016"/>
            </w:tabs>
            <w:rPr>
              <w:rFonts w:asciiTheme="majorHAnsi" w:hAnsiTheme="majorHAnsi" w:cstheme="majorHAnsi"/>
              <w:noProof/>
            </w:rPr>
          </w:pPr>
          <w:hyperlink w:anchor="_Toc241565769" w:history="1">
            <w:r w:rsidRPr="00B95EB3">
              <w:rPr>
                <w:rStyle w:val="Hyperlink"/>
                <w:rFonts w:asciiTheme="majorHAnsi" w:hAnsiTheme="majorHAnsi" w:cstheme="majorHAnsi"/>
                <w:noProof/>
              </w:rPr>
              <w:t>5.3.2 Corrections to the State Machine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_Toc241565769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51D6642" w14:textId="77777777" w:rsidR="00B95EB3" w:rsidRPr="00B95EB3" w:rsidRDefault="00B95EB3">
          <w:pPr>
            <w:pStyle w:val="TOC3"/>
            <w:tabs>
              <w:tab w:val="right" w:leader="dot" w:pos="9016"/>
            </w:tabs>
            <w:rPr>
              <w:rFonts w:asciiTheme="majorHAnsi" w:hAnsiTheme="majorHAnsi" w:cstheme="majorHAnsi"/>
              <w:noProof/>
            </w:rPr>
          </w:pPr>
          <w:hyperlink w:anchor="_Toc241565770" w:history="1">
            <w:r w:rsidRPr="00B95EB3">
              <w:rPr>
                <w:rStyle w:val="Hyperlink"/>
                <w:rFonts w:asciiTheme="majorHAnsi" w:hAnsiTheme="majorHAnsi" w:cstheme="majorHAnsi"/>
                <w:noProof/>
              </w:rPr>
              <w:t>5.3.3 Verification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3E8B5C9" w14:textId="77777777" w:rsidR="00B95EB3" w:rsidRPr="00B95EB3" w:rsidRDefault="00B95EB3">
          <w:pPr>
            <w:pStyle w:val="TOC2"/>
            <w:tabs>
              <w:tab w:val="right" w:leader="dot" w:pos="9016"/>
            </w:tabs>
            <w:rPr>
              <w:rFonts w:asciiTheme="majorHAnsi" w:hAnsiTheme="majorHAnsi" w:cstheme="majorHAnsi"/>
              <w:noProof/>
            </w:rPr>
          </w:pPr>
          <w:hyperlink w:anchor="_Toc241565771" w:history="1">
            <w:r w:rsidRPr="00B95EB3">
              <w:rPr>
                <w:rStyle w:val="Hyperlink"/>
                <w:rFonts w:asciiTheme="majorHAnsi" w:hAnsiTheme="majorHAnsi" w:cstheme="majorHAnsi"/>
                <w:noProof/>
              </w:rPr>
              <w:t>5.4 Digital Twin Service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192C89F" w14:textId="77777777" w:rsidR="00B95EB3" w:rsidRPr="00B95EB3" w:rsidRDefault="00B95EB3">
          <w:pPr>
            <w:pStyle w:val="TOC3"/>
            <w:tabs>
              <w:tab w:val="right" w:leader="dot" w:pos="9016"/>
            </w:tabs>
            <w:rPr>
              <w:rFonts w:asciiTheme="majorHAnsi" w:hAnsiTheme="majorHAnsi" w:cstheme="majorHAnsi"/>
              <w:noProof/>
            </w:rPr>
          </w:pPr>
          <w:hyperlink w:anchor="_Toc241565772" w:history="1">
            <w:r w:rsidRPr="00B95EB3">
              <w:rPr>
                <w:rStyle w:val="Hyperlink"/>
                <w:rFonts w:asciiTheme="majorHAnsi" w:hAnsiTheme="majorHAnsi" w:cstheme="majorHAnsi"/>
                <w:noProof/>
              </w:rPr>
              <w:t>5.4.1 From Client-Side Rules to a Server Model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727451E" w14:textId="77777777" w:rsidR="00B95EB3" w:rsidRPr="00B95EB3" w:rsidRDefault="00B95EB3">
          <w:pPr>
            <w:pStyle w:val="TOC3"/>
            <w:tabs>
              <w:tab w:val="right" w:leader="dot" w:pos="9016"/>
            </w:tabs>
            <w:rPr>
              <w:rFonts w:asciiTheme="majorHAnsi" w:hAnsiTheme="majorHAnsi" w:cstheme="majorHAnsi"/>
              <w:noProof/>
            </w:rPr>
          </w:pPr>
          <w:hyperlink w:anchor="_Toc241565773" w:history="1">
            <w:r w:rsidRPr="00B95EB3">
              <w:rPr>
                <w:rStyle w:val="Hyperlink"/>
                <w:rFonts w:asciiTheme="majorHAnsi" w:hAnsiTheme="majorHAnsi" w:cstheme="majorHAnsi"/>
                <w:noProof/>
              </w:rPr>
              <w:t>5.4.2 Validation Gate</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8936311" w14:textId="77777777" w:rsidR="00B95EB3" w:rsidRPr="00B95EB3" w:rsidRDefault="00B95EB3">
          <w:pPr>
            <w:pStyle w:val="TOC3"/>
            <w:tabs>
              <w:tab w:val="right" w:leader="dot" w:pos="9016"/>
            </w:tabs>
            <w:rPr>
              <w:rFonts w:asciiTheme="majorHAnsi" w:hAnsiTheme="majorHAnsi" w:cstheme="majorHAnsi"/>
              <w:noProof/>
            </w:rPr>
          </w:pPr>
          <w:hyperlink w:anchor="_Toc241565774" w:history="1">
            <w:r w:rsidRPr="00B95EB3">
              <w:rPr>
                <w:rStyle w:val="Hyperlink"/>
                <w:rFonts w:asciiTheme="majorHAnsi" w:hAnsiTheme="majorHAnsi" w:cstheme="majorHAnsi"/>
                <w:noProof/>
              </w:rPr>
              <w:t>5.4.3 One Aggregate, One Lock, One Snapshot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94C74D7" w14:textId="77777777" w:rsidR="00B95EB3" w:rsidRPr="00B95EB3" w:rsidRDefault="00B95EB3">
          <w:pPr>
            <w:pStyle w:val="TOC3"/>
            <w:tabs>
              <w:tab w:val="right" w:leader="dot" w:pos="9016"/>
            </w:tabs>
            <w:rPr>
              <w:rFonts w:asciiTheme="majorHAnsi" w:hAnsiTheme="majorHAnsi" w:cstheme="majorHAnsi"/>
              <w:noProof/>
            </w:rPr>
          </w:pPr>
          <w:hyperlink w:anchor="_Toc241565775" w:history="1">
            <w:r w:rsidRPr="00B95EB3">
              <w:rPr>
                <w:rStyle w:val="Hyperlink"/>
                <w:rFonts w:asciiTheme="majorHAnsi" w:hAnsiTheme="majorHAnsi" w:cstheme="majorHAnsi"/>
                <w:noProof/>
              </w:rPr>
              <w:t>5.4.4 Forward Projection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52B4B14" w14:textId="77777777" w:rsidR="00B95EB3" w:rsidRPr="00B95EB3" w:rsidRDefault="00B95EB3">
          <w:pPr>
            <w:pStyle w:val="TOC3"/>
            <w:tabs>
              <w:tab w:val="right" w:leader="dot" w:pos="9016"/>
            </w:tabs>
            <w:rPr>
              <w:rFonts w:asciiTheme="majorHAnsi" w:hAnsiTheme="majorHAnsi" w:cstheme="majorHAnsi"/>
              <w:noProof/>
            </w:rPr>
          </w:pPr>
          <w:hyperlink w:anchor="_Toc241565776" w:history="1">
            <w:r w:rsidRPr="00B95EB3">
              <w:rPr>
                <w:rStyle w:val="Hyperlink"/>
                <w:rFonts w:asciiTheme="majorHAnsi" w:hAnsiTheme="majorHAnsi" w:cstheme="majorHAnsi"/>
                <w:noProof/>
              </w:rPr>
              <w:t>5.4.5 Grounding the Algae Model</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8EBF21E" w14:textId="77777777" w:rsidR="00B95EB3" w:rsidRPr="00B95EB3" w:rsidRDefault="00B95EB3">
          <w:pPr>
            <w:pStyle w:val="TOC3"/>
            <w:tabs>
              <w:tab w:val="right" w:leader="dot" w:pos="9016"/>
            </w:tabs>
            <w:rPr>
              <w:rFonts w:asciiTheme="majorHAnsi" w:hAnsiTheme="majorHAnsi" w:cstheme="majorHAnsi"/>
              <w:noProof/>
            </w:rPr>
          </w:pPr>
          <w:hyperlink w:anchor="_Toc241565777" w:history="1">
            <w:r w:rsidRPr="00B95EB3">
              <w:rPr>
                <w:rStyle w:val="Hyperlink"/>
                <w:rFonts w:asciiTheme="majorHAnsi" w:hAnsiTheme="majorHAnsi" w:cstheme="majorHAnsi"/>
                <w:noProof/>
              </w:rPr>
              <w:t>5.4.6 Faults Found and Fixed in the Refactor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EB4370C" w14:textId="77777777" w:rsidR="00B95EB3" w:rsidRPr="00B95EB3" w:rsidRDefault="00B95EB3">
          <w:pPr>
            <w:pStyle w:val="TOC2"/>
            <w:tabs>
              <w:tab w:val="right" w:leader="dot" w:pos="9016"/>
            </w:tabs>
            <w:rPr>
              <w:rFonts w:asciiTheme="majorHAnsi" w:hAnsiTheme="majorHAnsi" w:cstheme="majorHAnsi"/>
              <w:noProof/>
            </w:rPr>
          </w:pPr>
          <w:hyperlink w:anchor="_Toc241565778" w:history="1">
            <w:r w:rsidRPr="00B95EB3">
              <w:rPr>
                <w:rStyle w:val="Hyperlink"/>
                <w:rFonts w:asciiTheme="majorHAnsi" w:hAnsiTheme="majorHAnsi" w:cstheme="majorHAnsi"/>
                <w:noProof/>
              </w:rPr>
              <w:t>5.5 Data Pipeline and the Server–Client Contract</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2B0B281" w14:textId="77777777" w:rsidR="00B95EB3" w:rsidRPr="00B95EB3" w:rsidRDefault="00B95EB3">
          <w:pPr>
            <w:pStyle w:val="TOC2"/>
            <w:tabs>
              <w:tab w:val="right" w:leader="dot" w:pos="9016"/>
            </w:tabs>
            <w:rPr>
              <w:rFonts w:asciiTheme="majorHAnsi" w:hAnsiTheme="majorHAnsi" w:cstheme="majorHAnsi"/>
              <w:noProof/>
            </w:rPr>
          </w:pPr>
          <w:hyperlink w:anchor="_Toc241565779" w:history="1">
            <w:r w:rsidRPr="00B95EB3">
              <w:rPr>
                <w:rStyle w:val="Hyperlink"/>
                <w:rFonts w:asciiTheme="majorHAnsi" w:hAnsiTheme="majorHAnsi" w:cstheme="majorHAnsi"/>
                <w:noProof/>
              </w:rPr>
              <w:t>5.6 Mobile Application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_Toc241565779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FBCF552" w14:textId="77777777" w:rsidR="00B95EB3" w:rsidRPr="00B95EB3" w:rsidRDefault="00B95EB3">
          <w:pPr>
            <w:pStyle w:val="TOC3"/>
            <w:tabs>
              <w:tab w:val="right" w:leader="dot" w:pos="9016"/>
            </w:tabs>
            <w:rPr>
              <w:rFonts w:asciiTheme="majorHAnsi" w:hAnsiTheme="majorHAnsi" w:cstheme="majorHAnsi"/>
              <w:noProof/>
            </w:rPr>
          </w:pPr>
          <w:hyperlink w:anchor="_Toc241565780" w:history="1">
            <w:r w:rsidRPr="00B95EB3">
              <w:rPr>
                <w:rStyle w:val="Hyperlink"/>
                <w:rFonts w:asciiTheme="majorHAnsi" w:hAnsiTheme="majorHAnsi" w:cstheme="majorHAnsi"/>
                <w:noProof/>
              </w:rPr>
              <w:t>5.6.1 Screens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F1C51BD" w14:textId="77777777" w:rsidR="00B95EB3" w:rsidRPr="00B95EB3" w:rsidRDefault="00B95EB3">
          <w:pPr>
            <w:pStyle w:val="TOC3"/>
            <w:tabs>
              <w:tab w:val="right" w:leader="dot" w:pos="9016"/>
            </w:tabs>
            <w:rPr>
              <w:rFonts w:asciiTheme="majorHAnsi" w:hAnsiTheme="majorHAnsi" w:cstheme="majorHAnsi"/>
              <w:noProof/>
            </w:rPr>
          </w:pPr>
          <w:hyperlink w:anchor="_Toc241565781" w:history="1">
            <w:r w:rsidRPr="00B95EB3">
              <w:rPr>
                <w:rStyle w:val="Hyperlink"/>
                <w:rFonts w:asciiTheme="majorHAnsi" w:hAnsiTheme="majorHAnsi" w:cstheme="majorHAnsi"/>
                <w:noProof/>
              </w:rPr>
              <w:t>5.6.2 Changes Made in the Refactor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C787861" w14:textId="77777777" w:rsidR="00B95EB3" w:rsidRPr="00B95EB3" w:rsidRDefault="00B95EB3">
          <w:pPr>
            <w:pStyle w:val="TOC3"/>
            <w:tabs>
              <w:tab w:val="right" w:leader="dot" w:pos="9016"/>
            </w:tabs>
            <w:rPr>
              <w:rFonts w:asciiTheme="majorHAnsi" w:hAnsiTheme="majorHAnsi" w:cstheme="majorHAnsi"/>
              <w:noProof/>
            </w:rPr>
          </w:pPr>
          <w:hyperlink w:anchor="_Toc241565782" w:history="1">
            <w:r w:rsidRPr="00B95EB3">
              <w:rPr>
                <w:rStyle w:val="Hyperlink"/>
                <w:rFonts w:asciiTheme="majorHAnsi" w:hAnsiTheme="majorHAnsi" w:cstheme="majorHAnsi"/>
                <w:noProof/>
              </w:rPr>
              <w:t>5.6.3 Verification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4AF0E55" w14:textId="77777777" w:rsidR="00B95EB3" w:rsidRPr="00B95EB3" w:rsidRDefault="00B95EB3">
          <w:pPr>
            <w:pStyle w:val="TOC2"/>
            <w:tabs>
              <w:tab w:val="right" w:leader="dot" w:pos="9016"/>
            </w:tabs>
            <w:rPr>
              <w:rFonts w:asciiTheme="majorHAnsi" w:hAnsiTheme="majorHAnsi" w:cstheme="majorHAnsi"/>
              <w:noProof/>
            </w:rPr>
          </w:pPr>
          <w:hyperlink w:anchor="_Toc241565783" w:history="1">
            <w:r w:rsidRPr="00B95EB3">
              <w:rPr>
                <w:rStyle w:val="Hyperlink"/>
                <w:rFonts w:asciiTheme="majorHAnsi" w:hAnsiTheme="majorHAnsi" w:cstheme="majorHAnsi"/>
                <w:noProof/>
              </w:rPr>
              <w:t>5.7 Verification Summary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AC5BEB4" w14:textId="77777777" w:rsidR="00B95EB3" w:rsidRPr="00B95EB3" w:rsidRDefault="00B95EB3">
          <w:pPr>
            <w:pStyle w:val="TOC2"/>
            <w:tabs>
              <w:tab w:val="right" w:leader="dot" w:pos="9016"/>
            </w:tabs>
            <w:rPr>
              <w:rFonts w:asciiTheme="majorHAnsi" w:hAnsiTheme="majorHAnsi" w:cstheme="majorHAnsi"/>
              <w:noProof/>
            </w:rPr>
          </w:pPr>
          <w:hyperlink w:anchor="_Toc241565784" w:history="1">
            <w:r w:rsidRPr="00B95EB3">
              <w:rPr>
                <w:rStyle w:val="Hyperlink"/>
                <w:rFonts w:asciiTheme="majorHAnsi" w:hAnsiTheme="majorHAnsi" w:cstheme="majorHAnsi"/>
                <w:noProof/>
              </w:rPr>
              <w:t>5.8 Known Limitations of the Implementation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F31C17A" w14:textId="77777777" w:rsidR="00B95EB3" w:rsidRPr="00B95EB3" w:rsidRDefault="00B95EB3">
          <w:pPr>
            <w:pStyle w:val="TOC1"/>
            <w:tabs>
              <w:tab w:val="right" w:leader="dot" w:pos="9016"/>
            </w:tabs>
            <w:rPr>
              <w:rFonts w:asciiTheme="majorHAnsi" w:hAnsiTheme="majorHAnsi" w:cstheme="majorHAnsi"/>
              <w:noProof/>
            </w:rPr>
          </w:pPr>
          <w:hyperlink w:anchor="_Toc241565785" w:history="1">
            <w:r w:rsidRPr="00B95EB3">
              <w:rPr>
                <w:rStyle w:val="Hyperlink"/>
                <w:rFonts w:asciiTheme="majorHAnsi" w:hAnsiTheme="majorHAnsi" w:cstheme="majorHAnsi"/>
                <w:noProof/>
              </w:rPr>
              <w:t>Chapter 6: Results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2D8471B" w14:textId="77777777" w:rsidR="00B95EB3" w:rsidRPr="00B95EB3" w:rsidRDefault="00B95EB3">
          <w:pPr>
            <w:pStyle w:val="TOC2"/>
            <w:tabs>
              <w:tab w:val="right" w:leader="dot" w:pos="9016"/>
            </w:tabs>
            <w:rPr>
              <w:rFonts w:asciiTheme="majorHAnsi" w:hAnsiTheme="majorHAnsi" w:cstheme="majorHAnsi"/>
              <w:noProof/>
            </w:rPr>
          </w:pPr>
          <w:hyperlink w:anchor="_Toc241565786" w:history="1">
            <w:r w:rsidRPr="00B95EB3">
              <w:rPr>
                <w:rStyle w:val="Hyperlink"/>
                <w:rFonts w:asciiTheme="majorHAnsi" w:hAnsiTheme="majorHAnsi" w:cstheme="majorHAnsi"/>
                <w:noProof/>
              </w:rPr>
              <w:t>6.1 Status of the Results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E2C8BDC" w14:textId="77777777" w:rsidR="00B95EB3" w:rsidRPr="00B95EB3" w:rsidRDefault="00B95EB3">
          <w:pPr>
            <w:pStyle w:val="TOC2"/>
            <w:tabs>
              <w:tab w:val="right" w:leader="dot" w:pos="9016"/>
            </w:tabs>
            <w:rPr>
              <w:rFonts w:asciiTheme="majorHAnsi" w:hAnsiTheme="majorHAnsi" w:cstheme="majorHAnsi"/>
              <w:noProof/>
            </w:rPr>
          </w:pPr>
          <w:hyperlink w:anchor="_Toc241565787" w:history="1">
            <w:r w:rsidRPr="00B95EB3">
              <w:rPr>
                <w:rStyle w:val="Hyperlink"/>
                <w:rFonts w:asciiTheme="majorHAnsi" w:hAnsiTheme="majorHAnsi" w:cstheme="majorHAnsi"/>
                <w:noProof/>
              </w:rPr>
              <w:t>6.2 Historical Analysis of NEA Forecasts and Observations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DFE4179" w14:textId="77777777" w:rsidR="00B95EB3" w:rsidRPr="00B95EB3" w:rsidRDefault="00B95EB3">
          <w:pPr>
            <w:pStyle w:val="TOC3"/>
            <w:tabs>
              <w:tab w:val="right" w:leader="dot" w:pos="9016"/>
            </w:tabs>
            <w:rPr>
              <w:rFonts w:asciiTheme="majorHAnsi" w:hAnsiTheme="majorHAnsi" w:cstheme="majorHAnsi"/>
              <w:noProof/>
            </w:rPr>
          </w:pPr>
          <w:hyperlink w:anchor="_Toc241565788" w:history="1">
            <w:r w:rsidRPr="00B95EB3">
              <w:rPr>
                <w:rStyle w:val="Hyperlink"/>
                <w:rFonts w:asciiTheme="majorHAnsi" w:hAnsiTheme="majorHAnsi" w:cstheme="majorHAnsi"/>
                <w:noProof/>
              </w:rPr>
              <w:t>6.2.1 Purpose and Data</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E22B4E4" w14:textId="77777777" w:rsidR="00B95EB3" w:rsidRPr="00B95EB3" w:rsidRDefault="00B95EB3">
          <w:pPr>
            <w:pStyle w:val="TOC3"/>
            <w:tabs>
              <w:tab w:val="right" w:leader="dot" w:pos="9016"/>
            </w:tabs>
            <w:rPr>
              <w:rFonts w:asciiTheme="majorHAnsi" w:hAnsiTheme="majorHAnsi" w:cstheme="majorHAnsi"/>
              <w:noProof/>
            </w:rPr>
          </w:pPr>
          <w:hyperlink w:anchor="_Toc241565789" w:history="1">
            <w:r w:rsidRPr="00B95EB3">
              <w:rPr>
                <w:rStyle w:val="Hyperlink"/>
                <w:rFonts w:asciiTheme="majorHAnsi" w:hAnsiTheme="majorHAnsi" w:cstheme="majorHAnsi"/>
                <w:noProof/>
              </w:rPr>
              <w:t>6.2.2 Rainfall Magnitude and Its Effect on a Pond</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_Toc241565789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4828B49" w14:textId="77777777" w:rsidR="00B95EB3" w:rsidRPr="00B95EB3" w:rsidRDefault="00B95EB3">
          <w:pPr>
            <w:pStyle w:val="TOC3"/>
            <w:tabs>
              <w:tab w:val="right" w:leader="dot" w:pos="9016"/>
            </w:tabs>
            <w:rPr>
              <w:rFonts w:asciiTheme="majorHAnsi" w:hAnsiTheme="majorHAnsi" w:cstheme="majorHAnsi"/>
              <w:noProof/>
            </w:rPr>
          </w:pPr>
          <w:hyperlink w:anchor="_Toc241565790" w:history="1">
            <w:r w:rsidRPr="00B95EB3">
              <w:rPr>
                <w:rStyle w:val="Hyperlink"/>
                <w:rFonts w:asciiTheme="majorHAnsi" w:hAnsiTheme="majorHAnsi" w:cstheme="majorHAnsi"/>
                <w:noProof/>
              </w:rPr>
              <w:t>6.2.3 Reliability of the Forecast Wording</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6F263E1E" w14:textId="77777777" w:rsidR="00B95EB3" w:rsidRPr="00B95EB3" w:rsidRDefault="00B95EB3">
          <w:pPr>
            <w:pStyle w:val="TOC3"/>
            <w:tabs>
              <w:tab w:val="right" w:leader="dot" w:pos="9016"/>
            </w:tabs>
            <w:rPr>
              <w:rFonts w:asciiTheme="majorHAnsi" w:hAnsiTheme="majorHAnsi" w:cstheme="majorHAnsi"/>
              <w:noProof/>
            </w:rPr>
          </w:pPr>
          <w:hyperlink w:anchor="_Toc241565791" w:history="1">
            <w:r w:rsidRPr="00B95EB3">
              <w:rPr>
                <w:rStyle w:val="Hyperlink"/>
                <w:rFonts w:asciiTheme="majorHAnsi" w:hAnsiTheme="majorHAnsi" w:cstheme="majorHAnsi"/>
                <w:noProof/>
              </w:rPr>
              <w:t>6.2.4 Advisory Rules on Held-Out Data</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929F37F" w14:textId="77777777" w:rsidR="00B95EB3" w:rsidRPr="00B95EB3" w:rsidRDefault="00B95EB3">
          <w:pPr>
            <w:pStyle w:val="TOC3"/>
            <w:tabs>
              <w:tab w:val="right" w:leader="dot" w:pos="9016"/>
            </w:tabs>
            <w:rPr>
              <w:rFonts w:asciiTheme="majorHAnsi" w:hAnsiTheme="majorHAnsi" w:cstheme="majorHAnsi"/>
              <w:noProof/>
            </w:rPr>
          </w:pPr>
          <w:hyperlink w:anchor="_Toc241565792" w:history="1">
            <w:r w:rsidRPr="00B95EB3">
              <w:rPr>
                <w:rStyle w:val="Hyperlink"/>
                <w:rFonts w:asciiTheme="majorHAnsi" w:hAnsiTheme="majorHAnsi" w:cstheme="majorHAnsi"/>
                <w:noProof/>
              </w:rPr>
              <w:t>6.2.5 Does the Outlook Add Skill over the Thermometer?</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96F0682" w14:textId="77777777" w:rsidR="00B95EB3" w:rsidRPr="00B95EB3" w:rsidRDefault="00B95EB3">
          <w:pPr>
            <w:pStyle w:val="TOC3"/>
            <w:tabs>
              <w:tab w:val="right" w:leader="dot" w:pos="9016"/>
            </w:tabs>
            <w:rPr>
              <w:rFonts w:asciiTheme="majorHAnsi" w:hAnsiTheme="majorHAnsi" w:cstheme="majorHAnsi"/>
              <w:noProof/>
            </w:rPr>
          </w:pPr>
          <w:hyperlink w:anchor="_Toc241565793" w:history="1">
            <w:r w:rsidRPr="00B95EB3">
              <w:rPr>
                <w:rStyle w:val="Hyperlink"/>
                <w:rFonts w:asciiTheme="majorHAnsi" w:hAnsiTheme="majorHAnsi" w:cstheme="majorHAnsi"/>
                <w:noProof/>
              </w:rPr>
              <w:t>6.2.6 Summary of the Historical Findings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3598BFB" w14:textId="77777777" w:rsidR="00B95EB3" w:rsidRPr="00B95EB3" w:rsidRDefault="00B95EB3">
          <w:pPr>
            <w:pStyle w:val="TOC2"/>
            <w:tabs>
              <w:tab w:val="right" w:leader="dot" w:pos="9016"/>
            </w:tabs>
            <w:rPr>
              <w:rFonts w:asciiTheme="majorHAnsi" w:hAnsiTheme="majorHAnsi" w:cstheme="majorHAnsi"/>
              <w:noProof/>
            </w:rPr>
          </w:pPr>
          <w:hyperlink w:anchor="_Toc241565794" w:history="1">
            <w:r w:rsidRPr="00B95EB3">
              <w:rPr>
                <w:rStyle w:val="Hyperlink"/>
                <w:rFonts w:asciiTheme="majorHAnsi" w:hAnsiTheme="majorHAnsi" w:cstheme="majorHAnsi"/>
                <w:noProof/>
              </w:rPr>
              <w:t>6.3 Software Verification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D5C0575" w14:textId="77777777" w:rsidR="00B95EB3" w:rsidRPr="00B95EB3" w:rsidRDefault="00B95EB3">
          <w:pPr>
            <w:pStyle w:val="TOC2"/>
            <w:tabs>
              <w:tab w:val="right" w:leader="dot" w:pos="9016"/>
            </w:tabs>
            <w:rPr>
              <w:rFonts w:asciiTheme="majorHAnsi" w:hAnsiTheme="majorHAnsi" w:cstheme="majorHAnsi"/>
              <w:noProof/>
            </w:rPr>
          </w:pPr>
          <w:hyperlink w:anchor="_Toc241565795" w:history="1">
            <w:r w:rsidRPr="00B95EB3">
              <w:rPr>
                <w:rStyle w:val="Hyperlink"/>
                <w:rFonts w:asciiTheme="majorHAnsi" w:hAnsiTheme="majorHAnsi" w:cstheme="majorHAnsi"/>
                <w:noProof/>
              </w:rPr>
              <w:t>6.4 Bench, Field and Full-System Results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E4A3B36" w14:textId="77777777" w:rsidR="00B95EB3" w:rsidRPr="00B95EB3" w:rsidRDefault="00B95EB3">
          <w:pPr>
            <w:pStyle w:val="TOC3"/>
            <w:tabs>
              <w:tab w:val="right" w:leader="dot" w:pos="9016"/>
            </w:tabs>
            <w:rPr>
              <w:rFonts w:asciiTheme="majorHAnsi" w:hAnsiTheme="majorHAnsi" w:cstheme="majorHAnsi"/>
              <w:noProof/>
            </w:rPr>
          </w:pPr>
          <w:hyperlink w:anchor="_Toc241565796" w:history="1">
            <w:r w:rsidRPr="00B95EB3">
              <w:rPr>
                <w:rStyle w:val="Hyperlink"/>
                <w:rFonts w:asciiTheme="majorHAnsi" w:hAnsiTheme="majorHAnsi" w:cstheme="majorHAnsi"/>
                <w:noProof/>
              </w:rPr>
              <w:t>6.4.1 Tier 1 Functional Results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70CE5B0F" w14:textId="77777777" w:rsidR="00B95EB3" w:rsidRPr="00B95EB3" w:rsidRDefault="00B95EB3">
          <w:pPr>
            <w:pStyle w:val="TOC3"/>
            <w:tabs>
              <w:tab w:val="right" w:leader="dot" w:pos="9016"/>
            </w:tabs>
            <w:rPr>
              <w:rFonts w:asciiTheme="majorHAnsi" w:hAnsiTheme="majorHAnsi" w:cstheme="majorHAnsi"/>
              <w:noProof/>
            </w:rPr>
          </w:pPr>
          <w:hyperlink w:anchor="_Toc241565797" w:history="1">
            <w:r w:rsidRPr="00B95EB3">
              <w:rPr>
                <w:rStyle w:val="Hyperlink"/>
                <w:rFonts w:asciiTheme="majorHAnsi" w:hAnsiTheme="majorHAnsi" w:cstheme="majorHAnsi"/>
                <w:noProof/>
              </w:rPr>
              <w:t>6.4.2 TDS Context-Log Viability</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_Toc241565797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3788437D" w14:textId="77777777" w:rsidR="00B95EB3" w:rsidRPr="00B95EB3" w:rsidRDefault="00B95EB3">
          <w:pPr>
            <w:pStyle w:val="TOC3"/>
            <w:tabs>
              <w:tab w:val="right" w:leader="dot" w:pos="9016"/>
            </w:tabs>
            <w:rPr>
              <w:rFonts w:asciiTheme="majorHAnsi" w:hAnsiTheme="majorHAnsi" w:cstheme="majorHAnsi"/>
              <w:noProof/>
            </w:rPr>
          </w:pPr>
          <w:hyperlink w:anchor="_Toc241565798" w:history="1">
            <w:r w:rsidRPr="00B95EB3">
              <w:rPr>
                <w:rStyle w:val="Hyperlink"/>
                <w:rFonts w:asciiTheme="majorHAnsi" w:hAnsiTheme="majorHAnsi" w:cstheme="majorHAnsi"/>
                <w:noProof/>
              </w:rPr>
              <w:t>6.4.3 Tier 2 Field Run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_Toc241565798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191E1C3" w14:textId="77777777" w:rsidR="00B95EB3" w:rsidRPr="00B95EB3" w:rsidRDefault="00B95EB3">
          <w:pPr>
            <w:pStyle w:val="TOC3"/>
            <w:tabs>
              <w:tab w:val="right" w:leader="dot" w:pos="9016"/>
            </w:tabs>
            <w:rPr>
              <w:rFonts w:asciiTheme="majorHAnsi" w:hAnsiTheme="majorHAnsi" w:cstheme="majorHAnsi"/>
              <w:noProof/>
            </w:rPr>
          </w:pPr>
          <w:hyperlink w:anchor="_Toc241565799" w:history="1">
            <w:r w:rsidRPr="00B95EB3">
              <w:rPr>
                <w:rStyle w:val="Hyperlink"/>
                <w:rFonts w:asciiTheme="majorHAnsi" w:hAnsiTheme="majorHAnsi" w:cstheme="majorHAnsi"/>
                <w:noProof/>
              </w:rPr>
              <w:t>6.4.4 Tier 3 Full-System Results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_Toc241565799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48EB707" w14:textId="77777777" w:rsidR="00B95EB3" w:rsidRPr="00B95EB3" w:rsidRDefault="00B95EB3">
          <w:pPr>
            <w:pStyle w:val="TOC1"/>
            <w:tabs>
              <w:tab w:val="right" w:leader="dot" w:pos="9016"/>
            </w:tabs>
            <w:rPr>
              <w:rFonts w:asciiTheme="majorHAnsi" w:hAnsiTheme="majorHAnsi" w:cstheme="majorHAnsi"/>
              <w:noProof/>
            </w:rPr>
          </w:pPr>
          <w:hyperlink w:anchor="_Toc241565800" w:history="1">
            <w:r w:rsidRPr="00B95EB3">
              <w:rPr>
                <w:rStyle w:val="Hyperlink"/>
                <w:rFonts w:asciiTheme="majorHAnsi" w:hAnsiTheme="majorHAnsi" w:cstheme="majorHAnsi"/>
                <w:noProof/>
              </w:rPr>
              <w:t>Chapter 7: Discussion and Conclusion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_Toc241565800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2106270" w14:textId="77777777" w:rsidR="00B95EB3" w:rsidRPr="00B95EB3" w:rsidRDefault="00B95EB3">
          <w:pPr>
            <w:pStyle w:val="TOC2"/>
            <w:tabs>
              <w:tab w:val="right" w:leader="dot" w:pos="9016"/>
            </w:tabs>
            <w:rPr>
              <w:rFonts w:asciiTheme="majorHAnsi" w:hAnsiTheme="majorHAnsi" w:cstheme="majorHAnsi"/>
              <w:noProof/>
            </w:rPr>
          </w:pPr>
          <w:hyperlink w:anchor="_Toc241565801" w:history="1">
            <w:r w:rsidRPr="00B95EB3">
              <w:rPr>
                <w:rStyle w:val="Hyperlink"/>
                <w:rFonts w:asciiTheme="majorHAnsi" w:hAnsiTheme="majorHAnsi" w:cstheme="majorHAnsi"/>
                <w:noProof/>
              </w:rPr>
              <w:t>7.1 Progress Against the Aims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_Toc241565801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99D07ED" w14:textId="77777777" w:rsidR="00B95EB3" w:rsidRPr="00B95EB3" w:rsidRDefault="00B95EB3">
          <w:pPr>
            <w:pStyle w:val="TOC2"/>
            <w:tabs>
              <w:tab w:val="right" w:leader="dot" w:pos="9016"/>
            </w:tabs>
            <w:rPr>
              <w:rFonts w:asciiTheme="majorHAnsi" w:hAnsiTheme="majorHAnsi" w:cstheme="majorHAnsi"/>
              <w:noProof/>
            </w:rPr>
          </w:pPr>
          <w:hyperlink w:anchor="_Toc241565802" w:history="1">
            <w:r w:rsidRPr="00B95EB3">
              <w:rPr>
                <w:rStyle w:val="Hyperlink"/>
                <w:rFonts w:asciiTheme="majorHAnsi" w:hAnsiTheme="majorHAnsi" w:cstheme="majorHAnsi"/>
                <w:noProof/>
              </w:rPr>
              <w:t>7.2 What the Historical Analysis Means for the Design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_Toc241565802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2845F381" w14:textId="77777777" w:rsidR="00B95EB3" w:rsidRPr="00B95EB3" w:rsidRDefault="00B95EB3">
          <w:pPr>
            <w:pStyle w:val="TOC2"/>
            <w:tabs>
              <w:tab w:val="right" w:leader="dot" w:pos="9016"/>
            </w:tabs>
            <w:rPr>
              <w:rFonts w:asciiTheme="majorHAnsi" w:hAnsiTheme="majorHAnsi" w:cstheme="majorHAnsi"/>
              <w:noProof/>
            </w:rPr>
          </w:pPr>
          <w:hyperlink w:anchor="_Toc241565803" w:history="1">
            <w:r w:rsidRPr="00B95EB3">
              <w:rPr>
                <w:rStyle w:val="Hyperlink"/>
                <w:rFonts w:asciiTheme="majorHAnsi" w:hAnsiTheme="majorHAnsi" w:cstheme="majorHAnsi"/>
                <w:noProof/>
              </w:rPr>
              <w:t>7.3 Limitations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_Toc241565803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1E9B75A1" w14:textId="77777777" w:rsidR="00B95EB3" w:rsidRPr="00B95EB3" w:rsidRDefault="00B95EB3">
          <w:pPr>
            <w:pStyle w:val="TOC2"/>
            <w:tabs>
              <w:tab w:val="right" w:leader="dot" w:pos="9016"/>
            </w:tabs>
            <w:rPr>
              <w:rFonts w:asciiTheme="majorHAnsi" w:hAnsiTheme="majorHAnsi" w:cstheme="majorHAnsi"/>
              <w:noProof/>
            </w:rPr>
          </w:pPr>
          <w:hyperlink w:anchor="_Toc241565804" w:history="1">
            <w:r w:rsidRPr="00B95EB3">
              <w:rPr>
                <w:rStyle w:val="Hyperlink"/>
                <w:rFonts w:asciiTheme="majorHAnsi" w:hAnsiTheme="majorHAnsi" w:cstheme="majorHAnsi"/>
                <w:noProof/>
              </w:rPr>
              <w:t>7.4 Future Work</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_Toc241565804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4CFC6C31" w14:textId="77777777" w:rsidR="00B95EB3" w:rsidRPr="00B95EB3" w:rsidRDefault="00B95EB3">
          <w:pPr>
            <w:pStyle w:val="TOC2"/>
            <w:tabs>
              <w:tab w:val="right" w:leader="dot" w:pos="9016"/>
            </w:tabs>
            <w:rPr>
              <w:rFonts w:asciiTheme="majorHAnsi" w:hAnsiTheme="majorHAnsi" w:cstheme="majorHAnsi"/>
              <w:noProof/>
            </w:rPr>
          </w:pPr>
          <w:hyperlink w:anchor="_Toc241565805" w:history="1">
            <w:r w:rsidRPr="00B95EB3">
              <w:rPr>
                <w:rStyle w:val="Hyperlink"/>
                <w:rFonts w:asciiTheme="majorHAnsi" w:hAnsiTheme="majorHAnsi" w:cstheme="majorHAnsi"/>
                <w:noProof/>
              </w:rPr>
              <w:t>7.5 Conclusion</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_Toc241565805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0ACF7151" w14:textId="77777777" w:rsidR="00B95EB3" w:rsidRPr="00B95EB3" w:rsidRDefault="00B95EB3">
          <w:pPr>
            <w:pStyle w:val="TOC1"/>
            <w:tabs>
              <w:tab w:val="right" w:leader="dot" w:pos="9016"/>
            </w:tabs>
            <w:rPr>
              <w:rFonts w:asciiTheme="majorHAnsi" w:hAnsiTheme="majorHAnsi" w:cstheme="majorHAnsi"/>
              <w:noProof/>
            </w:rPr>
          </w:pPr>
          <w:hyperlink w:anchor="_Toc241565806" w:history="1">
            <w:r w:rsidRPr="00B95EB3">
              <w:rPr>
                <w:rStyle w:val="Hyperlink"/>
                <w:rFonts w:asciiTheme="majorHAnsi" w:hAnsiTheme="majorHAnsi" w:cstheme="majorHAnsi"/>
                <w:noProof/>
              </w:rPr>
              <w:t>References</w:t>
            </w:r>
            <w:r w:rsidRPr="00B95EB3">
              <w:rPr>
                <w:rFonts w:asciiTheme="majorHAnsi" w:hAnsiTheme="majorHAnsi" w:cstheme="majorHAnsi"/>
                <w:noProof/>
                <w:webHidden/>
              </w:rPr>
              <w:tab/>
            </w:r>
            <w:r w:rsidRPr="00B95EB3">
              <w:rPr>
                <w:rFonts w:asciiTheme="majorHAnsi" w:hAnsiTheme="majorHAnsi" w:cstheme="majorHAnsi"/>
                <w:noProof/>
                <w:webHidden/>
              </w:rPr>
              <w:fldChar w:fldCharType="begin"/>
            </w:r>
            <w:r w:rsidRPr="00B95EB3">
              <w:rPr>
                <w:rFonts w:asciiTheme="majorHAnsi" w:hAnsiTheme="majorHAnsi" w:cstheme="majorHAnsi"/>
                <w:noProof/>
                <w:webHidden/>
              </w:rPr>
              <w:instrText xml:space="preserve"> PAGEREF _Toc241565806 \h </w:instrText>
            </w:r>
            <w:r w:rsidRPr="00B95EB3">
              <w:rPr>
                <w:rFonts w:asciiTheme="majorHAnsi" w:hAnsiTheme="majorHAnsi" w:cstheme="majorHAnsi"/>
                <w:noProof/>
                <w:webHidden/>
              </w:rPr>
            </w:r>
            <w:r w:rsidRPr="00B95EB3">
              <w:rPr>
                <w:rFonts w:asciiTheme="majorHAnsi" w:hAnsiTheme="majorHAnsi" w:cstheme="majorHAnsi"/>
                <w:noProof/>
                <w:webHidden/>
              </w:rPr>
              <w:fldChar w:fldCharType="separate"/>
            </w:r>
            <w:r w:rsidRPr="00B95EB3">
              <w:rPr>
                <w:rFonts w:asciiTheme="majorHAnsi" w:hAnsiTheme="majorHAnsi" w:cstheme="majorHAnsi"/>
                <w:noProof/>
                <w:webHidden/>
              </w:rPr>
              <w:t>1</w:t>
            </w:r>
            <w:r w:rsidRPr="00B95EB3">
              <w:rPr>
                <w:rFonts w:asciiTheme="majorHAnsi" w:hAnsiTheme="majorHAnsi" w:cstheme="majorHAnsi"/>
                <w:noProof/>
                <w:webHidden/>
              </w:rPr>
              <w:fldChar w:fldCharType="end"/>
            </w:r>
          </w:hyperlink>
        </w:p>
        <w:p w14:paraId="533AD7EA" w14:textId="77777777" w:rsidR="00DB1607" w:rsidRPr="00B95EB3" w:rsidRDefault="00000000">
          <w:pPr>
            <w:rPr>
              <w:rFonts w:asciiTheme="majorHAnsi" w:hAnsiTheme="majorHAnsi" w:cstheme="majorHAnsi"/>
            </w:rPr>
          </w:pPr>
          <w:r w:rsidRPr="00B95EB3">
            <w:rPr>
              <w:rFonts w:asciiTheme="majorHAnsi" w:hAnsiTheme="majorHAnsi" w:cstheme="majorHAnsi"/>
            </w:rPr>
            <w:fldChar w:fldCharType="end"/>
          </w:r>
        </w:p>
      </w:sdtContent>
    </w:sdt>
    <w:p w14:paraId="1379FB49" w14:textId="77777777" w:rsidR="00DB1607" w:rsidRPr="00B95EB3" w:rsidRDefault="00000000">
      <w:pPr>
        <w:pStyle w:val="Heading1"/>
        <w:rPr>
          <w:rFonts w:asciiTheme="majorHAnsi" w:hAnsiTheme="majorHAnsi" w:cstheme="majorHAnsi"/>
        </w:rPr>
      </w:pPr>
      <w:bookmarkStart w:id="0" w:name="abstract"/>
      <w:bookmarkStart w:id="1" w:name="_Toc241565661"/>
      <w:r w:rsidRPr="00B95EB3">
        <w:rPr>
          <w:rFonts w:asciiTheme="majorHAnsi" w:hAnsiTheme="majorHAnsi" w:cstheme="majorHAnsi"/>
        </w:rPr>
        <w:lastRenderedPageBreak/>
        <w:t>Abstract</w:t>
      </w:r>
      <w:bookmarkEnd w:id="1"/>
    </w:p>
    <w:p w14:paraId="49A9D9B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Outdoor ornamental fish ponds in tropical climates face water quality risks that indoor tanks do not. Rainfall, strong sunlight and algal growth act on an outdoor pond in ways a closed indoor system never experiences. Current pond keeping relies on manual testing and frequent owner attention to stay ahead of these risks. This project develops a low-cost Internet of Things system that monitors an outdoor pond and gives the owner advance warning of developing problems, rather than only reporting the current state of the water.</w:t>
      </w:r>
    </w:p>
    <w:p w14:paraId="141306A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system combines direct sensing of temperature, pH and total dissolved solids with two further sources of information. The first is optical sensing: a camera that tracks surface algal coverage and a colour sensor that reads a colorimetric ammonia indicator. The second is external weather forecast data drawn from Singapore's National Environment Agency. Sensor readings and forecast data are combined in a digital twin model that estimates the chemical and biological state of the pond ahead of time, covering ammonia and nitrate buildup, algal growth risk, and evaporation. The system reports these estimates to the owner through a mobile application, with status alerts raised from forecast conditions as well as current readings.</w:t>
      </w:r>
    </w:p>
    <w:p w14:paraId="38F3B44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system does not attempt to replace expensive direct sensors for every water parameter. Where a direct sensor is not viable on cost or reliability grounds, this project shows how the same information can be estimated from cheaper measurements and existing literature on pond chemistry. The result is intended to reduce the labour and guesswork currently required of pond owners while keeping hardware cost within reach of a home installation. This report documents the reasoning behind each design decision, the system built, and its remaining limitations.</w:t>
      </w:r>
    </w:p>
    <w:p w14:paraId="7856C4D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[Placeholder: add a closing sentence stating validated system performance once results are finalised.]</w:t>
      </w:r>
    </w:p>
    <w:p w14:paraId="33C9E118" w14:textId="77777777" w:rsidR="00DB1607" w:rsidRPr="00B95EB3" w:rsidRDefault="00000000">
      <w:pPr>
        <w:pStyle w:val="Heading1"/>
        <w:rPr>
          <w:rFonts w:asciiTheme="majorHAnsi" w:hAnsiTheme="majorHAnsi" w:cstheme="majorHAnsi"/>
        </w:rPr>
      </w:pPr>
      <w:bookmarkStart w:id="2" w:name="chapter-1-introduction"/>
      <w:bookmarkStart w:id="3" w:name="_Toc241565662"/>
      <w:bookmarkEnd w:id="0"/>
      <w:r w:rsidRPr="00B95EB3">
        <w:rPr>
          <w:rFonts w:asciiTheme="majorHAnsi" w:hAnsiTheme="majorHAnsi" w:cstheme="majorHAnsi"/>
        </w:rPr>
        <w:lastRenderedPageBreak/>
        <w:t>Chapter 1: Introduction</w:t>
      </w:r>
      <w:bookmarkEnd w:id="3"/>
    </w:p>
    <w:p w14:paraId="62CD14BB" w14:textId="77777777" w:rsidR="00DB1607" w:rsidRPr="00B95EB3" w:rsidRDefault="00000000">
      <w:pPr>
        <w:pStyle w:val="Heading2"/>
        <w:rPr>
          <w:rFonts w:asciiTheme="majorHAnsi" w:hAnsiTheme="majorHAnsi" w:cstheme="majorHAnsi"/>
        </w:rPr>
      </w:pPr>
      <w:bookmarkStart w:id="4" w:name="background-and-motivation"/>
      <w:bookmarkStart w:id="5" w:name="_Toc241565663"/>
      <w:r w:rsidRPr="00B95EB3">
        <w:rPr>
          <w:rFonts w:asciiTheme="majorHAnsi" w:hAnsiTheme="majorHAnsi" w:cstheme="majorHAnsi"/>
        </w:rPr>
        <w:t>1.1 Background and Motivation</w:t>
      </w:r>
      <w:bookmarkEnd w:id="5"/>
    </w:p>
    <w:p w14:paraId="70A140E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Fish are commonly kept as pets in tanks and ponds across Singapore and the wider region. An indoor tank is a largely closed system, while an outdoor pond is exposed directly to rain, sunlight, wind and ambient temperature, so its water chemistry can shift far faster. Left unmanaged, these shifts can stress or kill the fish. Pond owners today manage this risk mostly through manual water testing and habits built from experience. This works, but it demands regular attention and a level of knowledge that a new owner may not yet have.</w:t>
      </w:r>
    </w:p>
    <w:p w14:paraId="7544624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Internet of Things offers a way to reduce that demand. A network of low-cost sensors can measure water conditions continuously and alert an owner before a manual test would have caught a problem. However, several of the most important water quality parameters, in particular dissolved oxygen and nitrate, are either expensive or unreliable to sense directly at consumer scale. A system built for this setting must therefore decide, parameter by parameter, whether to sense directly, infer from other measurements, or estimate from a cheaper proxy.</w:t>
      </w:r>
    </w:p>
    <w:p w14:paraId="5B7BB8E0" w14:textId="77777777" w:rsidR="00DB1607" w:rsidRPr="00B95EB3" w:rsidRDefault="00000000">
      <w:pPr>
        <w:pStyle w:val="Heading2"/>
        <w:rPr>
          <w:rFonts w:asciiTheme="majorHAnsi" w:hAnsiTheme="majorHAnsi" w:cstheme="majorHAnsi"/>
        </w:rPr>
      </w:pPr>
      <w:bookmarkStart w:id="6" w:name="project-scope-evolution"/>
      <w:bookmarkStart w:id="7" w:name="_Toc241565664"/>
      <w:bookmarkEnd w:id="4"/>
      <w:r w:rsidRPr="00B95EB3">
        <w:rPr>
          <w:rFonts w:asciiTheme="majorHAnsi" w:hAnsiTheme="majorHAnsi" w:cstheme="majorHAnsi"/>
        </w:rPr>
        <w:t>1.2 Project Scope Evolution</w:t>
      </w:r>
      <w:bookmarkEnd w:id="7"/>
    </w:p>
    <w:p w14:paraId="34705D4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project began under a narrower brief, to build a microcontroller-based fish tank monitoring and control system measuring temperature, pH, turbidity, ammonia and nitrate, with alerts and a local display. Early research into that brief exposed two problems. First, ammonia and nitrate sensors within reach of a student budget did not offer reliable accuracy under the sustained chemical load a fed fish tank produces. Second, an indoor tank already sits inside a controlled environment. Its owner can respond to a problem within minutes because the tank is close at hand. An outdoor pond does not offer this convenience, and the environmental stressors acting on it are considerably more severe.</w:t>
      </w:r>
    </w:p>
    <w:p w14:paraId="55B7B9A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project was revised in consultation with the supervisor to target outdoor ponds specifically. Direct sensing was narrowed to temperature, pH and total dissolved solids, the water parameters that can be measured affordably at this scale, together with ambient light as a model input. The remaining chemical and biological quantities, namely ammonia, nitrate and algal growth, are estimated from logged feeding and maintenance events, </w:t>
      </w:r>
      <w:r w:rsidRPr="00B95EB3">
        <w:rPr>
          <w:rFonts w:asciiTheme="majorHAnsi" w:hAnsiTheme="majorHAnsi" w:cstheme="majorHAnsi"/>
        </w:rPr>
        <w:lastRenderedPageBreak/>
        <w:t>external weather forecasts and optical measurements. This shift moved the project from a monitoring and control system to a monitoring and advisory one. The system estimates risk and recommends action, and leaves chemical dosing and equipment control to the owner.</w:t>
      </w:r>
    </w:p>
    <w:p w14:paraId="0459E003" w14:textId="77777777" w:rsidR="00DB1607" w:rsidRPr="00B95EB3" w:rsidRDefault="00000000">
      <w:pPr>
        <w:pStyle w:val="Heading2"/>
        <w:rPr>
          <w:rFonts w:asciiTheme="majorHAnsi" w:hAnsiTheme="majorHAnsi" w:cstheme="majorHAnsi"/>
        </w:rPr>
      </w:pPr>
      <w:bookmarkStart w:id="8" w:name="problem-statement"/>
      <w:bookmarkStart w:id="9" w:name="_Toc241565665"/>
      <w:bookmarkEnd w:id="6"/>
      <w:r w:rsidRPr="00B95EB3">
        <w:rPr>
          <w:rFonts w:asciiTheme="majorHAnsi" w:hAnsiTheme="majorHAnsi" w:cstheme="majorHAnsi"/>
        </w:rPr>
        <w:t>1.3 Problem Statement</w:t>
      </w:r>
      <w:bookmarkEnd w:id="9"/>
    </w:p>
    <w:p w14:paraId="06F38A3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Outdoor pond owners face several categories of risk that current low-cost monitoring systems, largely designed for indoor tanks, do not address specifically. These include chemical loading from feeding, algal blooms, heavy rain and extreme heat, each reviewed in detail in Chapter 2. Existing budget Internet of Things systems for aquaculture typically either omit dissolved oxygen and nitrate entirely or fit sensors that the literature shows fail under the exact chemical conditions a fed outdoor pond produces. At the same time, no existing low-cost system uses weather forecast data to warn a pond owner of an approaching stressor ahead of time, rather than only reporting the present state of the water.</w:t>
      </w:r>
    </w:p>
    <w:p w14:paraId="480B1403" w14:textId="77777777" w:rsidR="00DB1607" w:rsidRPr="00B95EB3" w:rsidRDefault="00000000">
      <w:pPr>
        <w:pStyle w:val="Heading2"/>
        <w:rPr>
          <w:rFonts w:asciiTheme="majorHAnsi" w:hAnsiTheme="majorHAnsi" w:cstheme="majorHAnsi"/>
        </w:rPr>
      </w:pPr>
      <w:bookmarkStart w:id="10" w:name="aims-and-objectives"/>
      <w:bookmarkStart w:id="11" w:name="_Toc241565666"/>
      <w:bookmarkEnd w:id="8"/>
      <w:r w:rsidRPr="00B95EB3">
        <w:rPr>
          <w:rFonts w:asciiTheme="majorHAnsi" w:hAnsiTheme="majorHAnsi" w:cstheme="majorHAnsi"/>
        </w:rPr>
        <w:t>1.4 Aims and Objectives</w:t>
      </w:r>
      <w:bookmarkEnd w:id="11"/>
    </w:p>
    <w:p w14:paraId="6C0B865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aim of this project is to design and build a low-cost Internet of Things system for outdoor ornamental ponds that estimates water quality risk ahead of time and advises the owner, using a combination of direct sensing, camera based inference and external weather forecast data.</w:t>
      </w:r>
    </w:p>
    <w:p w14:paraId="112E7E5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This aim is pursued through the following objectives.</w:t>
      </w:r>
    </w:p>
    <w:p w14:paraId="3FB2BB3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Identify which water quality parameters most affect fish health in an outdoor tropical setting, and which of them can be sensed directly, affordably and reliably.</w:t>
      </w:r>
    </w:p>
    <w:p w14:paraId="46C5B38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Design and build sensor hardware for the parameters that can be sensed affordably, namely temperature, pH and total dissolved solids, alongside a camera based subsystem for the remaining parameters.</w:t>
      </w:r>
    </w:p>
    <w:p w14:paraId="29852DD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Build a data pipeline that transmits sensor and camera data to a central database and combines it with external weather forecast data.</w:t>
      </w:r>
    </w:p>
    <w:p w14:paraId="753D5FB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Build a digital twin model that estimates ammonia, nitrate, algal risk and evaporation ahead of time from the combined data.</w:t>
      </w:r>
    </w:p>
    <w:p w14:paraId="4E8E911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         Deliver the resulting risk information to the pond owner through a mobile application, with alerts issued before conditions become dangerous.</w:t>
      </w:r>
    </w:p>
    <w:p w14:paraId="4E6087C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Evaluate the system honestly and document its limitations, including cases where a modelled or inferred value cannot be checked against a reference instrument.</w:t>
      </w:r>
    </w:p>
    <w:p w14:paraId="6844C8A2" w14:textId="77777777" w:rsidR="00DB1607" w:rsidRPr="00B95EB3" w:rsidRDefault="00000000">
      <w:pPr>
        <w:pStyle w:val="Heading2"/>
        <w:rPr>
          <w:rFonts w:asciiTheme="majorHAnsi" w:hAnsiTheme="majorHAnsi" w:cstheme="majorHAnsi"/>
        </w:rPr>
      </w:pPr>
      <w:bookmarkStart w:id="12" w:name="scope-and-exclusions"/>
      <w:bookmarkStart w:id="13" w:name="_Toc241565667"/>
      <w:bookmarkEnd w:id="10"/>
      <w:r w:rsidRPr="00B95EB3">
        <w:rPr>
          <w:rFonts w:asciiTheme="majorHAnsi" w:hAnsiTheme="majorHAnsi" w:cstheme="majorHAnsi"/>
        </w:rPr>
        <w:t>1.5 Scope and Exclusions</w:t>
      </w:r>
      <w:bookmarkEnd w:id="13"/>
    </w:p>
    <w:p w14:paraId="31D1E0A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project is advisory rather than actuating. Chemical loading and algal risk are addressed by informing the owner, not by acting on the pond directly. Automated dosing of chemicals, automated water changes and automated feeding all sit outside its scope. This decision follows directly from the revised project brief, which asks the system to help the owner take corrective action rather than take that action on the owner's behalf, and it is discussed further in Chapter 2.</w:t>
      </w:r>
    </w:p>
    <w:p w14:paraId="5BA4D69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Direct sensing of dissolved oxygen and nitrate also sits outside scope, for cost and reliability reasons set out in Chapter 2. Both parameters are instead estimated, and every estimate presented later in this report should be read with that limitation in mind.</w:t>
      </w:r>
    </w:p>
    <w:p w14:paraId="5DC929DB" w14:textId="77777777" w:rsidR="00DB1607" w:rsidRPr="00B95EB3" w:rsidRDefault="00000000">
      <w:pPr>
        <w:pStyle w:val="Heading2"/>
        <w:rPr>
          <w:rFonts w:asciiTheme="majorHAnsi" w:hAnsiTheme="majorHAnsi" w:cstheme="majorHAnsi"/>
        </w:rPr>
      </w:pPr>
      <w:bookmarkStart w:id="14" w:name="report-structure"/>
      <w:bookmarkStart w:id="15" w:name="_Toc241565668"/>
      <w:bookmarkEnd w:id="12"/>
      <w:r w:rsidRPr="00B95EB3">
        <w:rPr>
          <w:rFonts w:asciiTheme="majorHAnsi" w:hAnsiTheme="majorHAnsi" w:cstheme="majorHAnsi"/>
        </w:rPr>
        <w:t>1.6 Report Structure</w:t>
      </w:r>
      <w:bookmarkEnd w:id="15"/>
    </w:p>
    <w:p w14:paraId="0957AFF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Chapter 2, Literature Review, sets out which water quality parameters matter for fish health, which stressors act on an outdoor pond, why some sensors were excluded, and how the excluded parameters can be estimated instead.</w:t>
      </w:r>
    </w:p>
    <w:p w14:paraId="0405944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Chapter 3, Architecture and System Design, describes the hardware, power arrangement, sampling sequence, communication paths and server-side components, and the reasoning and tradeoffs behind each choice.</w:t>
      </w:r>
    </w:p>
    <w:p w14:paraId="65165EE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Chapter 4, Experimental Framework, defines the bench, outdoor and full-system tests, their acceptance limits and the records each test must produce. It includes the protocol for establishing whether the TDS channel is useful as a context log.</w:t>
      </w:r>
    </w:p>
    <w:p w14:paraId="2644A2F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Chapter 5, Software Implementation and Verification, describes how the firmware, camera service, digital twin and mobile application were built and refactored, and reports the automated tests that verify them.</w:t>
      </w:r>
    </w:p>
    <w:p w14:paraId="322C6A5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Chapter 6, Results, reports the analysis of historical NEA forecast and observation data and provides the structure for the bench and field results.</w:t>
      </w:r>
    </w:p>
    <w:p w14:paraId="6CF7930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Chapter 7, Discussion and Conclusion, interprets the results against the aims in Section 1.4, states the project’s limitations and sets out future work.</w:t>
      </w:r>
    </w:p>
    <w:p w14:paraId="70D1033B" w14:textId="77777777" w:rsidR="00DB1607" w:rsidRPr="00B95EB3" w:rsidRDefault="00000000">
      <w:pPr>
        <w:pStyle w:val="Heading1"/>
        <w:rPr>
          <w:rFonts w:asciiTheme="majorHAnsi" w:hAnsiTheme="majorHAnsi" w:cstheme="majorHAnsi"/>
        </w:rPr>
      </w:pPr>
      <w:bookmarkStart w:id="16" w:name="chapter-2-literature-review"/>
      <w:bookmarkStart w:id="17" w:name="_Toc241565669"/>
      <w:bookmarkEnd w:id="2"/>
      <w:bookmarkEnd w:id="14"/>
      <w:r w:rsidRPr="00B95EB3">
        <w:rPr>
          <w:rFonts w:asciiTheme="majorHAnsi" w:hAnsiTheme="majorHAnsi" w:cstheme="majorHAnsi"/>
        </w:rPr>
        <w:lastRenderedPageBreak/>
        <w:t>Chapter 2: Literature Review</w:t>
      </w:r>
      <w:bookmarkEnd w:id="17"/>
    </w:p>
    <w:p w14:paraId="1D75E08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chapter sets out the evidence behind the design decisions in Chapter 3. It first reviews existing low-cost IoT water quality systems and where they fall short. It then identifies the water quality parameters that determine fish health and the stressors that act on an outdoor pond specifically. Section 2.5 asks whether weather forecasts add value to such a system and how a forecast should be obtained. Section 2.6 compares the ways each parameter can be obtained, by direct sensing, by inference or by optical reading of a chemical indicator, and weighs their cost and maintenance burden. Section 2.7 states the gap that the project addresses.</w:t>
      </w:r>
    </w:p>
    <w:p w14:paraId="4E344D46" w14:textId="77777777" w:rsidR="00DB1607" w:rsidRPr="00B95EB3" w:rsidRDefault="00000000">
      <w:pPr>
        <w:pStyle w:val="Heading2"/>
        <w:rPr>
          <w:rFonts w:asciiTheme="majorHAnsi" w:hAnsiTheme="majorHAnsi" w:cstheme="majorHAnsi"/>
        </w:rPr>
      </w:pPr>
      <w:bookmarkStart w:id="18" w:name="Xfff7c55ce8777c2d8a3ae013fe09b4871f6db3c"/>
      <w:bookmarkStart w:id="19" w:name="_Toc241565670"/>
      <w:r w:rsidRPr="00B95EB3">
        <w:rPr>
          <w:rFonts w:asciiTheme="majorHAnsi" w:hAnsiTheme="majorHAnsi" w:cstheme="majorHAnsi"/>
        </w:rPr>
        <w:t>2.1 Existing Low-Cost IoT Water Quality Monitoring Approaches</w:t>
      </w:r>
      <w:bookmarkEnd w:id="19"/>
    </w:p>
    <w:p w14:paraId="47855E48"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Low-cost IoT monitoring of aquaculture water has been approached from several directions. One study kept hardware cost down by fitting affordable temperature and pH sensors and using manual test kits for dissolved oxygen (DO) and ammonia, with the owner entering the kit results into a mobile application (Taher Tamim et al., 2022). Another instrumented pH, DO, temperature and ammonia directly (Luo et al., 2015), but the DO and ammonia sensors it selected are expensive, and Zuhaer et al. (2025) suggest that such sensors are better suited to intermittent, experimental operation than to continuous deployment. Zuhaer et al. (2025) also addressed the gap in DO and ammonia coverage with a chemical-mechanical sampling mechanism. The approach is novel, but actuators add failure points, and an outdoor enclosure exposed to rain, heat and debris is a poor place for moving parts. A further paper claimed pH, DO, temperature and water level measurement for under USD 50 (Reddy et al., 2026), but it reached that figure by using an air temperature sensor, a soil pH probe and a blood oxygen sensor outside their intended operating conditions. Across these studies, full coverage of the chemical parameters at a low price has not been achieved without either manual labour or compromised sensing. The studies do agree that pH and temperature form the baseline of any such system (Karim et al., 2021; Suhaimi et al., 2021).</w:t>
      </w:r>
    </w:p>
    <w:p w14:paraId="627EC08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However, the specific chemical parameters chosen and their justifications vary considerably in rigour. This raises a second, more fundamental question of what should be monitored, and why, to meaningfully protect fish health.</w:t>
      </w:r>
    </w:p>
    <w:p w14:paraId="33ADDD9B" w14:textId="77777777" w:rsidR="00DB1607" w:rsidRPr="00B95EB3" w:rsidRDefault="00000000">
      <w:pPr>
        <w:pStyle w:val="Heading2"/>
        <w:rPr>
          <w:rFonts w:asciiTheme="majorHAnsi" w:hAnsiTheme="majorHAnsi" w:cstheme="majorHAnsi"/>
        </w:rPr>
      </w:pPr>
      <w:bookmarkStart w:id="20" w:name="X4406611aa5bb76f4ae734c14b981236a6ef1b52"/>
      <w:bookmarkStart w:id="21" w:name="_Toc241565671"/>
      <w:bookmarkEnd w:id="18"/>
      <w:r w:rsidRPr="00B95EB3">
        <w:rPr>
          <w:rFonts w:asciiTheme="majorHAnsi" w:hAnsiTheme="majorHAnsi" w:cstheme="majorHAnsi"/>
        </w:rPr>
        <w:lastRenderedPageBreak/>
        <w:t>2.2 Water Quality Parameters and Fish Physiological Needs</w:t>
      </w:r>
      <w:bookmarkEnd w:id="21"/>
    </w:p>
    <w:p w14:paraId="301B4AD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literature converges strongly on a small set of parameters as determinative of fish welfare, with dissolved oxygen repeatedly identified as the single most critical and time-sensitive variable, given that "all physiological activities relate to fish which includes breathing, excretion of waste, feeding, maintaining salt balance and reproduction" depend on water as the medium through which oxygen, waste, and heat are exchanged (Boyd, 1998, as cited in Komal et al., 2021). Critically, the literature identifies photosynthesis, not atmospheric diffusion, as the dominant oxygen source in a still pond, "compared to photosynthesis, total oxygen gains and loss due to diffusion during daylight is minor" (Komal et al., 2021). This poses risks after dusk, when oxygen production ceases, and respiratory consumption by fish, plankton, and decomposing organic matter continues. This means "the level of DO should be maintained at almost 24 hours, but culture species respond immediately in the context to low DO levels especially at night" (Boyd &amp; Hanson, 2010, as cited in Komal et al., 2021). Water temperature is a significant factor for DO. Temperature directly impacts the oxygen carrying capacity of water and fish metabolism. With "the metabolic demand for oxygen uptake in aquatic organisms becoming double or triple with every 10°C increase" (Begum et al., 2004, as cited in Komal et al., 2021). Temperature, photosynthesis and time of day therefore combine into a predictable pattern of night-time oxygen risk. This pattern could support an indirect hypoxia risk flag gated on water temperature and darkness. The present system does not implement such a flag. It addresses the temperature side through feeding guidance (Section 3.9.2), and a dedicated night-time hypoxia indicator is left as future work (Section 7.4).</w:t>
      </w:r>
    </w:p>
    <w:p w14:paraId="2213EC0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nitrogenous waste pathway is similarly well characterised. Ammonia excreted by fish and released by decomposing uneaten feed is oxidised by nitrifying bacteria to nitrite and then to nitrate. Table 2.1 lists the toxicity thresholds used in this report (Stone &amp; Thomforde, 2004, as cited in Komal et al., 2021).</w:t>
      </w:r>
    </w:p>
    <w:p w14:paraId="7152D063"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2.1. Ammonia and nitrate toxicity thresholds (Stone &amp; Thomforde, 2004, as cited in Komal et al., 2021).</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2684"/>
        <w:gridCol w:w="4696"/>
        <w:gridCol w:w="1806"/>
      </w:tblGrid>
      <w:tr w:rsidR="00DB1607" w:rsidRPr="00B95EB3" w14:paraId="7724DB44"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11114BD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State</w:t>
            </w:r>
          </w:p>
        </w:tc>
        <w:tc>
          <w:tcPr>
            <w:tcW w:w="0" w:type="auto"/>
            <w:shd w:val="clear" w:color="auto" w:fill="EDEFF2"/>
          </w:tcPr>
          <w:p w14:paraId="5F985EA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Ammonia concentration</w:t>
            </w:r>
          </w:p>
        </w:tc>
        <w:tc>
          <w:tcPr>
            <w:tcW w:w="0" w:type="auto"/>
            <w:shd w:val="clear" w:color="auto" w:fill="EDEFF2"/>
          </w:tcPr>
          <w:p w14:paraId="7375540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Nitrate</w:t>
            </w:r>
          </w:p>
        </w:tc>
      </w:tr>
      <w:tr w:rsidR="00DB1607" w:rsidRPr="00B95EB3" w14:paraId="1E797605" w14:textId="77777777">
        <w:tc>
          <w:tcPr>
            <w:tcW w:w="0" w:type="auto"/>
          </w:tcPr>
          <w:p w14:paraId="5BFCBA5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Desirable</w:t>
            </w:r>
          </w:p>
        </w:tc>
        <w:tc>
          <w:tcPr>
            <w:tcW w:w="0" w:type="auto"/>
          </w:tcPr>
          <w:p w14:paraId="0986429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0-2mg/l</w:t>
            </w:r>
          </w:p>
        </w:tc>
        <w:tc>
          <w:tcPr>
            <w:tcW w:w="0" w:type="auto"/>
          </w:tcPr>
          <w:p w14:paraId="7EB5C5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&lt;5ppm</w:t>
            </w:r>
          </w:p>
        </w:tc>
      </w:tr>
      <w:tr w:rsidR="00DB1607" w:rsidRPr="00B95EB3" w14:paraId="4CBD977C" w14:textId="77777777">
        <w:tc>
          <w:tcPr>
            <w:tcW w:w="0" w:type="auto"/>
          </w:tcPr>
          <w:p w14:paraId="34B162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Severe Stress</w:t>
            </w:r>
          </w:p>
        </w:tc>
        <w:tc>
          <w:tcPr>
            <w:tcW w:w="0" w:type="auto"/>
          </w:tcPr>
          <w:p w14:paraId="140C5E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&gt;4mg/l</w:t>
            </w:r>
          </w:p>
        </w:tc>
        <w:tc>
          <w:tcPr>
            <w:tcW w:w="0" w:type="auto"/>
          </w:tcPr>
          <w:p w14:paraId="39A3674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&gt;60ppm</w:t>
            </w:r>
          </w:p>
        </w:tc>
      </w:tr>
    </w:tbl>
    <w:p w14:paraId="20694C96"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lastRenderedPageBreak/>
        <w:t>These thresholds give a quantitative basis against which a monitoring system’s risk levels can be set. Because “ammonia is first converted into nitrite and then to nitrate”, the upstream ammonia load determines downstream nitrite and nitrate risk. This supports estimating nitrite risk from nitrification kinetics instead of sensing it independently. This chemical dependency is corroborated at pond scale by a controlled catfish-pond study, which found that despite a sixfold range in stocking density, total ammonia, unionized ammonia, and nitrite concentrations did not differ significantly across treatments, while feeding rate emerged as "consistently the most important predictor for multiple aspects of pond water quality" (Ott et al., n.d.). This finding strongly suggests that chemical modelling in a water quality monitoring system is tightly coupled with the feedstock introduction into the water body. Therefore, it is imperative for any water quality monitoring system to model feeding sessions which remain the dominant driver of chemical loading.</w:t>
      </w:r>
    </w:p>
    <w:p w14:paraId="02ABD67C" w14:textId="77777777" w:rsidR="00DB1607" w:rsidRPr="00B95EB3" w:rsidRDefault="00000000">
      <w:pPr>
        <w:pStyle w:val="Heading2"/>
        <w:rPr>
          <w:rFonts w:asciiTheme="majorHAnsi" w:hAnsiTheme="majorHAnsi" w:cstheme="majorHAnsi"/>
        </w:rPr>
      </w:pPr>
      <w:bookmarkStart w:id="22" w:name="outdoor-specific-stressor-classes"/>
      <w:bookmarkStart w:id="23" w:name="_Toc241565672"/>
      <w:bookmarkEnd w:id="20"/>
      <w:r w:rsidRPr="00B95EB3">
        <w:rPr>
          <w:rFonts w:asciiTheme="majorHAnsi" w:hAnsiTheme="majorHAnsi" w:cstheme="majorHAnsi"/>
        </w:rPr>
        <w:t>2.3 Outdoor-Specific Stressor Classes</w:t>
      </w:r>
      <w:bookmarkEnd w:id="23"/>
    </w:p>
    <w:p w14:paraId="15500B2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After establishing the important metrics of water quality assessment, it is necessary to scope these metrics to the environmental conditions specific to an outdoor deployment. Four distinct stressor classes are examined in detail in this section: fish metabolic loading, algal growth, extreme rainfall, and extreme heat.</w:t>
      </w:r>
    </w:p>
    <w:p w14:paraId="3AC94C56" w14:textId="77777777" w:rsidR="00DB1607" w:rsidRPr="00B95EB3" w:rsidRDefault="00000000">
      <w:pPr>
        <w:pStyle w:val="Heading3"/>
        <w:rPr>
          <w:rFonts w:asciiTheme="majorHAnsi" w:hAnsiTheme="majorHAnsi" w:cstheme="majorHAnsi"/>
        </w:rPr>
      </w:pPr>
      <w:bookmarkStart w:id="24" w:name="algal-growth"/>
      <w:bookmarkStart w:id="25" w:name="_Toc241565673"/>
      <w:r w:rsidRPr="00B95EB3">
        <w:rPr>
          <w:rFonts w:asciiTheme="majorHAnsi" w:hAnsiTheme="majorHAnsi" w:cstheme="majorHAnsi"/>
        </w:rPr>
        <w:t>2.3.1 Algal Growth</w:t>
      </w:r>
      <w:bookmarkEnd w:id="25"/>
    </w:p>
    <w:p w14:paraId="5782564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Algal growth is governed jointly by light and temperature, with optimum growth reported across species between 20–30°C and, in some species, 22–35°C (Singh &amp; Singh, n.d.), a range broadly consistent with tropical outdoor conditions. Light-driven bloom formation has been quantified directly, with a minimum daily light integral of approximately 13.2 mol m⁻² d⁻¹ identified as necessary for surface bloom formation in shallow freshwater systems (Kemp et al., n.d.), providing a citable numerical anchor for a light-driven algal risk model. However, it should be noted that the same study reported an optimal bloom-formation temperature of 16–22°C. This temperature is significantly lower than that faced annually by an outdoor pond setting in Singapore, limiting the applicability of said paper in this context.  More recent work further complicates a simple light-times-temperature model, demonstrating that light itself induces localised photothermal heating distinct from bulk ambient warming, and that "photothermal fluctuations govern the timing of diurnal bloom peaks" (Lin et al., </w:t>
      </w:r>
      <w:r w:rsidRPr="00B95EB3">
        <w:rPr>
          <w:rFonts w:asciiTheme="majorHAnsi" w:hAnsiTheme="majorHAnsi" w:cstheme="majorHAnsi"/>
        </w:rPr>
        <w:lastRenderedPageBreak/>
        <w:t>n.d.) . This mechanism is not captured by models, including this project's, that treat light and temperature as independent multiplicative factors. Finally, the relationship between fish and algae is not unidirectional, fish waste supplies the nitrogen that fuels algal growth, fish presence has also been shown to suppress harmful cyanobacterial dominance through grazing and competitive effects, with cyanobacteria comprising over 80% of phytoplankton in an unmanaged control pond compared to under 40% where fish were present (Wang et al., n.d.). This bidirectional relationship is a limitation of a model, including this project's where for simplicity fish are assumed not to influence algal population.</w:t>
      </w:r>
    </w:p>
    <w:p w14:paraId="3E35F116" w14:textId="77777777" w:rsidR="00DB1607" w:rsidRPr="00B95EB3" w:rsidRDefault="00000000">
      <w:pPr>
        <w:pStyle w:val="Heading3"/>
        <w:rPr>
          <w:rFonts w:asciiTheme="majorHAnsi" w:hAnsiTheme="majorHAnsi" w:cstheme="majorHAnsi"/>
        </w:rPr>
      </w:pPr>
      <w:bookmarkStart w:id="26" w:name="extreme-rainfall"/>
      <w:bookmarkStart w:id="27" w:name="_Toc241565674"/>
      <w:bookmarkEnd w:id="24"/>
      <w:r w:rsidRPr="00B95EB3">
        <w:rPr>
          <w:rFonts w:asciiTheme="majorHAnsi" w:hAnsiTheme="majorHAnsi" w:cstheme="majorHAnsi"/>
        </w:rPr>
        <w:t>2.3.2 Extreme Rainfall</w:t>
      </w:r>
      <w:bookmarkEnd w:id="27"/>
    </w:p>
    <w:p w14:paraId="366EB16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Extreme rainfall introduces risk through physical water-column disruption rather than gradual chemical accumulation. A reservoir study found that "moderate and heavy rainfall events could reduce the thermal stability of water column, deepen the mixing layer depth, and shape the thermocline," with "the hypoxia and anoxia initial depths increas[ing]... during rainfall events" (Zhang et al., 2020). While conducted at a larger scale than an ornamental pond, the underlying mechanism described as  inflow-driven cooling and mixing destabilising stratification and displacing oxygen-depleted bottom water upward is directly transferable, and trade literature corroborates real-world consequences, citing heavy shrimp and finfish mortality following extreme rainfall events attributed to disturbed pond-bottom sediment releasing accumulated hydrogen sulphide, ammonia, and nitrite. Interestingly, another study found “A noticeable increase was observed between summer season inflow and outflow event mean pond runoff temperatures with a minimum difference of 4°C on August 15th and a maximum difference of 10°C on July 26th, 2011.” This study suggests that rainfall has a severe impact upon entry into pond waterbodies with wide-ranging temperature increases. The study found that the thermal enrichment of the pond is directly proportional to rain volume, pond inflow temperature and initial water temperature (Sabouri et al., 2016). This result on first examination sits in opposition to  the finding by (Zhang et al., 2020) which suggested the likely impact in albeit larger bodies of water was a severe plunge in temperature and driving oxygen depleted water upwards. This set of opposing results can be explained with the differing pond experimental parameters. The reservoir study (Zhang et al., 2020) examined hot bodies of water with direct rainfall input causing rapid cooling of the water body, meanwhile (Sabouri et al., 2016) studied </w:t>
      </w:r>
      <w:r w:rsidRPr="00B95EB3">
        <w:rPr>
          <w:rFonts w:asciiTheme="majorHAnsi" w:hAnsiTheme="majorHAnsi" w:cstheme="majorHAnsi"/>
        </w:rPr>
        <w:lastRenderedPageBreak/>
        <w:t>urban stormwater ponds warmed by hot impervious-surface runoff such as roads and parking lots flowing into ponds. Both studies, while differing in results, do agree that thermal destratification induced by severe rainfall poses temperature fluctuations which could potentially stress fish in outdoor ponds. Notably, if a general case had to be picked to describe the average pond owner in Singapore, the induced result would likely be closer to the reservoir study. This is a direct result of most outdoor ornamental ponds typically being present in gardens with no direct or little exposure to concrete and other surfaces likely to get heated and run off into the pond water.</w:t>
      </w:r>
    </w:p>
    <w:p w14:paraId="4F98C98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This stressor class remains the least quantified in percentage or magnitude terms across the reviewed literature, a gap that likely reflects the practical difficulty of isolating rainfall as a single causal factor in field mortality events confounded by disease and other concurrent stressors, rather than an indication that the risk itself is minor.</w:t>
      </w:r>
    </w:p>
    <w:p w14:paraId="33775B31" w14:textId="77777777" w:rsidR="00DB1607" w:rsidRPr="00B95EB3" w:rsidRDefault="00000000">
      <w:pPr>
        <w:pStyle w:val="Heading3"/>
        <w:rPr>
          <w:rFonts w:asciiTheme="majorHAnsi" w:hAnsiTheme="majorHAnsi" w:cstheme="majorHAnsi"/>
        </w:rPr>
      </w:pPr>
      <w:bookmarkStart w:id="28" w:name="extreme-heat"/>
      <w:bookmarkStart w:id="29" w:name="_Toc241565675"/>
      <w:bookmarkEnd w:id="26"/>
      <w:r w:rsidRPr="00B95EB3">
        <w:rPr>
          <w:rFonts w:asciiTheme="majorHAnsi" w:hAnsiTheme="majorHAnsi" w:cstheme="majorHAnsi"/>
        </w:rPr>
        <w:t>2.3.3 Extreme Heat</w:t>
      </w:r>
      <w:bookmarkEnd w:id="29"/>
    </w:p>
    <w:p w14:paraId="04F22DE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Extreme heat presents the most severe documented outcomes of the four stressor classes reviewed. Beyond the doubling-to-tripling of metabolic oxygen demand per 10°C rise already noted, a recent review of heat-linked "summer mortality syndrome" in farmed fish reports mortality rates ranging from 30% to 100% during such events (Shafi, 2025). The foundational CRSP chapter provides direct equatorial-latitude field data corroborating this risk profile: Indonesia, "the site closest to the equator, has the warmest temperatures, with maxima at 30 to 41°C," with water temperature changing "as much as 10°C during one day" (Diana et al., 1997). This is indicative of the aggressive temperature swings possible in the tropical regions close to the equator.</w:t>
      </w:r>
    </w:p>
    <w:p w14:paraId="59D8059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Outside of direct hypoxia risks, it is important to understand how thermodynamic transfer from the environment into the pond occurs. A study found that radiation rather than air convection dominates thermal loading of outdoor ponds, “The two most important energy vectors for unheated ponds were longwave pond radiation (39%) and longwave sky radiation (31%). At certain times, solar radiation accounted for as much as 49% of all energy transferred to unheated ponds.” (Lamoureux et al., 2006) This demonstrates why tropical pond temperatures can fluctuate dramatically beyond simply citing ambient air temperature.</w:t>
      </w:r>
    </w:p>
    <w:p w14:paraId="4F5AF8F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Practitioner guidance for koi encodes the temperature-oxygen coupling directly, recommending ration reduction from a peak of approximately 2.5% to as low as 0.5–0.75% body weight above roughly 28–30°C, reasoned explicitly as a response to reduced oxygen-holding capacity at elevated temperature rather than to reduced fish appetite. It indicates that the intervention the literature actually prescribes against thermal stress is a change to feeding, and that the variable which triggers that change is water temperature. The decision an owner faces is therefore already framed in terms of a quantity that is inexpensive to measure directly and will be explored more thoroughly in the instrumentation chapter.</w:t>
      </w:r>
    </w:p>
    <w:p w14:paraId="700E4C1C" w14:textId="77777777" w:rsidR="00DB1607" w:rsidRPr="00B95EB3" w:rsidRDefault="00000000">
      <w:pPr>
        <w:pStyle w:val="Heading2"/>
        <w:rPr>
          <w:rFonts w:asciiTheme="majorHAnsi" w:hAnsiTheme="majorHAnsi" w:cstheme="majorHAnsi"/>
        </w:rPr>
      </w:pPr>
      <w:bookmarkStart w:id="30" w:name="managing-risks-and-outcomes"/>
      <w:bookmarkStart w:id="31" w:name="_Toc241565676"/>
      <w:bookmarkEnd w:id="22"/>
      <w:bookmarkEnd w:id="28"/>
      <w:r w:rsidRPr="00B95EB3">
        <w:rPr>
          <w:rFonts w:asciiTheme="majorHAnsi" w:hAnsiTheme="majorHAnsi" w:cstheme="majorHAnsi"/>
        </w:rPr>
        <w:t>2.4 Managing Risks and Outcomes</w:t>
      </w:r>
      <w:bookmarkEnd w:id="31"/>
    </w:p>
    <w:p w14:paraId="6F8ABE5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stressors previously reviewed all have substantial literature backing their ability to create fish loss, yet outdoor pond keeping is not considered a high risk activity nor is it particularly uncommon. The literature attributes this to the labour-intensive, vigilance-dependent way ponds are currently managed, rather than to the pond environment being benign. Precision aquaculture research explicitly frames existing manual approaches as effective but costly: "manual approaches are subjective and labour-intensive, which adversely affects fish health, welfare, yield, and management decisions," and the stated objectives of precision fish farming frameworks include reducing "dependencies on manual labor and subjective assessments" (Føre et al., 2018). This is particularly relevant for fish farming, "where water conditions can make observations difficult or risky for farmers". Good outcomes today therefore depend on sustained owner attention.</w:t>
      </w:r>
    </w:p>
    <w:p w14:paraId="38B4E64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Empirical evidence directly links management practice quality to water-quality and yield outcomes: a study of small-scale tilapia aquaculture found that "the source of water and management practises were linked to the parameters of the pond water," which were in turn "associated with fish yield and the likelihood of disease occurrence," and explicitly recommended "training farmers in good management practises... to ensure sustainable aquaculture development" (“Pond water quality and its relation to fish yield”, 2023). This establishes that management practice measurably determines water quality, and water quality measurably determines outcome. The absence of routine pond mortality in Singapore is therefore better read as evidence that owners manage the risks than as evidence that the stressors above are overstated.</w:t>
      </w:r>
    </w:p>
    <w:p w14:paraId="0EF3D19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This manifests locally in concrete, Singapore-specific practitioner guidance: routine advice includes weekly 10–20% water changes, regular filter maintenance, and critically testing water quality increasing frequency after heavy rain. This reactive routine is the practice the project aims to make less labour-intensive.</w:t>
      </w:r>
    </w:p>
    <w:p w14:paraId="3ABC81D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project’s contribution is therefore to reduce the subjectivity, labour and reaction lag of a management practice that already works when performed consistently. This is a direct response to the project's stated aim of achieving "the optimal balance between maintaining ecosystem health whilst reducing unnecessary corrective actions."</w:t>
      </w:r>
    </w:p>
    <w:p w14:paraId="6CCE1C33" w14:textId="77777777" w:rsidR="00DB1607" w:rsidRPr="00B95EB3" w:rsidRDefault="00000000">
      <w:pPr>
        <w:pStyle w:val="Heading2"/>
        <w:rPr>
          <w:rFonts w:asciiTheme="majorHAnsi" w:hAnsiTheme="majorHAnsi" w:cstheme="majorHAnsi"/>
        </w:rPr>
      </w:pPr>
      <w:bookmarkStart w:id="32" w:name="X86950d51f101f90cb88b8958f3aa58320e58452"/>
      <w:bookmarkStart w:id="33" w:name="_Toc241565677"/>
      <w:bookmarkEnd w:id="30"/>
      <w:r w:rsidRPr="00B95EB3">
        <w:rPr>
          <w:rFonts w:asciiTheme="majorHAnsi" w:hAnsiTheme="majorHAnsi" w:cstheme="majorHAnsi"/>
        </w:rPr>
        <w:t>2.5 Forecasting Value-Add for Outdoor IoT Systems</w:t>
      </w:r>
      <w:bookmarkEnd w:id="33"/>
    </w:p>
    <w:p w14:paraId="3A1CBD7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Having established the specific outdoor stressors a monitoring system must address, this section examines whether anticipating these stressors through forecast integration offers a meaningful advantage over reactive sensing alone, and if so, through what architecture that forecast should be obtained.</w:t>
      </w:r>
    </w:p>
    <w:p w14:paraId="7B9DA8F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general case for forecast-augmented decision support in outdoor IoT systems is established in the precision agriculture domain, where an IoT-based intelligent irrigation recommendation system demonstrated that gathering environmental sensor data and forwarding it to a cloud-based analysis layer to generate advisory recommendations, rather than directly actuating irrigation, could achieve efficient resource use "with the nominal intervention of farmers" (Bhoi et al., n.d.). A broader systematic review of low-cost agrometeorological IoT stations similarly concludes that such systems contribute meaningfully to "climate resilience" and "data-driven decision-making," and specifically that integrating external weather data alongside locally sensed data outperforms reliance on either source alone. This highlights that forecast integration, in tandem sensing, is able to increase marginal value of an IoT system. Lastly, the paper endorses a recommend-rather-than-actuate architecture as an effective pattern in this domain rather than a compromise.</w:t>
      </w:r>
    </w:p>
    <w:p w14:paraId="6A68F08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This raises the more specific architectural question of how that forecast should be sourced. Should a system train its own short-horizon forecasting model from locally sensed data, or consume an existing, externally-maintained meteorological forecast. Two independent empirical studies argue against the former. A controlled study of short-horizon outdoor temperature forecasting found that even a purpose-built battery of models ranging from </w:t>
      </w:r>
      <w:r w:rsidRPr="00B95EB3">
        <w:rPr>
          <w:rFonts w:asciiTheme="majorHAnsi" w:hAnsiTheme="majorHAnsi" w:cstheme="majorHAnsi"/>
        </w:rPr>
        <w:lastRenderedPageBreak/>
        <w:t>linear, adaptive to modern neural architectures achieved only modest gains over a naive persistence baseline at short horizons, and were outperformed by a simple daily-seasonal-naive reference at longer horizons. The best-performing adaptive model saturating in accuracy after only two to three days of training data (Hernández-Paredes et al., 2026). A directly analogous result was obtained in an aquaculture-specific context: a field evaluation of short-horizon dissolved oxygen forecasting in Nile Tilapia ponds found "only modest improvement over a persistence baseline" at 30 minutes, degrading further to "limited predictive value at the extended horizon" of six hours (Al-Khaldi et al., n.d.). Taken together, these two independently obtained empirically observed domain varying results place the burden of proof on in-house short horizon modelling rather than against it.  If a dedicated, well-resourced short-horizon forecasting study achieves only marginal gains over a naive baseline, a bucket-scale in-house model would be expected to fare no better, and very plausibly worse, given its far smaller training dataset. This is corroborated in a related agricultural context, where a purpose-built low-temperature forecasting model was deployed specifically "to help farmers activate anti-frost techniques to save the crop" (Guillén et al., n.d.) and an embedded air-temperature forecasting model was developed for greenhouse micro-climate management (Codeluppi et al., 2021) , both establishing forecast-triggered pre-emptive action as a recognised pattern in outdoor agricultural IoT, while neither claiming forecasting accuracy gains beyond what the temperature-saturation and DO-forecasting studies above would predict.</w:t>
      </w:r>
    </w:p>
    <w:p w14:paraId="56E0B71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Having established that consuming an external forecast is the better-evidenced route, it is necessary to characterise the limitations of the forecast source relevant to a Singapore deployment. Singapore's tropical, convectively-dominated climate presents documented and acknowledged challenges to numerical weather prediction. A convective-scale forecast model evaluated over Singapore found that while the diurnal cycle of temperature and relative humidity was "reasonably captured," rainfall prediction fared considerably worse, exhibiting a "delay in the onset of early morning rainfall" and persistence of "late evening rainfall... for too long" (Dipankar et al., 2020), establishing an asymmetry directly relevant to this project. Temperature and humidity forecasts, the primary drivers of evaporation and water temperature modelling, are meaningfully more reliable than rainfall forecasts, which drive dilution and water-chemistry risk. A locally-conducted, Singapore-specific rainfall </w:t>
      </w:r>
      <w:r w:rsidRPr="00B95EB3">
        <w:rPr>
          <w:rFonts w:asciiTheme="majorHAnsi" w:hAnsiTheme="majorHAnsi" w:cstheme="majorHAnsi"/>
        </w:rPr>
        <w:lastRenderedPageBreak/>
        <w:t>prediction study using ground-based GPS stations achieved a reported overall accuracy of 79.6%, but a false alarm rate of 20.3% even after explicitly working to reduce it relative to prior methods (Manandhar et al., n.d.), reinforcing that rainfall-specific forecasting remains meaningfully imperfect even under locally-tailored, dedicated modelling efforts. Finally, the Meteorological Service Singapore's own researchers have documented the structural sources of this limitation, noting that "existing global models struggle to capture the development and evolution of the small-scale and transient weather systems impacting the region," that satellite-derived land-use data quality is "often compromised by ubiquitous cloud cover in the deep tropics," and that large-scale weather systems such as Sumatra squall lines routinely exceed the spatial extent of Singapore's own urban modelling domain, causing truncation at the model boundary (Lee et al., n.d.). This finding establishes that treating NEA's rainfall forecast as a probabilistic risk modifier rather than a deterministic trigger for automated action is a direct reflection of limitations the provider's own scientists have documented, and is consistent with this project's explicitly non-actuating design philosophy.</w:t>
      </w:r>
    </w:p>
    <w:p w14:paraId="05DC1EAF" w14:textId="77777777" w:rsidR="00DB1607" w:rsidRPr="00B95EB3" w:rsidRDefault="00000000">
      <w:pPr>
        <w:pStyle w:val="Heading3"/>
        <w:rPr>
          <w:rFonts w:asciiTheme="majorHAnsi" w:hAnsiTheme="majorHAnsi" w:cstheme="majorHAnsi"/>
        </w:rPr>
      </w:pPr>
      <w:bookmarkStart w:id="34" w:name="X23f60ca1b02b85a926bb96b5651b97525bb702a"/>
      <w:bookmarkStart w:id="35" w:name="_Toc241565678"/>
      <w:r w:rsidRPr="00B95EB3">
        <w:rPr>
          <w:rFonts w:asciiTheme="majorHAnsi" w:hAnsiTheme="majorHAnsi" w:cstheme="majorHAnsi"/>
        </w:rPr>
        <w:t>2.5.1 Projecting Water Temperature Ahead of Time</w:t>
      </w:r>
      <w:bookmarkEnd w:id="35"/>
    </w:p>
    <w:p w14:paraId="6891DDB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Water temperature is directly instrumented and is an essential in most outdoor IoT water quality monitoring deployments. Given the multi-domain importance of temperature established earlier and energy transfer into ponds achieved via radiation from the atmosphere, it becomes tempting to question if we were able to forecast water temperature using air temperature.</w:t>
      </w:r>
    </w:p>
    <w:p w14:paraId="3EF2990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It is important to first address what water temperature forecasting address that a current water temperature reading does not. Previous sections of this literature review have highlighted 2 main risks of thermal stress. The first risk is hypoxia, temperature reduces the supply of oxygen while increasing fish metabolism and then by proxy oxygen demand. The second risk is the nitrification process. Nitrites as previously noted are huge chemical risks for fishes with nitrification optimal temperature range being 25-30°C (Hossain et al. ,2022). The intervention in current fish care literature prescribes against thermal stress is a reduction in feeding, notably ration reduction in temperatures above 28°C. This would certainly be achievable with current temperature sensors to address hypoxia risk. However, the limitation in this practice is that the time lag of nitrification means temperature spikes </w:t>
      </w:r>
      <w:r w:rsidRPr="00B95EB3">
        <w:rPr>
          <w:rFonts w:asciiTheme="majorHAnsi" w:hAnsiTheme="majorHAnsi" w:cstheme="majorHAnsi"/>
        </w:rPr>
        <w:lastRenderedPageBreak/>
        <w:t>hitting after a huge feeding session poses risk to fishes and drastically shortens the potential lifespan of water before change in the pond. Therefore using current temperature readings while useful in addressing hypoxia are markedly less so for addressing chemical loading. Knowing where water temperature is heading, and not only where it currently sits, is therefore of direct operational value in a way that a real-time reading alone is not. The relevant literature is consequently relating water temperature to the ambient meteorological variables for which a forecast already exists.</w:t>
      </w:r>
    </w:p>
    <w:p w14:paraId="7BE5978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parametric statistical modelling study of a small aquatic pond found that simple linear regression against air temperature could be field-validated across daily, weekly, and monthly timescales in a semiarid climate (Ali et al., 2016), while high-resolution empirical studies of solar-driven pond thermal stratification independently corroborate the underlying physical mechanism linking ambient conditions to water-column response (Brownridge, 2015). However, this linear relationship does not hold across all regimes. A stream-temperature regression study observed that "air/stream temperature correlations... departed from linearity as air temperatures exceeded approximately 25 degrees C due to evaporative cooling" (Morrill et al., 2005). Singapore's air temperature sits well above this threshold for the majority of the year, indicating that a constant-offset or simple linear projection would operate in precisely the regime where such approaches have been documented elsewhere to lose reliability.</w:t>
      </w:r>
    </w:p>
    <w:p w14:paraId="31F3FFA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dedicated pond energy-balance model, PHATR, characterises what a physically complete treatment requires and what it achieves. PHATR solves a ten-term energy balance (solar radiation, back radiation, sky radiation, evaporation, convection, soil conduction, seepage, rainfall, well-water input, and outflow) via a fourth-order Runge-Kutta numerical method, in which air temperature enters only indirectly, itself a function of dew point, and a separate convection term but never as a direct linear driver (Lamoureux et al., 2006). This is consistent with the radiation-dominant energy budget reported in the same work and reviewed earlier. Even this full model produced an average bias of 0.7°C for unheated ponds and 2.4°C for heated ponds relative to measured data, establishing a practical floor on the accuracy any simpler air-temperature-driven projection can expect to reach.</w:t>
      </w:r>
    </w:p>
    <w:p w14:paraId="78A34DD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More directly relevant to the look-ahead question, the same study demonstrated that model accuracy is strongly sensitive to temporal resolution, with the correlation coefficient </w:t>
      </w:r>
      <w:r w:rsidRPr="00B95EB3">
        <w:rPr>
          <w:rFonts w:asciiTheme="majorHAnsi" w:hAnsiTheme="majorHAnsi" w:cstheme="majorHAnsi"/>
        </w:rPr>
        <w:lastRenderedPageBreak/>
        <w:t>falling from 0.92 at a one-hour time step to 0.70 at six hours. This is the clearest quantitative statement identified in this review of how far ahead an ambient-driven water temperature projection remains useful, and it bounds the horizon over which any feeding look-ahead can claim meaningful accuracy. The literature thus supports the value of a short-horizon projection while placing a firm and citable limit on how far that horizon can be extended, and this limit is the constraint the architecture chapter must design within.</w:t>
      </w:r>
    </w:p>
    <w:p w14:paraId="2BEEC07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For the evaporation component specifically, PHATR's own comparison of three evaporation formulas namely, Penman, Piedrahita, and Lake Hefner against measured aquaculture pond data found the Penman equation produced the lowest-magnitude bias in both heated and unheated conditions. This is the only head-to-head comparison of evaporation formulations identified in this review conducted in the aquaculture pond context, and it establishes Penman as the best-evidenced of the named alternatives at this scale.</w:t>
      </w:r>
    </w:p>
    <w:p w14:paraId="015B9E62" w14:textId="77777777" w:rsidR="00DB1607" w:rsidRPr="00B95EB3" w:rsidRDefault="00000000">
      <w:pPr>
        <w:pStyle w:val="Heading2"/>
        <w:rPr>
          <w:rFonts w:asciiTheme="majorHAnsi" w:hAnsiTheme="majorHAnsi" w:cstheme="majorHAnsi"/>
        </w:rPr>
      </w:pPr>
      <w:bookmarkStart w:id="36" w:name="X240ae13c6158485e45e5d1dfe33011c339e17d2"/>
      <w:bookmarkStart w:id="37" w:name="_Toc241565679"/>
      <w:bookmarkEnd w:id="32"/>
      <w:bookmarkEnd w:id="34"/>
      <w:r w:rsidRPr="00B95EB3">
        <w:rPr>
          <w:rFonts w:asciiTheme="majorHAnsi" w:hAnsiTheme="majorHAnsi" w:cstheme="majorHAnsi"/>
        </w:rPr>
        <w:t>2.6 Instrumentation and Inference Options for the Parameters Identified</w:t>
      </w:r>
      <w:bookmarkEnd w:id="37"/>
    </w:p>
    <w:p w14:paraId="32D7CBB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preceding sections established which parameters determine fish health, which environmental stressors act on them, and where anticipation adds value. What remains is the question of how each parameter is to be obtained. This section reviews the instrumentation documented for the parameters identified as consequential namely, dissolved oxygen, ammonia, nitrate, pH, algal biomass and ambient light. The section also analyses the inference methods the literature offers where direct instrumentation proves impractical, and reports the cost and reliability characteristics of each.</w:t>
      </w:r>
    </w:p>
    <w:p w14:paraId="1BAE716A" w14:textId="77777777" w:rsidR="00DB1607" w:rsidRPr="00B95EB3" w:rsidRDefault="00000000">
      <w:pPr>
        <w:pStyle w:val="Heading3"/>
        <w:rPr>
          <w:rFonts w:asciiTheme="majorHAnsi" w:hAnsiTheme="majorHAnsi" w:cstheme="majorHAnsi"/>
        </w:rPr>
      </w:pPr>
      <w:bookmarkStart w:id="38" w:name="X802080ffe33ffe5ff7b842189ce5df85949710e"/>
      <w:bookmarkStart w:id="39" w:name="_Toc241565680"/>
      <w:r w:rsidRPr="00B95EB3">
        <w:rPr>
          <w:rFonts w:asciiTheme="majorHAnsi" w:hAnsiTheme="majorHAnsi" w:cstheme="majorHAnsi"/>
        </w:rPr>
        <w:t>2.6.1 The Maintenance Gradient Between Sensor Classes</w:t>
      </w:r>
      <w:bookmarkEnd w:id="39"/>
    </w:p>
    <w:p w14:paraId="0E41B74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Before considering individual parameters, the reviewed literature exposes a structural distinction between sensor classes that recurs across every parameter examined invisible in purchase price alone.</w:t>
      </w:r>
    </w:p>
    <w:p w14:paraId="0A1FFC3D"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2.2. Sensor classes grouped by how they interact with the medium.</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00" w:firstRow="0" w:lastRow="0" w:firstColumn="0" w:lastColumn="0" w:noHBand="0" w:noVBand="0"/>
      </w:tblPr>
      <w:tblGrid>
        <w:gridCol w:w="2908"/>
        <w:gridCol w:w="6278"/>
      </w:tblGrid>
      <w:tr w:rsidR="00DB1607" w:rsidRPr="00B95EB3" w14:paraId="2AF153BF" w14:textId="77777777" w:rsidTr="00DB1607">
        <w:trPr>
          <w:tblHeader/>
        </w:trPr>
        <w:tc>
          <w:tcPr>
            <w:tcW w:w="0" w:type="auto"/>
            <w:shd w:val="clear" w:color="auto" w:fill="EDEFF2"/>
          </w:tcPr>
          <w:p w14:paraId="081C742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Sensor Class</w:t>
            </w:r>
          </w:p>
        </w:tc>
        <w:tc>
          <w:tcPr>
            <w:tcW w:w="0" w:type="auto"/>
            <w:shd w:val="clear" w:color="auto" w:fill="EDEFF2"/>
          </w:tcPr>
          <w:p w14:paraId="46A109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Examples</w:t>
            </w:r>
          </w:p>
        </w:tc>
      </w:tr>
      <w:tr w:rsidR="00DB1607" w:rsidRPr="00B95EB3" w14:paraId="1733ACB7" w14:textId="77777777">
        <w:tc>
          <w:tcPr>
            <w:tcW w:w="0" w:type="auto"/>
          </w:tcPr>
          <w:p w14:paraId="07269A7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Physical sensors</w:t>
            </w:r>
          </w:p>
        </w:tc>
        <w:tc>
          <w:tcPr>
            <w:tcW w:w="0" w:type="auto"/>
          </w:tcPr>
          <w:p w14:paraId="6F004CB3"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DS18B20 temperature sensor,</w:t>
            </w:r>
          </w:p>
          <w:p w14:paraId="798B52D4"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MPU6050 Accelerometer/Gyro,</w:t>
            </w:r>
          </w:p>
          <w:p w14:paraId="70F58D1E"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HC-SR04 Ultrasonic sensor</w:t>
            </w:r>
          </w:p>
        </w:tc>
      </w:tr>
      <w:tr w:rsidR="00DB1607" w:rsidRPr="00B95EB3" w14:paraId="19059AAB" w14:textId="77777777">
        <w:tc>
          <w:tcPr>
            <w:tcW w:w="0" w:type="auto"/>
          </w:tcPr>
          <w:p w14:paraId="3475A2D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Electrochemical sensors</w:t>
            </w:r>
          </w:p>
        </w:tc>
        <w:tc>
          <w:tcPr>
            <w:tcW w:w="0" w:type="auto"/>
          </w:tcPr>
          <w:p w14:paraId="1FF54BC8"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Gravity Analog Dissolved Oxygen Sensor, DFRobot Lab Grade pH Sensor,</w:t>
            </w:r>
          </w:p>
          <w:p w14:paraId="2068EF2E"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Mini Nitrate ISE Electrode,</w:t>
            </w:r>
          </w:p>
          <w:p w14:paraId="74AC8209"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lastRenderedPageBreak/>
              <w:t>Nitrite Ion Selective Electrode</w:t>
            </w:r>
          </w:p>
        </w:tc>
      </w:tr>
      <w:tr w:rsidR="00DB1607" w:rsidRPr="00B95EB3" w14:paraId="121F2253" w14:textId="77777777">
        <w:tc>
          <w:tcPr>
            <w:tcW w:w="0" w:type="auto"/>
          </w:tcPr>
          <w:p w14:paraId="070B4E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Optical sensors</w:t>
            </w:r>
          </w:p>
        </w:tc>
        <w:tc>
          <w:tcPr>
            <w:tcW w:w="0" w:type="auto"/>
          </w:tcPr>
          <w:p w14:paraId="57C7414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CAM ,GY33 RGB colour sensor, TSL2591 ambient light sensor</w:t>
            </w:r>
          </w:p>
        </w:tc>
      </w:tr>
      <w:tr w:rsidR="00DB1607" w:rsidRPr="00B95EB3" w14:paraId="2223C232" w14:textId="77777777">
        <w:tc>
          <w:tcPr>
            <w:tcW w:w="0" w:type="auto"/>
          </w:tcPr>
          <w:p w14:paraId="4F74771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Chemical colorimetric indicators</w:t>
            </w:r>
          </w:p>
        </w:tc>
        <w:tc>
          <w:tcPr>
            <w:tcW w:w="0" w:type="auto"/>
          </w:tcPr>
          <w:p w14:paraId="420A4669"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Seachem Ammonia Alert,</w:t>
            </w:r>
          </w:p>
          <w:p w14:paraId="1F3C10CC"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API pH Test Kit,</w:t>
            </w:r>
          </w:p>
          <w:p w14:paraId="5E5D361A"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API Nitrate Test Kit,</w:t>
            </w:r>
          </w:p>
          <w:p w14:paraId="38F1750A" w14:textId="77777777" w:rsidR="00DB1607" w:rsidRPr="00B95EB3" w:rsidRDefault="00000000">
            <w:pPr>
              <w:spacing w:before="20" w:after="20" w:line="264" w:lineRule="auto"/>
              <w:rPr>
                <w:rFonts w:asciiTheme="majorHAnsi" w:hAnsiTheme="majorHAnsi" w:cstheme="majorHAnsi"/>
              </w:rPr>
            </w:pPr>
            <w:r w:rsidRPr="00B95EB3">
              <w:rPr>
                <w:rFonts w:asciiTheme="majorHAnsi" w:hAnsiTheme="majorHAnsi" w:cstheme="majorHAnsi"/>
                <w:sz w:val="19"/>
              </w:rPr>
              <w:t>reagent test strips and colorimetric badges</w:t>
            </w:r>
          </w:p>
        </w:tc>
      </w:tr>
    </w:tbl>
    <w:p w14:paraId="50DDCF88"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Examining sensors by the way they interact with the medium gives a clearer view of reliability and maintenance cost than purchase price does. The more useful axis is how a sensor converts what it detects into a reading.</w:t>
      </w:r>
    </w:p>
    <w:p w14:paraId="686F664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Physical and optical sensors transduce through a solid-state element, a semiconductor junction, thermistor or photodiode, which responds to a physical quantity without exchanging anything with the medium. They consume only the power required to operate, and the sensing element itself has no mechanism of chemical drift. Their characteristic failure is typically external rather than internal. An occluded optical path or a biofilm on the housing, which attenuates the reading without altering the calibration of the element behind it. Correction modes therefore are simple, typically involving cleaning rather than by recalibration.</w:t>
      </w:r>
    </w:p>
    <w:p w14:paraId="14B4864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Wet electrochemical sensors convert a chemical condition directly into an electrical signal through an interface in continuous contact with the sample. That coupling is the source of both their selectivity and their shared failure modes: baseline drift requiring periodic recalibration, membrane or junction fouling, ionic interference from non-target species, and consumable elements with a finite service life.</w:t>
      </w:r>
    </w:p>
    <w:p w14:paraId="6C8FC6E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Chemical colorimetric indicators occupy a third position that a two-way split obscures. They are chemical sensors, deriving selectivity from a reagent that reacts with the target analyte, but they do not generate an electrical signal. This sensor class still remains the most commonly employed class in the fish hobbyist domain. The reagent changes colour and the reading is taken optically, typically by the fish owner’s eyes. Removing the electrode removes the failure modes that belong to the electrode. There is no reference junction to foul, no electrolyte to exhaust, and no calibration against buffer standards, because the quantity being read is a visible colour change rather than a millivolt offset requiring a reference point. However the main drawbacks associated with this sensor class is the </w:t>
      </w:r>
      <w:r w:rsidRPr="00B95EB3">
        <w:rPr>
          <w:rFonts w:asciiTheme="majorHAnsi" w:hAnsiTheme="majorHAnsi" w:cstheme="majorHAnsi"/>
        </w:rPr>
        <w:lastRenderedPageBreak/>
        <w:t>outright requirement of humans in the loop to conduct tests manually combined with the consumability of test kits. Their cost is extremely economical, however due to their consumption based nature sensing costs increase as frequency of tests increase for the average chemical test kit. Their employment within IoT domains is with some exception largely underutilised due to the high consumability and therefore maintenance as well as the limited automability of test kits.</w:t>
      </w:r>
    </w:p>
    <w:p w14:paraId="62CF655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three-month laboratory and field stability study of a low-cost multiparameter IoT station quantifies this gradient within a single deployment. Naloufi et al. found that "weekly calibration and cleaning were required" to compensate for drift across the instrumented parameters, with the temperature sensor demonstrating good stability and minimal drift, the pH sensors showing acceptable stability under that weekly maintenance regime, and the dissolved oxygen sensor requiring monthly membrane cap replacement, with a six-month-old membrane exhibiting visibly degraded performance (Naloufi et al., 2024). The gradient is therefore not merely conceptual: within one study, on one water body, the maintenance interval ranged from effectively none to monthly consumable replacement depending on the sensing principle.</w:t>
      </w:r>
    </w:p>
    <w:p w14:paraId="496F7C2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adoption pattern across the wider literature tracks this gradient closely. A systematic review of 142 low-cost water quality sensing papers found pH instrumented in 90% of studies, temperature in 80%, and turbidity in 59%, but dissolved oxygen in only 38%, attributing the last figure explicitly to "the difficulty of performing reliable DO measurements in real conditions" (Martins et al., 2023). The same review reports fouling, water ingress and component degradation as recurring field failures, and notes that only 18 of the 142 studies performed the expected comparison against reference instrumentation. Plausibly indicating that low-cost sensor accuracy is thinner than the volume of publication suggests.</w:t>
      </w:r>
    </w:p>
    <w:p w14:paraId="54FB54F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Two evaluation criteria follow from this outcome. The first is that in an unattended domestic deployment the relevant cost includes recurring calibration labour as well as purchase price, and that labour falls on the owner whose workload the system exists to reduce. A drifting sensor is additionally worse than an absent one in an advisory context, because it produces a confidently wrong reading where an absent sensor produces an acknowledged gap. The second is that this burden must be weighed against breadth of use. </w:t>
      </w:r>
      <w:r w:rsidRPr="00B95EB3">
        <w:rPr>
          <w:rFonts w:asciiTheme="majorHAnsi" w:hAnsiTheme="majorHAnsi" w:cstheme="majorHAnsi"/>
        </w:rPr>
        <w:lastRenderedPageBreak/>
        <w:t>Maintenance is incurred per sensor, but benefit accrues per derived quantity, so a parameter feeding several downstream calculations amortises its upkeep in a way that a parameter feeding one does not. The gradient is consequently a criterion for weighing instruments against each other, not a direct rule precluding employment of any sensor class.</w:t>
      </w:r>
    </w:p>
    <w:p w14:paraId="48F83FCE" w14:textId="77777777" w:rsidR="00DB1607" w:rsidRPr="00B95EB3" w:rsidRDefault="00000000">
      <w:pPr>
        <w:pStyle w:val="Heading3"/>
        <w:rPr>
          <w:rFonts w:asciiTheme="majorHAnsi" w:hAnsiTheme="majorHAnsi" w:cstheme="majorHAnsi"/>
        </w:rPr>
      </w:pPr>
      <w:bookmarkStart w:id="40" w:name="X0f23e04e26df5a980de80d8acaeffd1edb736f4"/>
      <w:bookmarkStart w:id="41" w:name="_Toc241565681"/>
      <w:bookmarkEnd w:id="38"/>
      <w:r w:rsidRPr="00B95EB3">
        <w:rPr>
          <w:rFonts w:asciiTheme="majorHAnsi" w:hAnsiTheme="majorHAnsi" w:cstheme="majorHAnsi"/>
        </w:rPr>
        <w:t>2.6.2 pH: Maintenance Cost Against Breadth of Use</w:t>
      </w:r>
      <w:bookmarkEnd w:id="41"/>
    </w:p>
    <w:p w14:paraId="76B4B02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pH is measured by a glass electrode and carries the electrochemical class's weaknesses in full. It drifts and requires recalibration against reference buffers, its junction fouls, and the hydrated gel layer that gives the glass membrane its response degrades with time in service regardless of care, so the electrode has a finite life measured in months to roughly a year rather than an indefinite one. It appears in the stability study above among the sensors needing weekly attention (Naloufi et al., 2024). By the first criterion alone it is an unattractive instrument for an unattended deployment.</w:t>
      </w:r>
    </w:p>
    <w:p w14:paraId="0CD5CA3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second criterion reverses that assessment, because three findings established earlier in this chapter each independently require pH, and none of them can be satisfied by any other sensor in a low-cost suite.</w:t>
      </w:r>
    </w:p>
    <w:p w14:paraId="00BB6CF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first is toxicity resolution. The nitrogen literature reviewed above establishes that it is un-ionised NH₃ rather than total ammonia nitrogen that is acutely toxic, and that the equilibrium between NH₃ and NH₄⁺ is a strong function of pH. RAS modelling literature identifies omission of this pH-dependent split as an acknowledged simplification even within dedicated research. Without pH, a total ammonia figure whether sensed or modelled has no defined biological meaning, since the same concentration may be harmless or dangerous depending on where the equilibrium sits. The second is that pH is the parameter on which the rainfall stressor class acts most directly, making it the measurement through which an acid-loading event becomes observable at all. The third is that the diurnal photosynthesis-respiration cycle established in the algal literature expresses itself as a pH oscillation, so pH carries an independent signal of algal activity that can be cross-checked against an optical proxy derived from entirely different hardware.</w:t>
      </w:r>
    </w:p>
    <w:p w14:paraId="314ED53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adoption evidence is consistent with this breadth: pH was the single most commonly instrumented parameter in the systematic review above, present in 90% of studies (Martins </w:t>
      </w:r>
      <w:r w:rsidRPr="00B95EB3">
        <w:rPr>
          <w:rFonts w:asciiTheme="majorHAnsi" w:hAnsiTheme="majorHAnsi" w:cstheme="majorHAnsi"/>
        </w:rPr>
        <w:lastRenderedPageBreak/>
        <w:t>et al., 2023), reflecting both a mature technology available at multiple price points and a parameter whose utility is widely recognised. Replacement elements are correspondingly inexpensive relative to the electrode classes reviewed for dissolved oxygen and nitrate, so the annual service cost is small in absolute terms even though the service interval is short.</w:t>
      </w:r>
    </w:p>
    <w:p w14:paraId="3856179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What the literature therefore describes for pH is a sensor sitting on the unfavourable side of the maintenance gradient whose upkeep is amortised across three distinct derived quantities, at a replacement cost an order of magnitude below the electrochemical instruments assessed below. This is a materially different trade from the ones examined in the following subsections, and it illustrates why the gradient must be applied as a weighing criterion rather than as a class exclusion.</w:t>
      </w:r>
    </w:p>
    <w:p w14:paraId="59D2D55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One consequence of that concentration of dependency deserves recording, because it is a cost rather than a benefit. A pH channel serving three derived quantities means a drifted or expired electrode degrades all three simultaneously and silently. The literature's finding that only 18 of 142 reviewed studies validated against reference instrumentation (Martins et al., 2023) suggests this failure mode is under-examined in practice. Any system depending on pH this heavily therefore needs to treat electrode age and calibration state as first-class information, and needs a grounding mechanism capable of declaring when its own reading should no longer be trusted.</w:t>
      </w:r>
    </w:p>
    <w:p w14:paraId="084EC9CA" w14:textId="77777777" w:rsidR="00DB1607" w:rsidRPr="00B95EB3" w:rsidRDefault="00000000">
      <w:pPr>
        <w:pStyle w:val="Heading3"/>
        <w:rPr>
          <w:rFonts w:asciiTheme="majorHAnsi" w:hAnsiTheme="majorHAnsi" w:cstheme="majorHAnsi"/>
        </w:rPr>
      </w:pPr>
      <w:bookmarkStart w:id="42" w:name="dissolved-oxygen-instrumentation"/>
      <w:bookmarkStart w:id="43" w:name="_Toc241565682"/>
      <w:bookmarkEnd w:id="40"/>
      <w:r w:rsidRPr="00B95EB3">
        <w:rPr>
          <w:rFonts w:asciiTheme="majorHAnsi" w:hAnsiTheme="majorHAnsi" w:cstheme="majorHAnsi"/>
        </w:rPr>
        <w:t>2.6.3 Dissolved Oxygen Instrumentation</w:t>
      </w:r>
      <w:bookmarkEnd w:id="43"/>
    </w:p>
    <w:p w14:paraId="51A00EC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Dissolved oxygen sits at the unfavourable extreme of the gradient on both of its axes. Conventional electrochemical DO sensors rely on platinum electrodes, which are costly, and are additionally documented to suffer biofouling in natural water that "leads to reduced sensitivity and variable performance" (Hsu et al., n.d.). More specifically, experimental characterisation of a low-cost DO sensor found that the addition of nitrate and phosphate compounds caused approximately 30% and 70% current variation respectively in sensor response (Hsu et al., n.d.). Nitrate and phosphate are routine constituents of a fed outdoor pond, so the chemistry the pond generates is documented to corrupt the readings of affordable DO sensors. This is corroborated in deployment: the stability study reviewed above required monthly membrane cap replacement for its DO channel and observed degraded performance from a six-month-old membrane (Naloufi et al., 2024), and the </w:t>
      </w:r>
      <w:r w:rsidRPr="00B95EB3">
        <w:rPr>
          <w:rFonts w:asciiTheme="majorHAnsi" w:hAnsiTheme="majorHAnsi" w:cstheme="majorHAnsi"/>
        </w:rPr>
        <w:lastRenderedPageBreak/>
        <w:t>systematic review found DO instrumented in only 38% of low-cost studies against pH's 90%, attributing the shortfall to the difficulty of reliable DO measurement in real conditions (Martins et al., 2023). Unlike pH, the parameter also feeds no other derived quantity, so its maintenance burden is amortised across nothing.</w:t>
      </w:r>
    </w:p>
    <w:p w14:paraId="0464555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four-year field comparison did report strong performance from low-cost DO sensors, with mean absolute errors below 1 mg/L against reference stations and little drift even without recalibration (Leischner et al., 2026). Those deployments were in flowing streams, where continuous movement resists both biofouling and the build-up of interfering nutrients.</w:t>
      </w:r>
    </w:p>
    <w:p w14:paraId="182BC5E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This partly restores the case for DO sensing, because ponds in Singapore commonly run aeration for much of the day to reduce heat stress and hypoxia risk. Aeration creates surface agitation and circulation that resemble the flowing conditions in which those sensors performed well, so fouling may build up more slowly than in a still pond. The catch is that a probe sited in well-aerated water mostly reports water near saturation. The information it returns shrinks while the effort to keep it accurate stays the same. The physiological importance of DO is unchanged, but the marginal value of instrumenting it in an aerated pond is low.</w:t>
      </w:r>
    </w:p>
    <w:p w14:paraId="6253DEB8" w14:textId="77777777" w:rsidR="00DB1607" w:rsidRPr="00B95EB3" w:rsidRDefault="00000000">
      <w:pPr>
        <w:pStyle w:val="Heading3"/>
        <w:rPr>
          <w:rFonts w:asciiTheme="majorHAnsi" w:hAnsiTheme="majorHAnsi" w:cstheme="majorHAnsi"/>
        </w:rPr>
      </w:pPr>
      <w:bookmarkStart w:id="44" w:name="nitrate-instrumentation"/>
      <w:bookmarkStart w:id="45" w:name="_Toc241565683"/>
      <w:bookmarkEnd w:id="42"/>
      <w:r w:rsidRPr="00B95EB3">
        <w:rPr>
          <w:rFonts w:asciiTheme="majorHAnsi" w:hAnsiTheme="majorHAnsi" w:cstheme="majorHAnsi"/>
        </w:rPr>
        <w:t>2.6.4 Nitrate Instrumentation</w:t>
      </w:r>
      <w:bookmarkEnd w:id="45"/>
    </w:p>
    <w:p w14:paraId="469434B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Nitrate instrumentation presents a similar structure. The established continuous-monitoring standard, ultraviolet absorption spectroscopy, is reported to cost between $15,000 and $25,000 per unit while remaining vulnerable to organic-matter interference. For all intents and purposes such sensors are in no contention for being considered in an IoT project with a budgetary system as one of its core directives. The more affordable alternative, the ion-selective electrode, shares the electrochemical class’s fouling and drift and adds interference from other ions. Capella et al. (2015) identify chloride and bicarbonate as the major interferents for nitrate electrodes, and both are present in any pond that receives tap-water top-ups. Emerging low-cost optical prototypes exist, with one recent design achieving a sub-$800 unit cost, but as of publication remained a research prototype requiring "further calibration work to address challenges with matrix effects in dirty water" rather than a commercially mature solution (Furuta et al., 2026).</w:t>
      </w:r>
    </w:p>
    <w:p w14:paraId="3EB69A8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What the literature describes for both dissolved oxygen and nitrate is therefore a cost-reliability frontier rather than a simple price barrier. The methods with documented accuracy sit one to three orders of magnitude above a domestic instrumentation budget, while the affordable alternatives carry quantified failure modes that manifest specifically under the chemical conditions an outdoor pond produces, and both sit on the recurring-calibration side of the maintenance gradient without the breadth of use that offsets the same burden for pH. Neither finding rules direct sensing out in principle. Together they establish that a system adopting it at this scale would commit a large share of both its budget and its owner's recurring attention in exchange for a measurement of uncertain accuracy, and would do so for parameters that feed no further calculation. Whether other routes to the same information exist at acceptable cost is the question the following subsections examine.</w:t>
      </w:r>
    </w:p>
    <w:p w14:paraId="7E5335A2" w14:textId="77777777" w:rsidR="00DB1607" w:rsidRPr="00B95EB3" w:rsidRDefault="00000000">
      <w:pPr>
        <w:pStyle w:val="Heading3"/>
        <w:rPr>
          <w:rFonts w:asciiTheme="majorHAnsi" w:hAnsiTheme="majorHAnsi" w:cstheme="majorHAnsi"/>
        </w:rPr>
      </w:pPr>
      <w:bookmarkStart w:id="46" w:name="tds-as-a-non-specific-context-signal"/>
      <w:bookmarkStart w:id="47" w:name="_Toc241565684"/>
      <w:bookmarkEnd w:id="44"/>
      <w:r w:rsidRPr="00B95EB3">
        <w:rPr>
          <w:rFonts w:asciiTheme="majorHAnsi" w:hAnsiTheme="majorHAnsi" w:cstheme="majorHAnsi"/>
        </w:rPr>
        <w:t>2.6.5 TDS as a Non-Specific Context Signal</w:t>
      </w:r>
      <w:bookmarkEnd w:id="47"/>
    </w:p>
    <w:p w14:paraId="593D8D1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Low-cost TDS boards normally measure electrical conductivity and then convert that result into a TDS estimate. Conductivity responds to all mobile ions in the water rather than one named compound. The United States Environmental Protection Agency also requires conductivity results to be corrected to 25 degrees Celsius, which shows that temperature is part of the measurement rather than a minor detail (United States Environmental Protection Agency, 1982).</w:t>
      </w:r>
    </w:p>
    <w:p w14:paraId="2959EA3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conversion from conductivity to TDS is not universal. Hubert and Wolkersdorfer (2015) reported conversion factors from 0.25 to 1.34 across 45 water samples. They concluded that accurate conversion needs a factor suited to the site and noted that the factor can also change over time. The water type in that study differs from a koi pond, but the measurement limit is general. One conductivity value can be produced by different mixes of ions. A low-cost TDS channel therefore cannot identify which dissolved substance changed.</w:t>
      </w:r>
    </w:p>
    <w:p w14:paraId="797C2C4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This is especially important for ammonia. Ammonia and ammonium form only part of the pond's ionic mixture, while source-water minerals, salt additions, feed residues, waste products and nitrification products also affect that mixture. Aquaculture literature identifies feed, intake water, nutrients and biological activity as joint drivers of water quality, and lists conductivity beside pH, temperature and other separate measurements rather than as a </w:t>
      </w:r>
      <w:r w:rsidRPr="00B95EB3">
        <w:rPr>
          <w:rFonts w:asciiTheme="majorHAnsi" w:hAnsiTheme="majorHAnsi" w:cstheme="majorHAnsi"/>
        </w:rPr>
        <w:lastRenderedPageBreak/>
        <w:t>replacement for them (Yusoff et al., 2024). A TDS rise can occur while ammonia is stable, and an ammonia rise can be too small beside the background ionic load to create a useful TDS change. TDS is therefore a poor ammonia analogue.</w:t>
      </w:r>
    </w:p>
    <w:p w14:paraId="2BBBA53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literature still supports keeping the sensor. Its useful output is a time series showing that the combined dissolved load has changed. A site-specific baseline can show gradual concentration, dilution, or a step after pond maintenance. Interpretation needs other context because evaporation, rainfall, top-up water, water changes, feeding, cleaning and salt treatment can move the reading in different directions. This places TDS in the system as a supporting log and change signal. It must not be given a universal safe band or converted into an ammonia value.</w:t>
      </w:r>
    </w:p>
    <w:p w14:paraId="58BF0254" w14:textId="77777777" w:rsidR="00DB1607" w:rsidRPr="00B95EB3" w:rsidRDefault="00000000">
      <w:pPr>
        <w:pStyle w:val="Heading3"/>
        <w:rPr>
          <w:rFonts w:asciiTheme="majorHAnsi" w:hAnsiTheme="majorHAnsi" w:cstheme="majorHAnsi"/>
        </w:rPr>
      </w:pPr>
      <w:bookmarkStart w:id="48" w:name="X2fc9b5d911b7fb46886a1b83fda1e433ae966cc"/>
      <w:bookmarkStart w:id="49" w:name="_Toc241565685"/>
      <w:bookmarkEnd w:id="46"/>
      <w:r w:rsidRPr="00B95EB3">
        <w:rPr>
          <w:rFonts w:asciiTheme="majorHAnsi" w:hAnsiTheme="majorHAnsi" w:cstheme="majorHAnsi"/>
        </w:rPr>
        <w:t>2.6.6 Inferring Nitrogenous Loading from Feeding Events</w:t>
      </w:r>
      <w:bookmarkEnd w:id="49"/>
    </w:p>
    <w:p w14:paraId="32C9434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literature offers a second route to the nitrogen species: modelling ammonia-to-nitrate conversion kinetically from feeding events, which the Ott et al. result identified earlier as the dominant driver of chemical loading. This approach has meaningful, if imperfect, precedent, drawn primarily from indoor and recirculating aquaculture system (RAS) studies.</w:t>
      </w:r>
    </w:p>
    <w:p w14:paraId="6E27EBA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spreadsheet-based mass-balance model of total ammonia nitrogen dynamics in semi-intensive earthen ponds achieved a reported model efficiency exceeding 90% against three years of field data. However this outcome required thirteen manually calibrated parameters standardised against site-specific observations (Ray et al., 2017). A validated pond-scale kinetic model of this type required extensive site-specific calibration rather than universally transferable coefficients. Any implementation adopting published rate constants without equivalent local calibration is therefore operating with placeholders pending experimental identification.</w:t>
      </w:r>
    </w:p>
    <w:p w14:paraId="0C88BAE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recent RAS study explicitly decomposed ammonia nitrogen generation into digestion-excretion kinetics and a separate, delayed contribution from the decomposition of uneaten feed and faeces, finding this dual-pathway structure necessary to capture observed feeding-induced fluctuations accurately (Song et al., 2026). A single-multiplier excretion fraction which constitutes the simplest available formulation, collapses two physically and temporally distinct processes into one, and would not be expected to reproduce the delayed component that study found necessary.</w:t>
      </w:r>
    </w:p>
    <w:p w14:paraId="74777B0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A separate RAS study measured trickling-filter nitrification kinetics fitting a ½-order/0-order model, and noted ammonia nitrification rates in saline conditions running approximately 37% lower than in freshwater (Díaz et al., n.d.). Although the specific rate constants and functional form are not directly transferable to an unfiltered pond volume, the finding independently corroborates the qualitative pattern of feeding-driven TAN pulses decaying overnight. Another RAS study explicitly incorporated pH-dependent ammonium dissociation into its nitrification model, describing this as a refinement "not... implemented as such in previous RAS models" (Montjourides et al., 2025). This identifies a refinement available at no additional instrumentation cost to any system already measuring pH: modelling raw TAN without the pH-dependent NH₃/NH₄⁺ split is an acknowledged simplification even within dedicated RAS modelling research.</w:t>
      </w:r>
    </w:p>
    <w:p w14:paraId="26B8659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One limitation applies to the whole of this precedent. All the kinetic modelling studies reviewed here were conducted either in flow-through recirculating systems or in managed earthen ponds without significant uncontrolled external biological input. An outdoor deployment differs materially, since wind and rain introduce allochthonous organic matter, airborne debris, and biological material such as pollen, insects, bird waste. This constitutes an explicit limitation on transferring these otherwise well-precedented kinetic approaches to an uncontrolled outdoor environment. It is also a limitation the approach cannot detect in itself, so its error under such conditions is silent. This is the strongest argument identified in this review for obtaining some chemical observation independent of the model, and it motivates examining a third route.</w:t>
      </w:r>
    </w:p>
    <w:p w14:paraId="0B1EDB08" w14:textId="77777777" w:rsidR="00DB1607" w:rsidRPr="00B95EB3" w:rsidRDefault="00000000">
      <w:pPr>
        <w:pStyle w:val="Heading3"/>
        <w:rPr>
          <w:rFonts w:asciiTheme="majorHAnsi" w:hAnsiTheme="majorHAnsi" w:cstheme="majorHAnsi"/>
        </w:rPr>
      </w:pPr>
      <w:bookmarkStart w:id="50" w:name="X1d80102def426413025e5b672579e5f5fba4328"/>
      <w:bookmarkStart w:id="51" w:name="_Toc241565686"/>
      <w:bookmarkEnd w:id="48"/>
      <w:r w:rsidRPr="00B95EB3">
        <w:rPr>
          <w:rFonts w:asciiTheme="majorHAnsi" w:hAnsiTheme="majorHAnsi" w:cstheme="majorHAnsi"/>
        </w:rPr>
        <w:t>2.6.7 Colorimetric Ammonia Indication Read Optically</w:t>
      </w:r>
      <w:bookmarkEnd w:id="51"/>
    </w:p>
    <w:p w14:paraId="39C56EB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third route the literature offers is neither electrochemical sensing nor pure inference. This approach typically involves a colorimetric reagent whose colour varies with analyte concentration, read by a camera rather than by an electrode.</w:t>
      </w:r>
    </w:p>
    <w:p w14:paraId="66352DC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academic precedent is direct and recent. An image processing system for total ammonia nitrogen monitoring in aquaculture, built on a Raspberry Pi, extracted RGB channel values from images of standard TAN solutions across 0–5 mg/L and fitted regression models to predict concentration, the green channel model achieved a coefficient of determination of 0.969, mean absolute error of 0.535 mg/L, root mean squared error of 0.805 mg/L, and a </w:t>
      </w:r>
      <w:r w:rsidRPr="00B95EB3">
        <w:rPr>
          <w:rFonts w:asciiTheme="majorHAnsi" w:hAnsiTheme="majorHAnsi" w:cstheme="majorHAnsi"/>
        </w:rPr>
        <w:lastRenderedPageBreak/>
        <w:t>limit of detection of 0.215 mg/L, with an optimal working range of 0.2–2.0 mg/L (Puangsuwan et al., 2026). Notably, the red channel model achieved higher numerical accuracy but "exhibited greater drift at higher TAN concentrations, reducing its reliability in operational settings". This result is consistent with the channel-selection findings in the algal colour literature reviewed later, where specific colour-space channels rather than raw RGB proved most stable. Related work has demonstrated quantitative colorimetric detection of dissolved ammonia using polydiacetylene sensors with machine-learning classifiers, and smartphone-based colorimetric determination of ammonium and nitrite using reference calibration to correct for illumination variation. Camera-read colorimetry for nitrogen species is therefore a validated class of technique rather than an improvisation, though every study in it reports the same dependence on controlled or corrected illumination that the algal imaging literature reports independently.</w:t>
      </w:r>
    </w:p>
    <w:p w14:paraId="212A408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Two instances of this sensor class exist in the ornamental aquarium trade, and provide off the shelf solutions for several of the questions this section raises. A study of these two products allows a better understanding for plausible colorimetric ammonia sensing applications for the purposes of this project.</w:t>
      </w:r>
    </w:p>
    <w:p w14:paraId="6CFB3477" w14:textId="77777777" w:rsidR="00DB1607" w:rsidRPr="00B95EB3" w:rsidRDefault="00000000">
      <w:pPr>
        <w:pStyle w:val="Heading4"/>
        <w:rPr>
          <w:rFonts w:asciiTheme="majorHAnsi" w:hAnsiTheme="majorHAnsi" w:cstheme="majorHAnsi"/>
        </w:rPr>
      </w:pPr>
      <w:bookmarkStart w:id="52" w:name="seneye-ammonia-monitoring"/>
      <w:r w:rsidRPr="00B95EB3">
        <w:rPr>
          <w:rFonts w:asciiTheme="majorHAnsi" w:hAnsiTheme="majorHAnsi" w:cstheme="majorHAnsi"/>
        </w:rPr>
        <w:t>Seneye Ammonia Monitoring</w:t>
      </w:r>
    </w:p>
    <w:p w14:paraId="7C18B1D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Seneye monitor reads a colorimetric chemical slide optically, using light-emitting diodes housed behind the slide within the instrument, and reports free ammonia (NH₃) alongside pH (Seneye, n.d.-a).</w:t>
      </w:r>
    </w:p>
    <w:p w14:paraId="5A6C563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This commercial product's existence validates the class within a domain that has otherwise been dominated by direct sensing. Colorimetric chemical sensing is second-order by nature, since the instrument reads the output of a separate sensing element rather than transducing the analyte itself.  This approach explores chemical sensing in unattended consumer instruments rather than only as laboratory apparatus or in manual water testing. An interesting takeaway from the Seneye Ammonia monitoring system is that the light required for reading the colorimetric data is supplied rather than using the ambient environment. The instrument carries its own light source behind the sensing element, which converts the illumination variance that the imaging literature identifies as the principal confound into a fixed property of the optical design. Lastly, the system combines two </w:t>
      </w:r>
      <w:r w:rsidRPr="00B95EB3">
        <w:rPr>
          <w:rFonts w:asciiTheme="majorHAnsi" w:hAnsiTheme="majorHAnsi" w:cstheme="majorHAnsi"/>
        </w:rPr>
        <w:lastRenderedPageBreak/>
        <w:t>properties that the sensor classes above hold separately, taking the calibration-free operation of the chemical class and the automation of the electrochemical class. The manufacturer states that the disposable slide removes the need for device calibration and that fitting a new slide re-establishes the reference condition (Seneye, n.d.-a). As such much like other chemical sensors this system requires consumables. However this is a domain wide constraint affecting electrodes as well , not a specific constraint placed on this specific system.</w:t>
      </w:r>
    </w:p>
    <w:p w14:paraId="093410E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manufacturer's operating instructions record two further constraints that follow from the physics rather than from the product. The slide must be fitted with no air trapped between it and the instrument, a step the guide advises performing underwater, since an air gap in the optical path introduces a refractive discontinuity and a specular return. The slide must also not be allowed to dry out after its initial soaking, as the hydrated state of the reagent forms part of its calibrated response (Seneye, n.d.-b). Both are requirements for any implementation of this sensing principle rather than idiosyncrasies of one product.</w:t>
      </w:r>
    </w:p>
    <w:p w14:paraId="2D78A1F1" w14:textId="77777777" w:rsidR="00DB1607" w:rsidRPr="00B95EB3" w:rsidRDefault="00000000">
      <w:pPr>
        <w:pStyle w:val="Heading4"/>
        <w:rPr>
          <w:rFonts w:asciiTheme="majorHAnsi" w:hAnsiTheme="majorHAnsi" w:cstheme="majorHAnsi"/>
        </w:rPr>
      </w:pPr>
      <w:bookmarkStart w:id="53" w:name="seachem-ammonia-alert"/>
      <w:bookmarkEnd w:id="52"/>
      <w:r w:rsidRPr="00B95EB3">
        <w:rPr>
          <w:rFonts w:asciiTheme="majorHAnsi" w:hAnsiTheme="majorHAnsi" w:cstheme="majorHAnsi"/>
        </w:rPr>
        <w:t>SeaChem Ammonia Alert</w:t>
      </w:r>
    </w:p>
    <w:p w14:paraId="07E96D5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SeaChem Ammonia Alert is a hobbyist-tier indicator of the same general class, by contrast, changes reversibly through colour bands stated bands of below 0.02 mg/L (safe), 0.05 mg/L (alert), 0.2 mg/L (alarm) and 0.5 mg/L (toxic), requires no calibration, and carries a stated service life of approximately one year (Seachem Laboratories, n.d.). The SeaChem Ammonia Alert system does not provide the exact fidelity as claimed by that of the Seneye monitor test kit by nature of its approximate colour bands. However, it similarly provides long operation windows without replacement. This actually outperforms Seneye system’s maintenance requirements which instead recommends monthly replacement. Although this could be reasoned out as Seneye’s higher fidelity system making it more susceptible to drift than the safety bands of the Sea Chem system.</w:t>
      </w:r>
    </w:p>
    <w:p w14:paraId="2114BE2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Both products also report free NH₃ rather than total ammonia nitrogen, the SeaChem product stating plainly that its indicator "only measure[s] free ammonia because that is the harmful form" (Seachem Laboratories, n.d.). Since the toxicology literature reviewed above identifies un-ionised NH₃ as the acutely toxic species, this reads the biologically meaningful quantity directly and bypasses the pH- and temperature-dependent speciation conversion </w:t>
      </w:r>
      <w:r w:rsidRPr="00B95EB3">
        <w:rPr>
          <w:rFonts w:asciiTheme="majorHAnsi" w:hAnsiTheme="majorHAnsi" w:cstheme="majorHAnsi"/>
        </w:rPr>
        <w:lastRenderedPageBreak/>
        <w:t>that the RAS modelling literature identified as commonly omitted. A measurement that is intrinsically pH-weighted requires no pH correction to be interpreted as a hazard.This output expressed as free NH₃ is also limiting, and for a more consequential reason than incomparability with the total-ammonia thresholds tabulated earlier (Stone &amp; Thomforde, 2004, as cited in Komal et al., 2021). Free NH₃ is a pH-dependent slice of the total ammonia pool rather than the pool itself, and at typical pond pH it is a small slice, on the order of one percent at pH 7.0 rising to roughly twenty percent at pH 8.5 at tropical temperatures. The indicator therefore reports the fraction of the load that is currently toxic, not the size of the load. Those two quantities diverge, and the divergence matters twice over. A pond can hold a large nitrogenous load at low pH while the indicator reads safe, and that same load becomes hazardous when photosynthesis raises pH through the afternoon without any nitrogen having been added. Separately, nitrite production draws on the whole ammonia pool rather than on the free fraction alone, since ammonium and free ammonia remain in rapid equilibrium as nitrifying bacteria consume the latter, so an indicator reading free NH₃ carries no information about downstream nitrite risk. An optical ammonia channel, a modelled total ammonia figure and a pH sensor are therefore complementary rather than redundant. The model supplies the load that nitrification kinetics require, pH and temperature convert that modelled load into a predicted hazard, and the indicator measures the hazard independently and validates the prediction.</w:t>
      </w:r>
    </w:p>
    <w:p w14:paraId="33CFE1A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However, it should be noted that SeaChem is not a full IoT implementation, only the chemical sensing portion equivalent to the Seneye system. The reason for the exploration of an independent solution away from direct Seneye system is twofold. The Seneye pond monitoring suite is extremely costly , more than $230 SGD and is against the direct budgetary constraints of the project. Secondly, Seneye is a full suite IoT system not intended to be a subsystem integrated into larger monitoring suites. This creates challenges later when trying to ingest the data from Seneye into the system proposed by this paper. SeaChem’s chemical sensor therefore provides the crucial building block to reproduce a system directionally comparable if less precise than the Seneye system. A full system buildup involving an enclosure, Seachem sensor, LEDs and photodiodes will still be necessary to reproduce the Seneye system baseline capability. Given the availability of cheap electronic modules with decent operating parameters, an independently developed </w:t>
      </w:r>
      <w:r w:rsidRPr="00B95EB3">
        <w:rPr>
          <w:rFonts w:asciiTheme="majorHAnsi" w:hAnsiTheme="majorHAnsi" w:cstheme="majorHAnsi"/>
        </w:rPr>
        <w:lastRenderedPageBreak/>
        <w:t>system leveraging SeaChem sensors should cost a fraction of the $230 SGD figure, better aligning with the project goals.</w:t>
      </w:r>
    </w:p>
    <w:p w14:paraId="49112E7E" w14:textId="77777777" w:rsidR="00DB1607" w:rsidRPr="00B95EB3" w:rsidRDefault="00000000">
      <w:pPr>
        <w:pStyle w:val="Heading3"/>
        <w:rPr>
          <w:rFonts w:asciiTheme="majorHAnsi" w:hAnsiTheme="majorHAnsi" w:cstheme="majorHAnsi"/>
        </w:rPr>
      </w:pPr>
      <w:bookmarkStart w:id="54" w:name="optical-proxying-of-algal-biomass"/>
      <w:bookmarkStart w:id="55" w:name="_Toc241565687"/>
      <w:bookmarkEnd w:id="50"/>
      <w:bookmarkEnd w:id="53"/>
      <w:r w:rsidRPr="00B95EB3">
        <w:rPr>
          <w:rFonts w:asciiTheme="majorHAnsi" w:hAnsiTheme="majorHAnsi" w:cstheme="majorHAnsi"/>
        </w:rPr>
        <w:t>2.6.8 Optical Proxying of Algal Biomass</w:t>
      </w:r>
      <w:bookmarkEnd w:id="55"/>
    </w:p>
    <w:p w14:paraId="33317BA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Direct chlorophyll or turbidity instrumentation for algal biomass carries the same cost and fouling characteristics as the chemical sensors examined above. Operating in a relatively similar vein to the SeaChem Ammonia sensor, colour-space analysis of ordinary camera imagery is the documented low-cost alternative, and the precedent for it is substantial and increasingly direct.</w:t>
      </w:r>
    </w:p>
    <w:p w14:paraId="0C61946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laboratory study across eight microalgae species found that HSV colour-space channels was among the most effective indicators for identifying non-homogeneously distributed algal species, and that a single vegetation index (VEG) consistently provided the best-fit growth kinetic model across all species tested, achieving RMSE of 0.2–0.4 (Sunoj et al., 2021). Importantly, this study also found that colour intensity tracks chlorophyll content specifically, which "grows unsteadily and then decays," while biomass grows more steadily. A colour-derived green ratio should be utilised as an tracking optical signal rather than a full proxy for standing biomass, especially as the two are liable to diverge across an algal life cycle.</w:t>
      </w:r>
    </w:p>
    <w:p w14:paraId="1686177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This laboratory-scale validation is reinforced by a real-world, production-scale deployment. A 2024 study developed a four-step HSV-thresholding pipeline for real-time cyanobacterial bloom detection on live 24-hour cameras at Dianchi Lake, China, computing an algae-pixel-to-water-pixel area ratio and reporting bloom-area ratios of 33–66% across real deployed frames (Gong et al., 2024). Both this study and an earlier laboratory-based colour-concentration regression study (Ngo et al.) similarly arrived at the same conclusion. HSV colour thresholds "vary according to different devices and locations" and must be calibrated per deployment rather than treated as universal constants. These two independent confirmations establish this as a calibration requirement rather than an optional refinement.  Thresholds must be resolved per installation, and any fixed universal cutoff should be expected to fail on transfer. A separate HSI-based threshold-segmentation method for algae counting achieved greater than 90% agreement with manual recognition conducted via microorganism object detection survey, offering further independent </w:t>
      </w:r>
      <w:r w:rsidRPr="00B95EB3">
        <w:rPr>
          <w:rFonts w:asciiTheme="majorHAnsi" w:hAnsiTheme="majorHAnsi" w:cstheme="majorHAnsi"/>
        </w:rPr>
        <w:lastRenderedPageBreak/>
        <w:t>corroboration that colour-space-based algal quantification constitutes a validated class of technique rather than an obscure unsubstantiated result.</w:t>
      </w:r>
    </w:p>
    <w:p w14:paraId="314016D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Notably, the 2024 lake-deployment study's own stated future-work direction is "more comprehensive detection methods, incorporating images, environmental parameters, and other multi-factor approaches to enhance algal bloom detection and forecasting" (Gong et al., 2024). Multi-factor fusion of imagery with environmental parameters is therefore identified by current work as an open gap rather than settled practice, leaving headroom in exactly the direction a system already sensing light and temperature alongside imagery would occupy.</w:t>
      </w:r>
    </w:p>
    <w:p w14:paraId="02B8F65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One methodological caveat from the same study should be highlighted. HSV thresholding was applied only after a separate water-body segmentation step excluded land, boats, and vegetation from the frame, since a naive whole-frame threshold would otherwise misclassify non-water green objects as algae. This is a direct constraint on camera framing and region-of-interest definition for any pond deployment, and is expanded upon in the methodology chapter.</w:t>
      </w:r>
    </w:p>
    <w:p w14:paraId="0CCE74D2" w14:textId="77777777" w:rsidR="00DB1607" w:rsidRPr="00B95EB3" w:rsidRDefault="00000000">
      <w:pPr>
        <w:pStyle w:val="Heading3"/>
        <w:rPr>
          <w:rFonts w:asciiTheme="majorHAnsi" w:hAnsiTheme="majorHAnsi" w:cstheme="majorHAnsi"/>
        </w:rPr>
      </w:pPr>
      <w:bookmarkStart w:id="56" w:name="ambient-light-measurement"/>
      <w:bookmarkStart w:id="57" w:name="_Toc241565688"/>
      <w:bookmarkEnd w:id="54"/>
      <w:r w:rsidRPr="00B95EB3">
        <w:rPr>
          <w:rFonts w:asciiTheme="majorHAnsi" w:hAnsiTheme="majorHAnsi" w:cstheme="majorHAnsi"/>
        </w:rPr>
        <w:t>2.6.9 Ambient Light Measurement</w:t>
      </w:r>
      <w:bookmarkEnd w:id="57"/>
    </w:p>
    <w:p w14:paraId="6764454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Light differs from the parameters reviewed above in that its case does not rest on a single application. By this point in the chapter, established findings have already made light a required input rather than an optional addition.</w:t>
      </w:r>
    </w:p>
    <w:p w14:paraId="0CC28CF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algal literature supplies a numerical bloom threshold, a minimum daily light integral of approximately 13.2 mol m⁻² d⁻¹ for surface bloom formation (Kemp et al., n.d.), which cannot be evaluated without a light measurement. The growth kinetics reviewed require a saturating light term, since growth rate depends on irradiance and temperature jointly rather than on temperature alone. The photothermal work establishes light as the driver of localised heating governing diurnal bloom timing (Lin et al., n.d.). The pond energy balance reports solar radiation accounting for as much as 49% of all energy transferred to unheated ponds, with longwave sky radiation a further 31% (Lamoureux et al., 2006), making radiation the dominant thermal input rather than a secondary one. Finally, the HSV imaging literature identifies illumination as the principal confound on colour-derived algal proxies (Gong et al., 2024, Ngo et al., n.d.).</w:t>
      </w:r>
    </w:p>
    <w:p w14:paraId="1EA7155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Before assessing additional instrumentation it is necessary to check whether an external source could supply this quantity, as the forecasting section established it could for temperature, humidity, wind and rainfall. The NEA realtime weather collection provides air temperature, relative humidity, rainfall, wind speed and wind direction (National Environment Agency, n.d.-a). A separate feed publishes an ultraviolet index at thirty-minute intervals with a historical archive extending to 2016 (National Environment Agency, n.d.-b). A radiation-related parameter is therefore available, and should be evaluated if this reading is a sufficient substitute. The index is derived from ultraviolet A (315 to 400 nm) and ultraviolet B (280 to 315 nm), weighted to approximate the erythemal response of human skin (National Environment Agency, n.d.-c). Photosynthetically active radiation is defined over 400 to 700 nm, so the published index and the quantity algal growth kinetics require occupy separate regions of the spectrum. The Penman combination equation requires net radiation across the broadband shortwave range, of which the ultraviolet component carries only a few percent of the energy. The index measures a band that is either adjacent to or a small fraction of what each model needs. Furthermore, the relationship between the two is not fixed. Ultraviolet is attenuated differently from visible radiation by solar elevation, cloud, aerosol and ozone column, and the erythemal weighting emphasises the shorter ultraviolet B wavelengths, which are the most atmospherically variable part of the spectrum. A conversion from index to broadband irradiance would therefore be neither constant nor calibratable without the instrument it was intended to replace. Lastly, the index is reported as a dimensionless value from zero to eleven and above, grouped into exposure bands, as a single island-wide figure. Neither its quantisation nor its spatial resolution suits it to use as a continuous model input.</w:t>
      </w:r>
    </w:p>
    <w:p w14:paraId="0AEB294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What the index does support is a coarse assessment of sky clearness, which makes it a useful corroborating signal against a locally sensed value rather than a substitute for one. A local light measurement is therefore the only route to a required model input, and the published index can serve as an independent check on it.</w:t>
      </w:r>
    </w:p>
    <w:p w14:paraId="7A9BBE9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instrumentation question is whether an inexpensive photometric sensor measures the right physical quantity. Lux is a photometric unit weighted by the human photopic response, which peaks near 555 nm and falls to zero outside the visible band. Photosynthesis requires photosynthetically active radiation in quantum units and the energy balance requires </w:t>
      </w:r>
      <w:r w:rsidRPr="00B95EB3">
        <w:rPr>
          <w:rFonts w:asciiTheme="majorHAnsi" w:hAnsiTheme="majorHAnsi" w:cstheme="majorHAnsi"/>
        </w:rPr>
        <w:lastRenderedPageBreak/>
        <w:t>irradiance in W m⁻², neither of which a lux sensor reports. Conversion factors exist but are source-dependent. An instrument manufacturer tabulates PPFD-to-lux factors of 54 for sunlight, 65 to 74 for various fluorescent and ceramic metal halide sources, and 82 for high-pressure sodium, a spread of roughly 52%, and cautions that applying the wrong factor introduces errors exceeding 50% (Apogee Instruments, n.d.). However, the 52% spread is notably spread across artificial illuminants. Meanwhile, the outdoor pond is lit by daylight and nothing else, so the applicable factor is the sunlight value alone, and the residual uncertainty is the narrower question of how the daylight spectrum shifts with solar elevation and cloud cover. The generic objection to lux-to-PAR conversion is largely an indoor objection and does not transfer at full strength to this deployment.</w:t>
      </w:r>
    </w:p>
    <w:p w14:paraId="43EAB3D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Empirical validation supports the substitution directly. A recent study evaluated two low-cost ambient light sensors, the BH1750 and the VEML7700, against a Davis Instruments pyranometer and obtained solar radiation estimates with a coefficient of determination of 0.9922, a root mean squared error of 44.46 W m⁻² and a mean absolute error of 27.12 W m⁻² using a random forest model, concluding that low-cost light sensors combined with data-driven models offer a viable alternative to professional pyranometers (Luque-Vega et al., 2025). However, that result was obtained by training against a reference pyranometer, so a deployment without access to one relies on published conversion factors and should expect wider error than the cited figures.</w:t>
      </w:r>
    </w:p>
    <w:p w14:paraId="1E021FF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There are some caveats to employment of cheap sensors to evaluate solar radiation. Vegetation absorbs strongly in the red and blue while transmitting and reflecting green, precisely where the photopic weighting peaks, so a lux sensor placed beneath a plant canopy over-reads relative to true PAR. The bias is largest at exactly the shaded sites. This argues for siting the sensor in open view of the same sky the pond sees rather than beneath foliage, and for treating heavily overhung installations as a known weak case. Another limitation is the optical analogue of the fouling that afflicts electrochemical sensors. Dust, pollen, rain spotting and bird waste accumulate on the sensor window and attenuate the reading, which places light on the maintenance gradient rather than exempting it from it. Two properties nonetheless keep it on the favourable side. The sensor is digital and factory calibrated, reporting over a serial bus with no drift mechanism analogous to a degrading gel layer or a spent membrane, so the electronics require no recalibration against a reference </w:t>
      </w:r>
      <w:r w:rsidRPr="00B95EB3">
        <w:rPr>
          <w:rFonts w:asciiTheme="majorHAnsi" w:hAnsiTheme="majorHAnsi" w:cstheme="majorHAnsi"/>
        </w:rPr>
        <w:lastRenderedPageBreak/>
        <w:t>standard. The soiling failure is also self-diagnosing without any reference at all. At a latitude of 1.35 degrees north the photoperiod is near-constant year round, with computed daylength varying only between approximately 11.92 and 12.08 hours between solstices, and the solar geometry is exactly known from date, time and latitude, so the clear-sky irradiance profile is highly predictable. Soiling is monotonic and always reduces the reading, so persistent under-reading against the expected clear-sky maximum at solar noon identifies a dirty window using nothing but the astronomical calendar. This is a materially better maintenance position than the pH electrode, which cannot be validated without buffer solutions.</w:t>
      </w:r>
    </w:p>
    <w:p w14:paraId="5292016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Assessed against the two criteria established at the head of this section, ambient light performs well on both. Its maintenance burden is low and its one degradation mode is self-detecting. Its breadth of use is relatively wide. It supplies the radiation term the evaporation model requires and the meteorological feed cannot provide, the light term in algal growth kinetics, the threshold test the bloom literature defines, a driver of the thermal model and a measurement of true local dusk. Given that the physiology literature places oxygen risk at its highest after photosynthesis ceases, that last use is more relevant to nocturnal risk timing than astronomical sunset would be at a shaded site.</w:t>
      </w:r>
    </w:p>
    <w:p w14:paraId="464DAE9B" w14:textId="77777777" w:rsidR="00DB1607" w:rsidRPr="00B95EB3" w:rsidRDefault="00000000">
      <w:pPr>
        <w:pStyle w:val="Heading2"/>
        <w:rPr>
          <w:rFonts w:asciiTheme="majorHAnsi" w:hAnsiTheme="majorHAnsi" w:cstheme="majorHAnsi"/>
        </w:rPr>
      </w:pPr>
      <w:bookmarkStart w:id="58" w:name="chapter-synthesis-and-gap-statement"/>
      <w:bookmarkStart w:id="59" w:name="_Toc241565689"/>
      <w:bookmarkEnd w:id="36"/>
      <w:bookmarkEnd w:id="56"/>
      <w:r w:rsidRPr="00B95EB3">
        <w:rPr>
          <w:rFonts w:asciiTheme="majorHAnsi" w:hAnsiTheme="majorHAnsi" w:cstheme="majorHAnsi"/>
        </w:rPr>
        <w:t>2.7 Chapter Synthesis and Gap Statement</w:t>
      </w:r>
      <w:bookmarkEnd w:id="59"/>
    </w:p>
    <w:p w14:paraId="2D303B6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Taken together, the reviewed literature leaves a compound gap. The parameters that determine fish welfare are well characterised and converge on a small set. Similarly, the environmental stressors acting on an outdoor tropical pond are documented, though unevenly quantified, with rainfall the least well characterised of the four.</w:t>
      </w:r>
    </w:p>
    <w:p w14:paraId="2E631EF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On instrumentation, the review establishes a maintenance gradient that operates independently of purchase price and that the published adoption pattern already tracks, and it establishes that the gradient must be weighed against breadth of use rather than applied as a class exclusion. The same electrochemical weaknesses that make dissolved oxygen and nitrate instrumentation unattractive apply in full to pH, but pH feeds three separately established derived quantities, namely ammonia toxicity resolution, rainfall acid loading, and an independent signal of algal activity. pH sensors also arrive at a replacement cost an order of magnitude lower, which is a materially different trade rather than the same </w:t>
      </w:r>
      <w:r w:rsidRPr="00B95EB3">
        <w:rPr>
          <w:rFonts w:asciiTheme="majorHAnsi" w:hAnsiTheme="majorHAnsi" w:cstheme="majorHAnsi"/>
        </w:rPr>
        <w:lastRenderedPageBreak/>
        <w:t>one. The review further identifies a third sensing class, colorimetric indication read optically, that is calibration-free and provides a coarse but chemically independent of the feed-driven inference route.</w:t>
      </w:r>
    </w:p>
    <w:p w14:paraId="2BA7564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Where anticipation is concerned, the literature establishes both that forecast-informed advisory systems outperform reactive sensing in analogous domains and that locally trained short-horizon models offer little over naive baselines, while the forecast source available in this jurisdiction is documented by its own producers as structurally limited for rainfall specifically. For water temperature, which is directly and cheaply instrumented, the open question is projection rather than measurement, and the literature bounds the useful look-ahead horizon at hours rather than days.</w:t>
      </w:r>
    </w:p>
    <w:p w14:paraId="4DA4A66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Against that evidence base, no reviewed system combines:</w:t>
      </w:r>
    </w:p>
    <w:p w14:paraId="40906608" w14:textId="77777777" w:rsidR="00DB1607" w:rsidRPr="00B95EB3" w:rsidRDefault="00000000">
      <w:pPr>
        <w:pStyle w:val="Compact"/>
        <w:numPr>
          <w:ilvl w:val="0"/>
          <w:numId w:val="2"/>
        </w:numPr>
        <w:rPr>
          <w:rFonts w:asciiTheme="majorHAnsi" w:hAnsiTheme="majorHAnsi" w:cstheme="majorHAnsi"/>
        </w:rPr>
      </w:pPr>
      <w:r w:rsidRPr="00B95EB3">
        <w:rPr>
          <w:rFonts w:asciiTheme="majorHAnsi" w:hAnsiTheme="majorHAnsi" w:cstheme="majorHAnsi"/>
        </w:rPr>
        <w:t>Budget IoT sensing targeted at outdoor ponds specifically, distinct from indoor tanks and production aquaculture</w:t>
      </w:r>
    </w:p>
    <w:p w14:paraId="7EA7059D" w14:textId="77777777" w:rsidR="00DB1607" w:rsidRPr="00B95EB3" w:rsidRDefault="00000000">
      <w:pPr>
        <w:pStyle w:val="Compact"/>
        <w:numPr>
          <w:ilvl w:val="0"/>
          <w:numId w:val="2"/>
        </w:numPr>
        <w:rPr>
          <w:rFonts w:asciiTheme="majorHAnsi" w:hAnsiTheme="majorHAnsi" w:cstheme="majorHAnsi"/>
        </w:rPr>
      </w:pPr>
      <w:r w:rsidRPr="00B95EB3">
        <w:rPr>
          <w:rFonts w:asciiTheme="majorHAnsi" w:hAnsiTheme="majorHAnsi" w:cstheme="majorHAnsi"/>
        </w:rPr>
        <w:t>Forecast-augmented rather than purely reactive advisory logic</w:t>
      </w:r>
    </w:p>
    <w:p w14:paraId="688F4787" w14:textId="77777777" w:rsidR="00DB1607" w:rsidRPr="00B95EB3" w:rsidRDefault="00000000">
      <w:pPr>
        <w:pStyle w:val="Compact"/>
        <w:numPr>
          <w:ilvl w:val="0"/>
          <w:numId w:val="2"/>
        </w:numPr>
        <w:rPr>
          <w:rFonts w:asciiTheme="majorHAnsi" w:hAnsiTheme="majorHAnsi" w:cstheme="majorHAnsi"/>
        </w:rPr>
      </w:pPr>
      <w:r w:rsidRPr="00B95EB3">
        <w:rPr>
          <w:rFonts w:asciiTheme="majorHAnsi" w:hAnsiTheme="majorHAnsi" w:cstheme="majorHAnsi"/>
        </w:rPr>
        <w:t>Explicitly advisory rather than actuating output</w:t>
      </w:r>
    </w:p>
    <w:p w14:paraId="5BB7EAAC" w14:textId="77777777" w:rsidR="00DB1607" w:rsidRPr="00B95EB3" w:rsidRDefault="00000000">
      <w:pPr>
        <w:pStyle w:val="Compact"/>
        <w:numPr>
          <w:ilvl w:val="0"/>
          <w:numId w:val="2"/>
        </w:numPr>
        <w:rPr>
          <w:rFonts w:asciiTheme="majorHAnsi" w:hAnsiTheme="majorHAnsi" w:cstheme="majorHAnsi"/>
        </w:rPr>
      </w:pPr>
      <w:r w:rsidRPr="00B95EB3">
        <w:rPr>
          <w:rFonts w:asciiTheme="majorHAnsi" w:hAnsiTheme="majorHAnsi" w:cstheme="majorHAnsi"/>
        </w:rPr>
        <w:t>A sensor suite selected on maintenance burden weighed against breadth of use rather than on unit cost alone, uninstrumented parameters are obtained by inference and cross-checked against an independent observation.</w:t>
      </w:r>
    </w:p>
    <w:p w14:paraId="39B2A02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following system architecture chapter sets out the design that these findings produced, and states where the design departs from what the literature would ideally support and why.</w:t>
      </w:r>
    </w:p>
    <w:p w14:paraId="14B6BF94" w14:textId="77777777" w:rsidR="00DB1607" w:rsidRPr="00B95EB3" w:rsidRDefault="00000000">
      <w:pPr>
        <w:pStyle w:val="Heading1"/>
        <w:rPr>
          <w:rFonts w:asciiTheme="majorHAnsi" w:hAnsiTheme="majorHAnsi" w:cstheme="majorHAnsi"/>
        </w:rPr>
      </w:pPr>
      <w:bookmarkStart w:id="60" w:name="chapter-3-architecture-and-system-design"/>
      <w:bookmarkStart w:id="61" w:name="_Toc241565690"/>
      <w:bookmarkEnd w:id="16"/>
      <w:bookmarkEnd w:id="58"/>
      <w:r w:rsidRPr="00B95EB3">
        <w:rPr>
          <w:rFonts w:asciiTheme="majorHAnsi" w:hAnsiTheme="majorHAnsi" w:cstheme="majorHAnsi"/>
        </w:rPr>
        <w:lastRenderedPageBreak/>
        <w:t>Chapter 3: Architecture and System Design</w:t>
      </w:r>
      <w:bookmarkEnd w:id="61"/>
    </w:p>
    <w:p w14:paraId="41E04836" w14:textId="77777777" w:rsidR="00DB1607" w:rsidRPr="00B95EB3" w:rsidRDefault="00000000">
      <w:pPr>
        <w:pStyle w:val="Heading2"/>
        <w:rPr>
          <w:rFonts w:asciiTheme="majorHAnsi" w:hAnsiTheme="majorHAnsi" w:cstheme="majorHAnsi"/>
        </w:rPr>
      </w:pPr>
      <w:bookmarkStart w:id="62" w:name="architecture-overview"/>
      <w:bookmarkStart w:id="63" w:name="_Toc241565691"/>
      <w:r w:rsidRPr="00B95EB3">
        <w:rPr>
          <w:rFonts w:asciiTheme="majorHAnsi" w:hAnsiTheme="majorHAnsi" w:cstheme="majorHAnsi"/>
        </w:rPr>
        <w:t>3.1 Architecture Overview</w:t>
      </w:r>
      <w:bookmarkEnd w:id="63"/>
    </w:p>
    <w:p w14:paraId="543F295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system has two pond-side nodes and three server-side components (Figure 3.1). The sensor node is an ESP32 development board that reads total dissolved solids (TDS), ambient light, a colour sensor, water temperature and pH in a fixed order, uploads one batch of readings and returns to deep sleep. The camera node is an ESP32-CAM that wakes, captures one JPEG frame, uploads it and sleeps for an interval chosen by the server. Each node has its own supply and its own schedule, so a fault on one does not stop the other.</w:t>
      </w:r>
    </w:p>
    <w:p w14:paraId="1621D3C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server side is split by the kind of work each part does. Supabase holds all persistent data: sensor rows, image records, weather observations and forecasts, owner events, model state and model outputs, and it stores the image files. A camera analysis service, written in Flask and hosted on PythonAnywhere, receives each frame, computes a green coverage ratio, stores the result and replies with the camera’s next wake interval. A digital twin service, also written in Flask, holds the per-pond chemistry, evaporation and algae models, advances them from stored data on a fixed poll and applies owner events as they are logged. The Flutter mobile application reads the dashboard data from Supabase and the model assessments from the digital twin, and it is where the owner logs feeding, water changes, top-ups, algae scrubs and visual algae ratings.</w:t>
      </w:r>
    </w:p>
    <w:p w14:paraId="2AC59B8F" w14:textId="77777777" w:rsidR="00DB1607" w:rsidRPr="00B95EB3" w:rsidRDefault="00000000">
      <w:pPr>
        <w:pStyle w:val="CaptionedFigure"/>
        <w:jc w:val="center"/>
        <w:rPr>
          <w:rFonts w:asciiTheme="majorHAnsi" w:hAnsiTheme="majorHAnsi" w:cstheme="majorHAnsi"/>
        </w:rPr>
      </w:pPr>
      <w:r w:rsidRPr="00B95EB3">
        <w:rPr>
          <w:rFonts w:asciiTheme="majorHAnsi" w:hAnsiTheme="majorHAnsi" w:cstheme="majorHAnsi"/>
          <w:noProof/>
        </w:rPr>
        <w:lastRenderedPageBreak/>
        <w:drawing>
          <wp:inline distT="0" distB="0" distL="0" distR="0" wp14:anchorId="5E91F616" wp14:editId="209A900C">
            <wp:extent cx="5727700" cy="3696135"/>
            <wp:effectExtent l="0" t="0" r="0" b="0"/>
            <wp:docPr id="52" name="Picture" descr="Figure 3.1. System architecture. Numbers in the sensor node give the order in which the firmware powers and reads each sensor."/>
            <wp:cNvGraphicFramePr/>
            <a:graphic xmlns:a="http://schemas.openxmlformats.org/drawingml/2006/main">
              <a:graphicData uri="http://schemas.openxmlformats.org/drawingml/2006/picture">
                <pic:pic xmlns:pic="http://schemas.openxmlformats.org/drawingml/2006/picture">
                  <pic:nvPicPr>
                    <pic:cNvPr id="53" name="Picture" descr="figs/architecture.png"/>
                    <pic:cNvPicPr>
                      <a:picLocks noChangeAspect="1" noChangeArrowheads="1"/>
                    </pic:cNvPicPr>
                  </pic:nvPicPr>
                  <pic:blipFill>
                    <a:blip r:embed="rId7"/>
                    <a:stretch>
                      <a:fillRect/>
                    </a:stretch>
                  </pic:blipFill>
                  <pic:spPr bwMode="auto">
                    <a:xfrm>
                      <a:off x="0" y="0"/>
                      <a:ext cx="5727700" cy="3696135"/>
                    </a:xfrm>
                    <a:prstGeom prst="rect">
                      <a:avLst/>
                    </a:prstGeom>
                    <a:noFill/>
                    <a:ln w="9525">
                      <a:noFill/>
                      <a:headEnd/>
                      <a:tailEnd/>
                    </a:ln>
                  </pic:spPr>
                </pic:pic>
              </a:graphicData>
            </a:graphic>
          </wp:inline>
        </w:drawing>
      </w:r>
    </w:p>
    <w:p w14:paraId="79ED8DDE" w14:textId="77777777" w:rsidR="00DB1607" w:rsidRPr="00B95EB3" w:rsidRDefault="00000000">
      <w:pPr>
        <w:pStyle w:val="ImageCaption"/>
        <w:rPr>
          <w:rFonts w:asciiTheme="majorHAnsi" w:hAnsiTheme="majorHAnsi" w:cstheme="majorHAnsi"/>
        </w:rPr>
      </w:pPr>
      <w:r w:rsidRPr="00B95EB3">
        <w:rPr>
          <w:rFonts w:asciiTheme="majorHAnsi" w:hAnsiTheme="majorHAnsi" w:cstheme="majorHAnsi"/>
        </w:rPr>
        <w:t>Figure 3.1. System architecture. Numbers in the sensor node give the order in which the firmware powers and reads each sensor.</w:t>
      </w:r>
    </w:p>
    <w:p w14:paraId="2968847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split between services follows three differences in their work. Image analysis handles large requests and fails in its own ways, such as an undecodable frame, so it is kept away from numeric telemetry. The camera service is stateless between requests, since its only state (the previous smoothed green ratio) lives in Supabase, and this makes it a good fit for a hosted request-driven platform. The digital twin is stateful, keeps each pond’s models in memory, and runs a background scheduler, so it needs a single long-running process. Section 3.9.5 discusses what this means for hosting.</w:t>
      </w:r>
    </w:p>
    <w:p w14:paraId="29ADDA90" w14:textId="77777777" w:rsidR="00DB1607" w:rsidRPr="00B95EB3" w:rsidRDefault="00000000">
      <w:pPr>
        <w:pStyle w:val="Heading2"/>
        <w:rPr>
          <w:rFonts w:asciiTheme="majorHAnsi" w:hAnsiTheme="majorHAnsi" w:cstheme="majorHAnsi"/>
        </w:rPr>
      </w:pPr>
      <w:bookmarkStart w:id="64" w:name="hardware-selection"/>
      <w:bookmarkStart w:id="65" w:name="_Toc241565692"/>
      <w:bookmarkEnd w:id="62"/>
      <w:r w:rsidRPr="00B95EB3">
        <w:rPr>
          <w:rFonts w:asciiTheme="majorHAnsi" w:hAnsiTheme="majorHAnsi" w:cstheme="majorHAnsi"/>
        </w:rPr>
        <w:t>3.2 Hardware Selection</w:t>
      </w:r>
      <w:bookmarkEnd w:id="65"/>
    </w:p>
    <w:p w14:paraId="0DA6954A" w14:textId="77777777" w:rsidR="00DB1607" w:rsidRPr="00B95EB3" w:rsidRDefault="00000000">
      <w:pPr>
        <w:pStyle w:val="Heading3"/>
        <w:rPr>
          <w:rFonts w:asciiTheme="majorHAnsi" w:hAnsiTheme="majorHAnsi" w:cstheme="majorHAnsi"/>
        </w:rPr>
      </w:pPr>
      <w:bookmarkStart w:id="66" w:name="esp32-main-microcontroller"/>
      <w:bookmarkStart w:id="67" w:name="_Toc241565693"/>
      <w:r w:rsidRPr="00B95EB3">
        <w:rPr>
          <w:rFonts w:asciiTheme="majorHAnsi" w:hAnsiTheme="majorHAnsi" w:cstheme="majorHAnsi"/>
        </w:rPr>
        <w:t>3.2.1 ESP32 Main Microcontroller</w:t>
      </w:r>
      <w:bookmarkEnd w:id="67"/>
    </w:p>
    <w:p w14:paraId="4AB9FC9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sensor node uses an ESP32-WROOM-32 on a DevKitC board. The ESP32 combines Wi-Fi, two analogue-to-digital converter (ADC) blocks, two I2C controllers and enough processing capacity for the full sensor cycle, which removes the need for a separate radio module. Its main electrical drawback is the gap between deep sleep current and transmit current, which is several orders of magnitude (Table 3.1). The supply must be sized for short radio peaks, while the firmware must keep the active period short.</w:t>
      </w:r>
    </w:p>
    <w:p w14:paraId="5C1C1C59"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lastRenderedPageBreak/>
        <w:t>Table 3.1. ESP32 figures used for the electrical design (Espressif Systems, 2026a).</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2679"/>
        <w:gridCol w:w="878"/>
        <w:gridCol w:w="1420"/>
        <w:gridCol w:w="516"/>
        <w:gridCol w:w="3693"/>
      </w:tblGrid>
      <w:tr w:rsidR="00DB1607" w:rsidRPr="00B95EB3" w14:paraId="34E73C58"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3D7866F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Parameter</w:t>
            </w:r>
          </w:p>
        </w:tc>
        <w:tc>
          <w:tcPr>
            <w:tcW w:w="0" w:type="auto"/>
            <w:shd w:val="clear" w:color="auto" w:fill="EDEFF2"/>
          </w:tcPr>
          <w:p w14:paraId="4F12C30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Typical</w:t>
            </w:r>
          </w:p>
        </w:tc>
        <w:tc>
          <w:tcPr>
            <w:tcW w:w="0" w:type="auto"/>
            <w:shd w:val="clear" w:color="auto" w:fill="EDEFF2"/>
          </w:tcPr>
          <w:p w14:paraId="1DD0F7A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Maximum</w:t>
            </w:r>
          </w:p>
        </w:tc>
        <w:tc>
          <w:tcPr>
            <w:tcW w:w="0" w:type="auto"/>
            <w:shd w:val="clear" w:color="auto" w:fill="EDEFF2"/>
          </w:tcPr>
          <w:p w14:paraId="74BA85A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Unit</w:t>
            </w:r>
          </w:p>
        </w:tc>
        <w:tc>
          <w:tcPr>
            <w:tcW w:w="0" w:type="auto"/>
            <w:shd w:val="clear" w:color="auto" w:fill="EDEFF2"/>
          </w:tcPr>
          <w:p w14:paraId="32A667C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Design meaning</w:t>
            </w:r>
          </w:p>
        </w:tc>
      </w:tr>
      <w:tr w:rsidR="00DB1607" w:rsidRPr="00B95EB3" w14:paraId="2143278E" w14:textId="77777777">
        <w:tc>
          <w:tcPr>
            <w:tcW w:w="0" w:type="auto"/>
          </w:tcPr>
          <w:p w14:paraId="2602BEA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Core supply</w:t>
            </w:r>
          </w:p>
        </w:tc>
        <w:tc>
          <w:tcPr>
            <w:tcW w:w="0" w:type="auto"/>
          </w:tcPr>
          <w:p w14:paraId="5258FFD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w:t>
            </w:r>
          </w:p>
        </w:tc>
        <w:tc>
          <w:tcPr>
            <w:tcW w:w="0" w:type="auto"/>
          </w:tcPr>
          <w:p w14:paraId="3B5B6F3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3.6</w:t>
            </w:r>
          </w:p>
        </w:tc>
        <w:tc>
          <w:tcPr>
            <w:tcW w:w="0" w:type="auto"/>
          </w:tcPr>
          <w:p w14:paraId="3DC551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V</w:t>
            </w:r>
          </w:p>
        </w:tc>
        <w:tc>
          <w:tcPr>
            <w:tcW w:w="0" w:type="auto"/>
          </w:tcPr>
          <w:p w14:paraId="55E730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Use regulated board input and 3.3 V logic</w:t>
            </w:r>
          </w:p>
        </w:tc>
      </w:tr>
      <w:tr w:rsidR="00DB1607" w:rsidRPr="00B95EB3" w14:paraId="12E2C03C" w14:textId="77777777">
        <w:tc>
          <w:tcPr>
            <w:tcW w:w="0" w:type="auto"/>
          </w:tcPr>
          <w:p w14:paraId="285129B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Deep sleep, ESP32 chip</w:t>
            </w:r>
          </w:p>
        </w:tc>
        <w:tc>
          <w:tcPr>
            <w:tcW w:w="0" w:type="auto"/>
          </w:tcPr>
          <w:p w14:paraId="4CBADF2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 to 10</w:t>
            </w:r>
          </w:p>
        </w:tc>
        <w:tc>
          <w:tcPr>
            <w:tcW w:w="0" w:type="auto"/>
          </w:tcPr>
          <w:p w14:paraId="380F84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Not a board value</w:t>
            </w:r>
          </w:p>
        </w:tc>
        <w:tc>
          <w:tcPr>
            <w:tcW w:w="0" w:type="auto"/>
          </w:tcPr>
          <w:p w14:paraId="464AD3D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uA</w:t>
            </w:r>
          </w:p>
        </w:tc>
        <w:tc>
          <w:tcPr>
            <w:tcW w:w="0" w:type="auto"/>
          </w:tcPr>
          <w:p w14:paraId="3FAE0AD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External board parts can raise the real sleep current</w:t>
            </w:r>
          </w:p>
        </w:tc>
      </w:tr>
      <w:tr w:rsidR="00DB1607" w:rsidRPr="00B95EB3" w14:paraId="64305435" w14:textId="77777777">
        <w:tc>
          <w:tcPr>
            <w:tcW w:w="0" w:type="auto"/>
          </w:tcPr>
          <w:p w14:paraId="1FF5876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receive</w:t>
            </w:r>
          </w:p>
        </w:tc>
        <w:tc>
          <w:tcPr>
            <w:tcW w:w="0" w:type="auto"/>
          </w:tcPr>
          <w:p w14:paraId="295755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95 to 100</w:t>
            </w:r>
          </w:p>
        </w:tc>
        <w:tc>
          <w:tcPr>
            <w:tcW w:w="0" w:type="auto"/>
          </w:tcPr>
          <w:p w14:paraId="1689309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Not stated</w:t>
            </w:r>
          </w:p>
        </w:tc>
        <w:tc>
          <w:tcPr>
            <w:tcW w:w="0" w:type="auto"/>
          </w:tcPr>
          <w:p w14:paraId="28198D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mA</w:t>
            </w:r>
          </w:p>
        </w:tc>
        <w:tc>
          <w:tcPr>
            <w:tcW w:w="0" w:type="auto"/>
          </w:tcPr>
          <w:p w14:paraId="776120B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Connection time should be kept short</w:t>
            </w:r>
          </w:p>
        </w:tc>
      </w:tr>
      <w:tr w:rsidR="00DB1607" w:rsidRPr="00B95EB3" w14:paraId="70B27BB5" w14:textId="77777777">
        <w:tc>
          <w:tcPr>
            <w:tcW w:w="0" w:type="auto"/>
          </w:tcPr>
          <w:p w14:paraId="2D1B65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transmit, 802.11b at high output</w:t>
            </w:r>
          </w:p>
        </w:tc>
        <w:tc>
          <w:tcPr>
            <w:tcW w:w="0" w:type="auto"/>
          </w:tcPr>
          <w:p w14:paraId="0F1A365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240</w:t>
            </w:r>
          </w:p>
        </w:tc>
        <w:tc>
          <w:tcPr>
            <w:tcW w:w="0" w:type="auto"/>
          </w:tcPr>
          <w:p w14:paraId="7BA349B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379 design case</w:t>
            </w:r>
          </w:p>
        </w:tc>
        <w:tc>
          <w:tcPr>
            <w:tcW w:w="0" w:type="auto"/>
          </w:tcPr>
          <w:p w14:paraId="424F244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mA</w:t>
            </w:r>
          </w:p>
        </w:tc>
        <w:tc>
          <w:tcPr>
            <w:tcW w:w="0" w:type="auto"/>
          </w:tcPr>
          <w:p w14:paraId="71309AE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Sets the short 3.3 V rail peak</w:t>
            </w:r>
          </w:p>
        </w:tc>
      </w:tr>
      <w:tr w:rsidR="00DB1607" w:rsidRPr="00B95EB3" w14:paraId="7C858271" w14:textId="77777777">
        <w:tc>
          <w:tcPr>
            <w:tcW w:w="0" w:type="auto"/>
          </w:tcPr>
          <w:p w14:paraId="0A40C42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ADC resolution</w:t>
            </w:r>
          </w:p>
        </w:tc>
        <w:tc>
          <w:tcPr>
            <w:tcW w:w="0" w:type="auto"/>
          </w:tcPr>
          <w:p w14:paraId="71B271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12</w:t>
            </w:r>
          </w:p>
        </w:tc>
        <w:tc>
          <w:tcPr>
            <w:tcW w:w="0" w:type="auto"/>
          </w:tcPr>
          <w:p w14:paraId="65B43BD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12</w:t>
            </w:r>
          </w:p>
        </w:tc>
        <w:tc>
          <w:tcPr>
            <w:tcW w:w="0" w:type="auto"/>
          </w:tcPr>
          <w:p w14:paraId="4E68FB3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bit</w:t>
            </w:r>
          </w:p>
        </w:tc>
        <w:tc>
          <w:tcPr>
            <w:tcW w:w="0" w:type="auto"/>
          </w:tcPr>
          <w:p w14:paraId="2C7AC28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Analogue readings still need calibration and filtering</w:t>
            </w:r>
          </w:p>
        </w:tc>
      </w:tr>
      <w:tr w:rsidR="00DB1607" w:rsidRPr="00B95EB3" w14:paraId="5CEB02AD" w14:textId="77777777">
        <w:tc>
          <w:tcPr>
            <w:tcW w:w="0" w:type="auto"/>
          </w:tcPr>
          <w:p w14:paraId="28EA1B3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CPU clock</w:t>
            </w:r>
          </w:p>
        </w:tc>
        <w:tc>
          <w:tcPr>
            <w:tcW w:w="0" w:type="auto"/>
          </w:tcPr>
          <w:p w14:paraId="3823EC7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Up to 240</w:t>
            </w:r>
          </w:p>
        </w:tc>
        <w:tc>
          <w:tcPr>
            <w:tcW w:w="0" w:type="auto"/>
          </w:tcPr>
          <w:p w14:paraId="5533945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240</w:t>
            </w:r>
          </w:p>
        </w:tc>
        <w:tc>
          <w:tcPr>
            <w:tcW w:w="0" w:type="auto"/>
          </w:tcPr>
          <w:p w14:paraId="36CF3B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MHz</w:t>
            </w:r>
          </w:p>
        </w:tc>
        <w:tc>
          <w:tcPr>
            <w:tcW w:w="0" w:type="auto"/>
          </w:tcPr>
          <w:p w14:paraId="473BD1C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Lower clock settings can be used during sensor settling</w:t>
            </w:r>
          </w:p>
        </w:tc>
      </w:tr>
    </w:tbl>
    <w:p w14:paraId="3ED282B6"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microamp sleep figure applies to the ESP32 chip alone. A development board adds a linear regulator, a USB-to-serial bridge and a power LED, and these can draw more in sleep than the chip itself. This matters more than any other single factor in the node’s battery life (Section 3.3). Espressif also notes that transmit current can rise quickly enough to pull down a weak 3.3 V rail, so local bulk and ceramic decoupling are needed near the module (Espressif Systems, 2026b).</w:t>
      </w:r>
    </w:p>
    <w:p w14:paraId="2CED4E1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Both analogue sensors are wired to ADC1 pins (GPIO34 for TDS and GPIO35 for pH). On the original ESP32, ADC2 is shared with the Wi-Fi driver and may be unavailable while Wi-Fi is active (Espressif Systems, 2026c). The firmware takes all analogue readings before starting Wi-Fi, so ADC2 would work in the present sequence, but placing both channels on ADC1 removes the dependency on that ordering.</w:t>
      </w:r>
    </w:p>
    <w:p w14:paraId="26DAB21C" w14:textId="77777777" w:rsidR="00DB1607" w:rsidRPr="00B95EB3" w:rsidRDefault="00000000">
      <w:pPr>
        <w:pStyle w:val="Heading3"/>
        <w:rPr>
          <w:rFonts w:asciiTheme="majorHAnsi" w:hAnsiTheme="majorHAnsi" w:cstheme="majorHAnsi"/>
        </w:rPr>
      </w:pPr>
      <w:bookmarkStart w:id="68" w:name="powering-sensors-from-gpio-pins"/>
      <w:bookmarkStart w:id="69" w:name="_Toc241565694"/>
      <w:bookmarkEnd w:id="66"/>
      <w:r w:rsidRPr="00B95EB3">
        <w:rPr>
          <w:rFonts w:asciiTheme="majorHAnsi" w:hAnsiTheme="majorHAnsi" w:cstheme="majorHAnsi"/>
        </w:rPr>
        <w:t>3.2.2 Powering Sensors from GPIO Pins</w:t>
      </w:r>
      <w:bookmarkEnd w:id="69"/>
    </w:p>
    <w:p w14:paraId="2EEFB484"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Every sensor module is powered from its own ESP32 GPIO pin rather than from a shared switched rail (Table 3.7). A pin driven high supplies 3.3 V to the module during its sample window, and a pin driven low removes power completely. The firmware sets each power pin to the highest drive strength, and during deep sleep it latches the pins low with GPIO hold so that no sensor is powered while the node sleeps.</w:t>
      </w:r>
    </w:p>
    <w:p w14:paraId="3CECE55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This arrangement became possible when the pH front end changed to a 3.3 V analogue board (Section 3.2.5). Each remaining module draws a few milliamps at most: the DS18B20 draws up to 1.5 mA during conversion, the TDS board 3 mA to 6 mA and the TSL2591 well </w:t>
      </w:r>
      <w:r w:rsidRPr="00B95EB3">
        <w:rPr>
          <w:rFonts w:asciiTheme="majorHAnsi" w:hAnsiTheme="majorHAnsi" w:cstheme="majorHAnsi"/>
        </w:rPr>
        <w:lastRenderedPageBreak/>
        <w:t>under 1 mA (Analog Devices, 2026; ams OSRAM, 2023a; DFRobot, 2026a). These loads sit well inside the current an ESP32 pin can source at its highest drive setting, so separate load switches and a separate 5 V rail were no longer needed. Removing them cut the part count, removed two converters and their quiescent current, and allowed every sensor to share the ESP32’s regulated 3.3 V supply.</w:t>
      </w:r>
    </w:p>
    <w:p w14:paraId="6727666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This approach has two costs. The first is that a GPIO driver has some output resistance, so the voltage at a module falls slightly as its current rises. For the digital sensors this has no effect. For the two analogue sensors it can shift the output, since the module’s supply is no longer exactly 3.3 V. This is handled by calibrating each analogue channel through the same power path used in operation, so any fixed offset from the pin driver is absorbed into the calibration. The second is that when a module is unpowered, its signal pins remain connected to the ESP32. The firmware returns I2C and 1-Wire pins to input mode before cutting power, so the ESP32 does not back-power a module through its protection diodes.</w:t>
      </w:r>
    </w:p>
    <w:p w14:paraId="6D90DD9A" w14:textId="77777777" w:rsidR="00DB1607" w:rsidRPr="00B95EB3" w:rsidRDefault="00000000">
      <w:pPr>
        <w:pStyle w:val="Heading3"/>
        <w:rPr>
          <w:rFonts w:asciiTheme="majorHAnsi" w:hAnsiTheme="majorHAnsi" w:cstheme="majorHAnsi"/>
        </w:rPr>
      </w:pPr>
      <w:bookmarkStart w:id="70" w:name="ds18b20-water-temperature-sensor"/>
      <w:bookmarkStart w:id="71" w:name="_Toc241565695"/>
      <w:bookmarkEnd w:id="68"/>
      <w:r w:rsidRPr="00B95EB3">
        <w:rPr>
          <w:rFonts w:asciiTheme="majorHAnsi" w:hAnsiTheme="majorHAnsi" w:cstheme="majorHAnsi"/>
        </w:rPr>
        <w:t>3.2.3 DS18B20 Water Temperature Sensor</w:t>
      </w:r>
      <w:bookmarkEnd w:id="71"/>
    </w:p>
    <w:p w14:paraId="699248C4"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DS18B20 gives a digital reading over 1-Wire and does not use an ADC channel. It runs from 3.0 V to 5.5 V, draws at most 1.5 mA during conversion and about 0.75 µA in standby. At 12-bit resolution a conversion takes up to 750 ms (Analog Devices, 2026). The firmware powers the probe from GPIO27, waits 1 s for it to start, issues a conversion and waits 800 ms before reading the scratchpad. The 12-bit setting was kept because the extra wake time is small beside the radio’s share of each cycle.</w:t>
      </w:r>
    </w:p>
    <w:p w14:paraId="2BFE6FB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Temperature feeds every other measurement: it compensates the TDS reading, sets the Nernst slope for pH and is an input to all three models. A wrong temperature therefore spreads errors across the system, so the firmware checks each reading before using it. It rejects a scratchpad that fails its CRC, one whose configuration byte is invalid, and the value 85.0 °C, which the DS18B20 reports after power-up before a conversion has completed. A missing presence pulse is also treated as a failure. The firmware retries up to three times. If all attempts fail, pH and TDS compensation fall back to the last good temperature held in RTC memory, or 25 °C if none exists, and the fallback is flagged in the output. The fallback value is never reported as a water temperature (Section 3.6.2).</w:t>
      </w:r>
    </w:p>
    <w:p w14:paraId="5B111B52" w14:textId="77777777" w:rsidR="00DB1607" w:rsidRPr="00B95EB3" w:rsidRDefault="00000000">
      <w:pPr>
        <w:pStyle w:val="Heading3"/>
        <w:rPr>
          <w:rFonts w:asciiTheme="majorHAnsi" w:hAnsiTheme="majorHAnsi" w:cstheme="majorHAnsi"/>
        </w:rPr>
      </w:pPr>
      <w:bookmarkStart w:id="72" w:name="analogue-tds-sensor"/>
      <w:bookmarkStart w:id="73" w:name="_Toc241565696"/>
      <w:bookmarkEnd w:id="70"/>
      <w:r w:rsidRPr="00B95EB3">
        <w:rPr>
          <w:rFonts w:asciiTheme="majorHAnsi" w:hAnsiTheme="majorHAnsi" w:cstheme="majorHAnsi"/>
        </w:rPr>
        <w:lastRenderedPageBreak/>
        <w:t>3.2.4 Analogue TDS Sensor</w:t>
      </w:r>
      <w:bookmarkEnd w:id="73"/>
    </w:p>
    <w:p w14:paraId="3A51F01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analogue TDS board accepts 3.3 V to 5.5 V, draws 3 mA to 6 mA and produces a 0 V to 2.3 V output (DFRobot, 2026a). This range fits the ESP32 input with 11 dB attenuation. The board drives an alternating excitation signal into the water to limit probe polarisation. That excitation is necessary for the TDS reading but can disturb a pH electrode in the same water (DFRobot, 2026c), so the board is powered only during its own sample window (Section 3.4.3).</w:t>
      </w:r>
    </w:p>
    <w:p w14:paraId="7474208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firmware powers the board from GPIO25, waits 2 s for the output to settle, and then takes 31 readings 20 ms apart and uses their median. A median was chosen over a mean because a single spike from switching noise shifts a mean but leaves a median unchanged. The millivolt reading is converted to TDS with the manufacturer’s cubic calibration curve, compensated to 25 °C at 2 % per °C, and scaled by a per-probe factor </w:t>
      </w:r>
      <w:r w:rsidRPr="00B95EB3">
        <w:rPr>
          <w:rFonts w:asciiTheme="majorHAnsi" w:hAnsiTheme="majorHAnsi" w:cstheme="majorHAnsi"/>
          <w:i/>
          <w:iCs/>
        </w:rPr>
        <w:t>K</w:t>
      </w:r>
      <w:r w:rsidRPr="00B95EB3">
        <w:rPr>
          <w:rFonts w:asciiTheme="majorHAnsi" w:hAnsiTheme="majorHAnsi" w:cstheme="majorHAnsi"/>
        </w:rPr>
        <w:t xml:space="preserve">. </w:t>
      </w:r>
      <w:r w:rsidRPr="00B95EB3">
        <w:rPr>
          <w:rFonts w:asciiTheme="majorHAnsi" w:hAnsiTheme="majorHAnsi" w:cstheme="majorHAnsi"/>
          <w:i/>
          <w:iCs/>
        </w:rPr>
        <w:t>K</w:t>
      </w:r>
      <w:r w:rsidRPr="00B95EB3">
        <w:rPr>
          <w:rFonts w:asciiTheme="majorHAnsi" w:hAnsiTheme="majorHAnsi" w:cstheme="majorHAnsi"/>
        </w:rPr>
        <w:t xml:space="preserve"> is set by a single-point calibration against a standard solution through the node’s service interface and stored in non-volatile memory. A single point was judged sufficient because the curve’s shape comes from the manufacturer and only its scale varies between probes. Section 4.4.3 includes a check at a second concentration to test that assumption.</w:t>
      </w:r>
    </w:p>
    <w:p w14:paraId="2611DA01" w14:textId="77777777" w:rsidR="00DB1607" w:rsidRPr="00B95EB3" w:rsidRDefault="00000000">
      <w:pPr>
        <w:pStyle w:val="Heading4"/>
        <w:rPr>
          <w:rFonts w:asciiTheme="majorHAnsi" w:hAnsiTheme="majorHAnsi" w:cstheme="majorHAnsi"/>
        </w:rPr>
      </w:pPr>
      <w:bookmarkStart w:id="74" w:name="selected-role-of-the-tds-channel"/>
      <w:r w:rsidRPr="00B95EB3">
        <w:rPr>
          <w:rFonts w:asciiTheme="majorHAnsi" w:hAnsiTheme="majorHAnsi" w:cstheme="majorHAnsi"/>
        </w:rPr>
        <w:t>3.2.4.1 Selected Role of the TDS Channel</w:t>
      </w:r>
    </w:p>
    <w:p w14:paraId="15E519E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TDS channel is kept as a low-cost record of the pond’s combined dissolved load. It is not used as an ammonia measurement, because conductivity responds to all mobile ions and has no chemical selectivity (Section 2.6.5). The system also does not hold the pond to a fixed TDS range, because source water, pond materials and owner practice give each installation a different normal level.</w:t>
      </w:r>
    </w:p>
    <w:p w14:paraId="1120707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In the current implementation, TDS enters the models in two places. The chemistry engine keeps a daily average of trusted TDS readings and computes its slope over recent days. This slope adds to the chemistry risk score only when the pH buffering trend is also worsening, so TDS alone can never raise a chemistry warning. The evaporation engine uses the same slope as an independent check on its evaporation estimate (Section 3.9.2). A logged water change or top-up also updates the chemistry engine’s estimate of the pond’s TDS through a mixing calculation.</w:t>
      </w:r>
    </w:p>
    <w:p w14:paraId="2487572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A rising TDS trace may reflect evaporation, a salt addition, feed residues, mineral-rich top-up water or a general build-up of dissolved material. A falling trace may reflect rain or a water change. None of these patterns identifies a single cause, so the server treats them as possible context and never as a diagnosis. The fuller design, in which the server detects TDS steps against a rolling baseline and asks the owner what happened, depends on whether the channel can resolve such steps above its own noise. Section 4.4.3.1 sets out the tests that answer this question, and the prompting design is deferred until they have been run (Section 3.9.4).</w:t>
      </w:r>
    </w:p>
    <w:p w14:paraId="772654EB" w14:textId="77777777" w:rsidR="00DB1607" w:rsidRPr="00B95EB3" w:rsidRDefault="00000000">
      <w:pPr>
        <w:pStyle w:val="Heading3"/>
        <w:rPr>
          <w:rFonts w:asciiTheme="majorHAnsi" w:hAnsiTheme="majorHAnsi" w:cstheme="majorHAnsi"/>
        </w:rPr>
      </w:pPr>
      <w:bookmarkStart w:id="75" w:name="ph-sensor-and-front-end"/>
      <w:bookmarkStart w:id="76" w:name="_Toc241565697"/>
      <w:bookmarkEnd w:id="72"/>
      <w:bookmarkEnd w:id="74"/>
      <w:r w:rsidRPr="00B95EB3">
        <w:rPr>
          <w:rFonts w:asciiTheme="majorHAnsi" w:hAnsiTheme="majorHAnsi" w:cstheme="majorHAnsi"/>
        </w:rPr>
        <w:t>3.2.5 pH Sensor and Front End</w:t>
      </w:r>
      <w:bookmarkEnd w:id="76"/>
    </w:p>
    <w:p w14:paraId="1494A39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pH channel uses the DFRobot Gravity analogue industrial pH kit (SEN0169-V2). The kit pairs an industrial-grade glass electrode on a 5 m cable with a signal board that runs from 3.3 V to 5.5 V and outputs 0 V to 3.0 V. The manufacturer quotes an accuracy of ±0.1 pH at 25 °C, a response time under 60 s and a probe life of more than six months in continuous use (DFRobot, n.d.).</w:t>
      </w:r>
    </w:p>
    <w:p w14:paraId="2554F18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earlier design used a pH-201 class electrode with an RS485 Modbus front end on an 8 V rail. A differential RS485 link resists noise on long cables, and it keeps the high-impedance amplifier near the probe. However, the Modbus board failed during bench testing and had to be discarded. The analogue kit was adopted in its place for three reasons. It runs from the ESP32’s own 3.3 V supply, which removed the 8 V rail, both buck converters and the reason for a 12 V battery pack. Its output fits the ESP32 ADC range directly. And it follows the same power-on, sample, power-off pattern as the other sensors, so the firmware needs no separate serial protocol.</w:t>
      </w:r>
    </w:p>
    <w:p w14:paraId="46C2DD2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analogue board gives up some noise immunity. The signal travels from board to ADC as a voltage and can pick up interference from switching currents or the radio, and three measures limit this. The board sits inside the enclosure next to the ESP32, so the long, sensitive run is the shielded probe cable between the electrode and the board rather than the analogue output. The firmware takes 31 readings and uses their median, as for TDS. And the pH reading is taken with every other water-contact sensor and the radio switched off (Section 3.4.3).</w:t>
      </w:r>
    </w:p>
    <w:p w14:paraId="3CAAE67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A glass electrode has a source resistance from the megohm to the gigohm range (Analog Devices, 2014), which makes the front end sensitive to leakage, moisture and cable movement. The board and BNC connector must stay dry and clean, and the BNC area should not be conformally coated, since a coating can itself create a leakage path.</w:t>
      </w:r>
    </w:p>
    <w:p w14:paraId="0358B0D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Calibration.</w:t>
      </w:r>
      <w:r w:rsidRPr="00B95EB3">
        <w:rPr>
          <w:rFonts w:asciiTheme="majorHAnsi" w:hAnsiTheme="majorHAnsi" w:cstheme="majorHAnsi"/>
        </w:rPr>
        <w:t xml:space="preserve"> The firmware supports four buffers (pH 10.01, 9.18, 7.00 and 6.86). Each buffer’s pH is stored as a table against temperature from 10 °C to 40 °C, so a calibration taken at, for example, 29 °C uses that buffer’s true pH at 29 °C rather than its nominal value. The node fits a least-squares line through all calibrated points and stores the fitted slope referred to 25 °C. When converting a reading, it rescales the slope to the current water temperature using the Nernst relation, since an electrode’s millivolt-per-pH slope rises in proportion to absolute temperature. The fit is rejected if the calibration voltages are nearly identical, which catches the case where the probe was left in the same buffer twice. At least two points are required. The manufacturer recommends two-point calibration with pH 7.0 and 4.0 buffers (DFRobot, n.d.). This project uses buffers that bracket the expected pond range of about pH 6.5 to 9, because a calibration is most accurate between its end points.</w:t>
      </w:r>
    </w:p>
    <w:p w14:paraId="7C84C56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Settling.</w:t>
      </w:r>
      <w:r w:rsidRPr="00B95EB3">
        <w:rPr>
          <w:rFonts w:asciiTheme="majorHAnsi" w:hAnsiTheme="majorHAnsi" w:cstheme="majorHAnsi"/>
        </w:rPr>
        <w:t xml:space="preserve"> The pH board needs time to settle after power is applied. The original firmware waited a fixed 5 s before every reading. The refactored firmware instead reads the output every 200 ms and accepts the value once three consecutive readings fall within 3 mV of each other, with the same 5 s as an upper limit. The worst case is therefore unchanged, while the typical case should be shorter. This matters because pH settling is the longest step in the wake cycle. The 3 mV tolerance is a starting value and has to be tuned against the real probe using the node’s 30-second settle log (Section 4.4.2).</w:t>
      </w:r>
    </w:p>
    <w:p w14:paraId="0C95DB1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manufacturer’s 60-second response time describes the electrode’s response to a change of solution, such as moving from one buffer to another. In continuous immersion the electrode is already in equilibrium with the pond, and the glass membrane continues to generate its potential while the board is unpowered. The settle window therefore only needs to cover the board’s electrical start-up. This reasoning is the basis for a settle window of seconds rather than a minute, and the settle log in Section 4.4.2 tests it.</w:t>
      </w:r>
    </w:p>
    <w:p w14:paraId="6C028660" w14:textId="77777777" w:rsidR="00DB1607" w:rsidRPr="00B95EB3" w:rsidRDefault="00000000">
      <w:pPr>
        <w:pStyle w:val="Heading3"/>
        <w:rPr>
          <w:rFonts w:asciiTheme="majorHAnsi" w:hAnsiTheme="majorHAnsi" w:cstheme="majorHAnsi"/>
        </w:rPr>
      </w:pPr>
      <w:bookmarkStart w:id="77" w:name="light-and-colour-sensors"/>
      <w:bookmarkStart w:id="78" w:name="_Toc241565698"/>
      <w:bookmarkEnd w:id="75"/>
      <w:r w:rsidRPr="00B95EB3">
        <w:rPr>
          <w:rFonts w:asciiTheme="majorHAnsi" w:hAnsiTheme="majorHAnsi" w:cstheme="majorHAnsi"/>
        </w:rPr>
        <w:lastRenderedPageBreak/>
        <w:t>3.2.6 Light and Colour Sensors</w:t>
      </w:r>
      <w:bookmarkEnd w:id="78"/>
    </w:p>
    <w:p w14:paraId="37E9F13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TSL2591 ambient light sensor supplies the light term for the algae model and the chemistry engine’s day and night classification. It is powered from GPIO26 and read on the first I2C controller (GPIO21 and GPIO22). The sensor has a wide dynamic range, but no single gain setting covers both shade and direct tropical sun. The firmware therefore starts at the medium gain (25×) with a 100 ms integration time. It steps down to low gain (1×) if either channel saturates and steps up to high gain (428×) if the visible channel reads below 100 counts, with at most four attempts. The lux value is calculated from the two channel counts using the manufacturer’s formula (ams OSRAM, 2023a). A reading still saturated at the lowest gain is kept and flagged as saturated.</w:t>
      </w:r>
    </w:p>
    <w:p w14:paraId="24D8550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GY-33 colour path reads a colorimetric ammonia indicator and gives a colour-based pH cross-check. The TSL2591 and a TCS34725-based colour module share I2C address 0x29 and cannot sit on one unmodified bus. The firmware resolves this by placing the GY-33 on the ESP32’s second I2C controller (GPIO18 and GPIO19), where it answers at 0x5A, and powering it from GPIO32. The colour channel’s optical design and calibration are treated separately from this report’s system design.</w:t>
      </w:r>
    </w:p>
    <w:p w14:paraId="1A43ADC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Colour measurements need a fixed optical chamber, fixed distance, a dark inner surface and a known LED level. Ambient light should be recorded first. The colour LED should then turn on for the badge reading and turn off immediately afterwards. The ESP32-CAM flash must not run at the same time because it would change the colour and light readings.</w:t>
      </w:r>
    </w:p>
    <w:p w14:paraId="316EDE99"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3.2. Light and colour sensing figures (ams OSRAM, 2023a, 2023b).</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379"/>
        <w:gridCol w:w="1115"/>
        <w:gridCol w:w="1628"/>
        <w:gridCol w:w="1944"/>
        <w:gridCol w:w="3120"/>
      </w:tblGrid>
      <w:tr w:rsidR="00DB1607" w:rsidRPr="00B95EB3" w14:paraId="1D3BE0FD"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055E609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Device</w:t>
            </w:r>
          </w:p>
        </w:tc>
        <w:tc>
          <w:tcPr>
            <w:tcW w:w="0" w:type="auto"/>
            <w:shd w:val="clear" w:color="auto" w:fill="EDEFF2"/>
          </w:tcPr>
          <w:p w14:paraId="10AD100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Supply</w:t>
            </w:r>
          </w:p>
        </w:tc>
        <w:tc>
          <w:tcPr>
            <w:tcW w:w="0" w:type="auto"/>
            <w:shd w:val="clear" w:color="auto" w:fill="EDEFF2"/>
          </w:tcPr>
          <w:p w14:paraId="5A4C775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Active current</w:t>
            </w:r>
          </w:p>
        </w:tc>
        <w:tc>
          <w:tcPr>
            <w:tcW w:w="0" w:type="auto"/>
            <w:shd w:val="clear" w:color="auto" w:fill="EDEFF2"/>
          </w:tcPr>
          <w:p w14:paraId="428C2C0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Sleep or wait current</w:t>
            </w:r>
          </w:p>
        </w:tc>
        <w:tc>
          <w:tcPr>
            <w:tcW w:w="0" w:type="auto"/>
            <w:shd w:val="clear" w:color="auto" w:fill="EDEFF2"/>
          </w:tcPr>
          <w:p w14:paraId="16823B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Power design allowance</w:t>
            </w:r>
          </w:p>
        </w:tc>
      </w:tr>
      <w:tr w:rsidR="00DB1607" w:rsidRPr="00B95EB3" w14:paraId="7680D6B4" w14:textId="77777777">
        <w:tc>
          <w:tcPr>
            <w:tcW w:w="0" w:type="auto"/>
          </w:tcPr>
          <w:p w14:paraId="1D331D6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 chip</w:t>
            </w:r>
          </w:p>
        </w:tc>
        <w:tc>
          <w:tcPr>
            <w:tcW w:w="0" w:type="auto"/>
          </w:tcPr>
          <w:p w14:paraId="4CFAF96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2.7 to 3.6 V</w:t>
            </w:r>
          </w:p>
        </w:tc>
        <w:tc>
          <w:tcPr>
            <w:tcW w:w="0" w:type="auto"/>
          </w:tcPr>
          <w:p w14:paraId="533F35E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325 µA maximum</w:t>
            </w:r>
          </w:p>
        </w:tc>
        <w:tc>
          <w:tcPr>
            <w:tcW w:w="0" w:type="auto"/>
          </w:tcPr>
          <w:p w14:paraId="3B044D1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4 µA maximum</w:t>
            </w:r>
          </w:p>
        </w:tc>
        <w:tc>
          <w:tcPr>
            <w:tcW w:w="0" w:type="auto"/>
          </w:tcPr>
          <w:p w14:paraId="2F0F3C1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 mA at 3.3 V for the module</w:t>
            </w:r>
          </w:p>
        </w:tc>
      </w:tr>
      <w:tr w:rsidR="00DB1607" w:rsidRPr="00B95EB3" w14:paraId="5738FE22" w14:textId="77777777">
        <w:tc>
          <w:tcPr>
            <w:tcW w:w="0" w:type="auto"/>
          </w:tcPr>
          <w:p w14:paraId="47B9B8D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TCS34725 chip</w:t>
            </w:r>
          </w:p>
        </w:tc>
        <w:tc>
          <w:tcPr>
            <w:tcW w:w="0" w:type="auto"/>
          </w:tcPr>
          <w:p w14:paraId="3AF5F1B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2.7 to 3.6 V</w:t>
            </w:r>
          </w:p>
        </w:tc>
        <w:tc>
          <w:tcPr>
            <w:tcW w:w="0" w:type="auto"/>
          </w:tcPr>
          <w:p w14:paraId="0845F35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330 µA maximum</w:t>
            </w:r>
          </w:p>
        </w:tc>
        <w:tc>
          <w:tcPr>
            <w:tcW w:w="0" w:type="auto"/>
          </w:tcPr>
          <w:p w14:paraId="7E95E50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65 µA wait typical</w:t>
            </w:r>
          </w:p>
        </w:tc>
        <w:tc>
          <w:tcPr>
            <w:tcW w:w="0" w:type="auto"/>
          </w:tcPr>
          <w:p w14:paraId="577FA71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Module dependent, LED dominated</w:t>
            </w:r>
          </w:p>
        </w:tc>
      </w:tr>
    </w:tbl>
    <w:p w14:paraId="407A38B7" w14:textId="77777777" w:rsidR="00DB1607" w:rsidRPr="00B95EB3" w:rsidRDefault="00000000">
      <w:pPr>
        <w:pStyle w:val="Heading3"/>
        <w:rPr>
          <w:rFonts w:asciiTheme="majorHAnsi" w:hAnsiTheme="majorHAnsi" w:cstheme="majorHAnsi"/>
        </w:rPr>
      </w:pPr>
      <w:bookmarkStart w:id="79" w:name="esp32-cam-module"/>
      <w:bookmarkStart w:id="80" w:name="_Toc241565699"/>
      <w:bookmarkEnd w:id="77"/>
      <w:r w:rsidRPr="00B95EB3">
        <w:rPr>
          <w:rFonts w:asciiTheme="majorHAnsi" w:hAnsiTheme="majorHAnsi" w:cstheme="majorHAnsi"/>
        </w:rPr>
        <w:t>3.2.7 ESP32-CAM Module</w:t>
      </w:r>
      <w:bookmarkEnd w:id="80"/>
    </w:p>
    <w:p w14:paraId="2BDEA09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ESP32-CAM combines an ESP32, an OV2640 camera, PSRAM and Wi-Fi on one board. The firmware captures a JPEG at 640 × 480 pixels, quality setting 12, with one frame buffer and a 10 MHz camera clock. This keeps memory use and upload time well below a full-resolution image while keeping enough colour detail for surface analysis.</w:t>
      </w:r>
    </w:p>
    <w:p w14:paraId="16C2BD9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lastRenderedPageBreak/>
        <w:t>Table 3.3. ESP32-CAM board power figures (DFRobot, 2026b).</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4253"/>
        <w:gridCol w:w="2378"/>
        <w:gridCol w:w="1263"/>
        <w:gridCol w:w="1292"/>
      </w:tblGrid>
      <w:tr w:rsidR="00DB1607" w:rsidRPr="00B95EB3" w14:paraId="5A3BA2E3"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47EFCDF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Condition</w:t>
            </w:r>
          </w:p>
        </w:tc>
        <w:tc>
          <w:tcPr>
            <w:tcW w:w="0" w:type="auto"/>
            <w:shd w:val="clear" w:color="auto" w:fill="EDEFF2"/>
          </w:tcPr>
          <w:p w14:paraId="55BDC94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Current</w:t>
            </w:r>
          </w:p>
        </w:tc>
        <w:tc>
          <w:tcPr>
            <w:tcW w:w="0" w:type="auto"/>
            <w:shd w:val="clear" w:color="auto" w:fill="EDEFF2"/>
          </w:tcPr>
          <w:p w14:paraId="6CDFCAB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Supply</w:t>
            </w:r>
          </w:p>
        </w:tc>
        <w:tc>
          <w:tcPr>
            <w:tcW w:w="0" w:type="auto"/>
            <w:shd w:val="clear" w:color="auto" w:fill="EDEFF2"/>
          </w:tcPr>
          <w:p w14:paraId="6070961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Power</w:t>
            </w:r>
          </w:p>
        </w:tc>
      </w:tr>
      <w:tr w:rsidR="00DB1607" w:rsidRPr="00B95EB3" w14:paraId="157DB2B9" w14:textId="77777777">
        <w:tc>
          <w:tcPr>
            <w:tcW w:w="0" w:type="auto"/>
          </w:tcPr>
          <w:p w14:paraId="3CE4BBD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Flash off</w:t>
            </w:r>
          </w:p>
        </w:tc>
        <w:tc>
          <w:tcPr>
            <w:tcW w:w="0" w:type="auto"/>
          </w:tcPr>
          <w:p w14:paraId="2E0673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180 mA typical</w:t>
            </w:r>
          </w:p>
        </w:tc>
        <w:tc>
          <w:tcPr>
            <w:tcW w:w="0" w:type="auto"/>
          </w:tcPr>
          <w:p w14:paraId="489A48F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V</w:t>
            </w:r>
          </w:p>
        </w:tc>
        <w:tc>
          <w:tcPr>
            <w:tcW w:w="0" w:type="auto"/>
          </w:tcPr>
          <w:p w14:paraId="61EE7EA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0.90 W</w:t>
            </w:r>
          </w:p>
        </w:tc>
      </w:tr>
      <w:tr w:rsidR="00DB1607" w:rsidRPr="00B95EB3" w14:paraId="50720CFA" w14:textId="77777777">
        <w:tc>
          <w:tcPr>
            <w:tcW w:w="0" w:type="auto"/>
          </w:tcPr>
          <w:p w14:paraId="123E25D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Flash at full brightness</w:t>
            </w:r>
          </w:p>
        </w:tc>
        <w:tc>
          <w:tcPr>
            <w:tcW w:w="0" w:type="auto"/>
          </w:tcPr>
          <w:p w14:paraId="753DAF1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310 mA</w:t>
            </w:r>
          </w:p>
        </w:tc>
        <w:tc>
          <w:tcPr>
            <w:tcW w:w="0" w:type="auto"/>
          </w:tcPr>
          <w:p w14:paraId="5A741D3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V</w:t>
            </w:r>
          </w:p>
        </w:tc>
        <w:tc>
          <w:tcPr>
            <w:tcW w:w="0" w:type="auto"/>
          </w:tcPr>
          <w:p w14:paraId="3390AE0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1.55 W</w:t>
            </w:r>
          </w:p>
        </w:tc>
      </w:tr>
      <w:tr w:rsidR="00DB1607" w:rsidRPr="00B95EB3" w14:paraId="2E306850" w14:textId="77777777">
        <w:tc>
          <w:tcPr>
            <w:tcW w:w="0" w:type="auto"/>
          </w:tcPr>
          <w:p w14:paraId="4268AE0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Modem sleep</w:t>
            </w:r>
          </w:p>
        </w:tc>
        <w:tc>
          <w:tcPr>
            <w:tcW w:w="0" w:type="auto"/>
          </w:tcPr>
          <w:p w14:paraId="44E85EB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20 mA</w:t>
            </w:r>
          </w:p>
        </w:tc>
        <w:tc>
          <w:tcPr>
            <w:tcW w:w="0" w:type="auto"/>
          </w:tcPr>
          <w:p w14:paraId="2187549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V</w:t>
            </w:r>
          </w:p>
        </w:tc>
        <w:tc>
          <w:tcPr>
            <w:tcW w:w="0" w:type="auto"/>
          </w:tcPr>
          <w:p w14:paraId="5FC5468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0.10 W</w:t>
            </w:r>
          </w:p>
        </w:tc>
      </w:tr>
      <w:tr w:rsidR="00DB1607" w:rsidRPr="00B95EB3" w14:paraId="52365BC0" w14:textId="77777777">
        <w:tc>
          <w:tcPr>
            <w:tcW w:w="0" w:type="auto"/>
          </w:tcPr>
          <w:p w14:paraId="121E9DC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Deep sleep, complete board</w:t>
            </w:r>
          </w:p>
        </w:tc>
        <w:tc>
          <w:tcPr>
            <w:tcW w:w="0" w:type="auto"/>
          </w:tcPr>
          <w:p w14:paraId="3B97B78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 mA</w:t>
            </w:r>
          </w:p>
        </w:tc>
        <w:tc>
          <w:tcPr>
            <w:tcW w:w="0" w:type="auto"/>
          </w:tcPr>
          <w:p w14:paraId="4668A6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V</w:t>
            </w:r>
          </w:p>
        </w:tc>
        <w:tc>
          <w:tcPr>
            <w:tcW w:w="0" w:type="auto"/>
          </w:tcPr>
          <w:p w14:paraId="37D71B1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0.03 W</w:t>
            </w:r>
          </w:p>
        </w:tc>
      </w:tr>
    </w:tbl>
    <w:p w14:paraId="0A6AC944"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board’s 6 mA deep sleep current is small beside its active current, but it flows all day and uses about 144 mAh from the 5 V supply each day even if no image is taken. The firmware reduces avoidable draw during sleep by holding the camera in power-down and the flash LED off with RTC GPIO holds. The board’s regulator and support parts still draw current. A load switch or timed latch that removes camera power completely between captures would make the camera’s energy use follow the number of images instead of the number of hours, and is listed as an improvement in Section 7.4.</w:t>
      </w:r>
    </w:p>
    <w:p w14:paraId="3DB7FA7D" w14:textId="77777777" w:rsidR="00DB1607" w:rsidRPr="00B95EB3" w:rsidRDefault="00000000">
      <w:pPr>
        <w:pStyle w:val="Heading3"/>
        <w:rPr>
          <w:rFonts w:asciiTheme="majorHAnsi" w:hAnsiTheme="majorHAnsi" w:cstheme="majorHAnsi"/>
        </w:rPr>
      </w:pPr>
      <w:bookmarkStart w:id="81" w:name="power-supply-and-regulation"/>
      <w:bookmarkStart w:id="82" w:name="_Toc241565700"/>
      <w:bookmarkEnd w:id="79"/>
      <w:r w:rsidRPr="00B95EB3">
        <w:rPr>
          <w:rFonts w:asciiTheme="majorHAnsi" w:hAnsiTheme="majorHAnsi" w:cstheme="majorHAnsi"/>
        </w:rPr>
        <w:t>3.2.8 Power Supply and Regulation</w:t>
      </w:r>
      <w:bookmarkEnd w:id="82"/>
    </w:p>
    <w:p w14:paraId="56115D8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With every sensor now running at 3.3 V from GPIO pins, the whole sensor node runs from the ESP32 board’s 3.3 V supply. The design no longer needs a high-voltage pack or step-down converters to create separate rails. This leaves the choice of battery and regulator as a question of service life rather than of correct operation.</w:t>
      </w:r>
    </w:p>
    <w:p w14:paraId="733D24B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For testing, the node is powered from four AAA cells (about 6 V from fresh alkaline cells) through a breadboard power supply module, with the camera node on its own supply. This keeps the test arrangement simple and lets either node be restarted without affecting the other. Two points about the regulator follow from this choice.</w:t>
      </w:r>
    </w:p>
    <w:p w14:paraId="0BB7185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First, a linear regulator draws roughly the same current from the battery as the load draws from its output. The difference in voltage is lost as heat. Dropping 6 V to 3.3 V linearly therefore wastes about 45 % of the pack’s energy at the start of discharge. A buck converter at around 85 % efficiency draws less input current than its output current, and would extend the service interval by roughly a quarter to a third at this input voltage (Table 3.5).</w:t>
      </w:r>
    </w:p>
    <w:p w14:paraId="0A2D859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Second, a common AMS1117-class linear regulator needs roughly 1 V of headroom above its output to stay in regulation (Advanced Monolithic Systems, n.d.). A 3.3 V output therefore needs about 4.3 V to 4.4 V at the input. Four alkaline cells fall to about 4.4 V well before </w:t>
      </w:r>
      <w:r w:rsidRPr="00B95EB3">
        <w:rPr>
          <w:rFonts w:asciiTheme="majorHAnsi" w:hAnsiTheme="majorHAnsi" w:cstheme="majorHAnsi"/>
        </w:rPr>
        <w:lastRenderedPageBreak/>
        <w:t>they are fully discharged, so the node would lose regulation while the pack still holds usable charge. Breadboard supply modules of this type are also commonly specified for inputs of about 6.5 V and above on their 5 V output, so the node should take its supply from the module’s 3.3 V output. The input rating of the specific module used should be checked against the pack before an endurance run.</w:t>
      </w:r>
    </w:p>
    <w:p w14:paraId="0F69DBD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For these reasons a buck converter, or a low-dropout regulator with a low quiescent current, is the preferred arrangement for any run intended to measure service life. It is not required for correct operation, and bench testing can continue on the simpler supply.</w:t>
      </w:r>
    </w:p>
    <w:p w14:paraId="6B23FB4E" w14:textId="77777777" w:rsidR="00DB1607" w:rsidRPr="00B95EB3" w:rsidRDefault="00000000">
      <w:pPr>
        <w:pStyle w:val="Heading2"/>
        <w:rPr>
          <w:rFonts w:asciiTheme="majorHAnsi" w:hAnsiTheme="majorHAnsi" w:cstheme="majorHAnsi"/>
        </w:rPr>
      </w:pPr>
      <w:bookmarkStart w:id="83" w:name="power-budget"/>
      <w:bookmarkStart w:id="84" w:name="_Toc241565701"/>
      <w:bookmarkEnd w:id="64"/>
      <w:bookmarkEnd w:id="81"/>
      <w:r w:rsidRPr="00B95EB3">
        <w:rPr>
          <w:rFonts w:asciiTheme="majorHAnsi" w:hAnsiTheme="majorHAnsi" w:cstheme="majorHAnsi"/>
        </w:rPr>
        <w:t>3.3 Power Budget</w:t>
      </w:r>
      <w:bookmarkEnd w:id="84"/>
    </w:p>
    <w:p w14:paraId="5E6CD99E" w14:textId="77777777" w:rsidR="00DB1607" w:rsidRPr="00B95EB3" w:rsidRDefault="00000000">
      <w:pPr>
        <w:pStyle w:val="Heading3"/>
        <w:rPr>
          <w:rFonts w:asciiTheme="majorHAnsi" w:hAnsiTheme="majorHAnsi" w:cstheme="majorHAnsi"/>
        </w:rPr>
      </w:pPr>
      <w:bookmarkStart w:id="85" w:name="load-figures"/>
      <w:bookmarkStart w:id="86" w:name="_Toc241565702"/>
      <w:r w:rsidRPr="00B95EB3">
        <w:rPr>
          <w:rFonts w:asciiTheme="majorHAnsi" w:hAnsiTheme="majorHAnsi" w:cstheme="majorHAnsi"/>
        </w:rPr>
        <w:t>3.3.1 Load Figures</w:t>
      </w:r>
      <w:bookmarkEnd w:id="86"/>
    </w:p>
    <w:p w14:paraId="10E56D0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Table 3.4 lists the loads on the sensor node. Only one sensor is powered at a time, so the node’s current during sensing is set by the ESP32 itself plus a single sensor, and the radio is never active while a sensor is powered.</w:t>
      </w:r>
    </w:p>
    <w:p w14:paraId="4C9444DD"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3.4. Sensor node loads. Figures marked as design assumptions are replaced by the measurements in Section 4.4.7.</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2837"/>
        <w:gridCol w:w="1979"/>
        <w:gridCol w:w="4370"/>
      </w:tblGrid>
      <w:tr w:rsidR="00DB1607" w:rsidRPr="00B95EB3" w14:paraId="795FB084"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F22A9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Load</w:t>
            </w:r>
          </w:p>
        </w:tc>
        <w:tc>
          <w:tcPr>
            <w:tcW w:w="0" w:type="auto"/>
            <w:shd w:val="clear" w:color="auto" w:fill="EDEFF2"/>
          </w:tcPr>
          <w:p w14:paraId="1FC4DE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Current</w:t>
            </w:r>
          </w:p>
        </w:tc>
        <w:tc>
          <w:tcPr>
            <w:tcW w:w="0" w:type="auto"/>
            <w:shd w:val="clear" w:color="auto" w:fill="EDEFF2"/>
          </w:tcPr>
          <w:p w14:paraId="5E8D9A2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Basis</w:t>
            </w:r>
          </w:p>
        </w:tc>
      </w:tr>
      <w:tr w:rsidR="00DB1607" w:rsidRPr="00B95EB3" w14:paraId="24D8EAD8" w14:textId="77777777">
        <w:tc>
          <w:tcPr>
            <w:tcW w:w="0" w:type="auto"/>
          </w:tcPr>
          <w:p w14:paraId="6703BCC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with radio off</w:t>
            </w:r>
          </w:p>
        </w:tc>
        <w:tc>
          <w:tcPr>
            <w:tcW w:w="0" w:type="auto"/>
          </w:tcPr>
          <w:p w14:paraId="156EE04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40 to 50 mA</w:t>
            </w:r>
          </w:p>
        </w:tc>
        <w:tc>
          <w:tcPr>
            <w:tcW w:w="0" w:type="auto"/>
          </w:tcPr>
          <w:p w14:paraId="599E31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Design assumption for CPU active at 240 MHz</w:t>
            </w:r>
          </w:p>
        </w:tc>
      </w:tr>
      <w:tr w:rsidR="00DB1607" w:rsidRPr="00B95EB3" w14:paraId="17F34214" w14:textId="77777777">
        <w:tc>
          <w:tcPr>
            <w:tcW w:w="0" w:type="auto"/>
          </w:tcPr>
          <w:p w14:paraId="30B6387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Wi-Fi connect and send</w:t>
            </w:r>
          </w:p>
        </w:tc>
        <w:tc>
          <w:tcPr>
            <w:tcW w:w="0" w:type="auto"/>
          </w:tcPr>
          <w:p w14:paraId="599FDD9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120 mA mean</w:t>
            </w:r>
          </w:p>
        </w:tc>
        <w:tc>
          <w:tcPr>
            <w:tcW w:w="0" w:type="auto"/>
          </w:tcPr>
          <w:p w14:paraId="650550A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Design assumption averaged over the upload</w:t>
            </w:r>
          </w:p>
        </w:tc>
      </w:tr>
      <w:tr w:rsidR="00DB1607" w:rsidRPr="00B95EB3" w14:paraId="0ED973D0" w14:textId="77777777">
        <w:tc>
          <w:tcPr>
            <w:tcW w:w="0" w:type="auto"/>
          </w:tcPr>
          <w:p w14:paraId="6A3AA9F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transmit peak</w:t>
            </w:r>
          </w:p>
        </w:tc>
        <w:tc>
          <w:tcPr>
            <w:tcW w:w="0" w:type="auto"/>
          </w:tcPr>
          <w:p w14:paraId="67976B7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up to 379 mA</w:t>
            </w:r>
          </w:p>
        </w:tc>
        <w:tc>
          <w:tcPr>
            <w:tcW w:w="0" w:type="auto"/>
          </w:tcPr>
          <w:p w14:paraId="3703261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Datasheet worst case, sets decoupling</w:t>
            </w:r>
          </w:p>
        </w:tc>
      </w:tr>
      <w:tr w:rsidR="00DB1607" w:rsidRPr="00B95EB3" w14:paraId="1FCAFCD7" w14:textId="77777777">
        <w:tc>
          <w:tcPr>
            <w:tcW w:w="0" w:type="auto"/>
          </w:tcPr>
          <w:p w14:paraId="473CA72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 conversion</w:t>
            </w:r>
          </w:p>
        </w:tc>
        <w:tc>
          <w:tcPr>
            <w:tcW w:w="0" w:type="auto"/>
          </w:tcPr>
          <w:p w14:paraId="7CE5BD5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1.5 mA</w:t>
            </w:r>
          </w:p>
        </w:tc>
        <w:tc>
          <w:tcPr>
            <w:tcW w:w="0" w:type="auto"/>
          </w:tcPr>
          <w:p w14:paraId="149E811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Datasheet maximum</w:t>
            </w:r>
          </w:p>
        </w:tc>
      </w:tr>
      <w:tr w:rsidR="00DB1607" w:rsidRPr="00B95EB3" w14:paraId="6E120412" w14:textId="77777777">
        <w:tc>
          <w:tcPr>
            <w:tcW w:w="0" w:type="auto"/>
          </w:tcPr>
          <w:p w14:paraId="4952816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TDS board</w:t>
            </w:r>
          </w:p>
        </w:tc>
        <w:tc>
          <w:tcPr>
            <w:tcW w:w="0" w:type="auto"/>
          </w:tcPr>
          <w:p w14:paraId="7D3AEFD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up to 6 mA</w:t>
            </w:r>
          </w:p>
        </w:tc>
        <w:tc>
          <w:tcPr>
            <w:tcW w:w="0" w:type="auto"/>
          </w:tcPr>
          <w:p w14:paraId="5910A18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Published maximum</w:t>
            </w:r>
          </w:p>
        </w:tc>
      </w:tr>
      <w:tr w:rsidR="00DB1607" w:rsidRPr="00B95EB3" w14:paraId="3DAD487D" w14:textId="77777777">
        <w:tc>
          <w:tcPr>
            <w:tcW w:w="0" w:type="auto"/>
          </w:tcPr>
          <w:p w14:paraId="443317A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board</w:t>
            </w:r>
          </w:p>
        </w:tc>
        <w:tc>
          <w:tcPr>
            <w:tcW w:w="0" w:type="auto"/>
          </w:tcPr>
          <w:p w14:paraId="772052D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few mA</w:t>
            </w:r>
          </w:p>
        </w:tc>
        <w:tc>
          <w:tcPr>
            <w:tcW w:w="0" w:type="auto"/>
          </w:tcPr>
          <w:p w14:paraId="2E16D9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measured, Section 4.4.7</w:t>
            </w:r>
          </w:p>
        </w:tc>
      </w:tr>
      <w:tr w:rsidR="00DB1607" w:rsidRPr="00B95EB3" w14:paraId="1C33667F" w14:textId="77777777">
        <w:tc>
          <w:tcPr>
            <w:tcW w:w="0" w:type="auto"/>
          </w:tcPr>
          <w:p w14:paraId="3BC2A8C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 module</w:t>
            </w:r>
          </w:p>
        </w:tc>
        <w:tc>
          <w:tcPr>
            <w:tcW w:w="0" w:type="auto"/>
          </w:tcPr>
          <w:p w14:paraId="35D2553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under 1 mA</w:t>
            </w:r>
          </w:p>
        </w:tc>
        <w:tc>
          <w:tcPr>
            <w:tcW w:w="0" w:type="auto"/>
          </w:tcPr>
          <w:p w14:paraId="611C77F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Module allowance</w:t>
            </w:r>
          </w:p>
        </w:tc>
      </w:tr>
      <w:tr w:rsidR="00DB1607" w:rsidRPr="00B95EB3" w14:paraId="2D9BEB85" w14:textId="77777777">
        <w:tc>
          <w:tcPr>
            <w:tcW w:w="0" w:type="auto"/>
          </w:tcPr>
          <w:p w14:paraId="7AEFE43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GY-33 with LED</w:t>
            </w:r>
          </w:p>
        </w:tc>
        <w:tc>
          <w:tcPr>
            <w:tcW w:w="0" w:type="auto"/>
          </w:tcPr>
          <w:p w14:paraId="6012CFC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module dependent</w:t>
            </w:r>
          </w:p>
        </w:tc>
        <w:tc>
          <w:tcPr>
            <w:tcW w:w="0" w:type="auto"/>
          </w:tcPr>
          <w:p w14:paraId="4CBA996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LED dominated, measured separately</w:t>
            </w:r>
          </w:p>
        </w:tc>
      </w:tr>
      <w:tr w:rsidR="00DB1607" w:rsidRPr="00B95EB3" w14:paraId="417638E5" w14:textId="77777777">
        <w:tc>
          <w:tcPr>
            <w:tcW w:w="0" w:type="auto"/>
          </w:tcPr>
          <w:p w14:paraId="51A724C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Development board in sleep</w:t>
            </w:r>
          </w:p>
        </w:tc>
        <w:tc>
          <w:tcPr>
            <w:tcW w:w="0" w:type="auto"/>
          </w:tcPr>
          <w:p w14:paraId="1439FF5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5 to 10 mA</w:t>
            </w:r>
          </w:p>
        </w:tc>
        <w:tc>
          <w:tcPr>
            <w:tcW w:w="0" w:type="auto"/>
          </w:tcPr>
          <w:p w14:paraId="100596C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Regulator, USB bridge and LED, to be measured</w:t>
            </w:r>
          </w:p>
        </w:tc>
      </w:tr>
    </w:tbl>
    <w:p w14:paraId="6F71728B" w14:textId="77777777" w:rsidR="00DB1607" w:rsidRPr="00B95EB3" w:rsidRDefault="00000000">
      <w:pPr>
        <w:pStyle w:val="Heading3"/>
        <w:rPr>
          <w:rFonts w:asciiTheme="majorHAnsi" w:hAnsiTheme="majorHAnsi" w:cstheme="majorHAnsi"/>
        </w:rPr>
      </w:pPr>
      <w:bookmarkStart w:id="87" w:name="energy-per-cycle-and-service-estimate"/>
      <w:bookmarkStart w:id="88" w:name="_Toc241565703"/>
      <w:bookmarkEnd w:id="85"/>
      <w:r w:rsidRPr="00B95EB3">
        <w:rPr>
          <w:rFonts w:asciiTheme="majorHAnsi" w:hAnsiTheme="majorHAnsi" w:cstheme="majorHAnsi"/>
        </w:rPr>
        <w:t>3.3.2 Energy per Cycle and Service Estimate</w:t>
      </w:r>
      <w:bookmarkEnd w:id="88"/>
    </w:p>
    <w:p w14:paraId="6E44380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Average battery life depends far more on sleep current and wake duration than on the short radio peak. The following estimate uses the firmware’s actual timing and states each assumption so that the measured result in Section 4.6.1 can be compared with it.</w:t>
      </w:r>
    </w:p>
    <w:p w14:paraId="4A26565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The sensing window lasts about 10 s to 13 s per cycle. The TDS reading takes about 2.6 s, the light and colour readings about 2 s to 3 s, the temperature reading about 1.8 s and the pH reading up to 5.6 s. Taking 12 s at 50 mA plus a 4 s upload at 120 mA gives about 0.30 mAh per cycle. At the five-minute production interval this is 288 cycles and about 86 mAh per day. The node sleeps for the remaining 22.7 hours. A development board drawing 8 mA in sleep consumes about 180 mAh per day in sleep alone, while a board with its power LED removed and a low-quiescent regulator might draw 0.2 mA, or about 5 mAh per day.</w:t>
      </w:r>
    </w:p>
    <w:p w14:paraId="3BCBDDF7"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3.5. Service estimates from the stated assumptions. Usable capacity is derated to allow for the regulator’s dropout and cell temperature. These are design estimates and are replaced by the Tier 3 measurement.</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648"/>
        <w:gridCol w:w="1848"/>
        <w:gridCol w:w="1805"/>
        <w:gridCol w:w="1885"/>
      </w:tblGrid>
      <w:tr w:rsidR="00DB1607" w:rsidRPr="00B95EB3" w14:paraId="1F7F3427"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170F1EB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Arrangement</w:t>
            </w:r>
          </w:p>
        </w:tc>
        <w:tc>
          <w:tcPr>
            <w:tcW w:w="0" w:type="auto"/>
            <w:shd w:val="clear" w:color="auto" w:fill="EDEFF2"/>
          </w:tcPr>
          <w:p w14:paraId="3A19AE4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Pack current/day</w:t>
            </w:r>
          </w:p>
        </w:tc>
        <w:tc>
          <w:tcPr>
            <w:tcW w:w="0" w:type="auto"/>
            <w:shd w:val="clear" w:color="auto" w:fill="EDEFF2"/>
          </w:tcPr>
          <w:p w14:paraId="064030F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Usable capacity</w:t>
            </w:r>
          </w:p>
        </w:tc>
        <w:tc>
          <w:tcPr>
            <w:tcW w:w="0" w:type="auto"/>
            <w:shd w:val="clear" w:color="auto" w:fill="EDEFF2"/>
          </w:tcPr>
          <w:p w14:paraId="67A4272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Estimated service</w:t>
            </w:r>
          </w:p>
        </w:tc>
      </w:tr>
      <w:tr w:rsidR="00DB1607" w:rsidRPr="00B95EB3" w14:paraId="5209FC0C" w14:textId="77777777">
        <w:tc>
          <w:tcPr>
            <w:tcW w:w="0" w:type="auto"/>
          </w:tcPr>
          <w:p w14:paraId="6E0070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Development board, linear regulator</w:t>
            </w:r>
          </w:p>
        </w:tc>
        <w:tc>
          <w:tcPr>
            <w:tcW w:w="0" w:type="auto"/>
          </w:tcPr>
          <w:p w14:paraId="21FB9C4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270 mAh</w:t>
            </w:r>
          </w:p>
        </w:tc>
        <w:tc>
          <w:tcPr>
            <w:tcW w:w="0" w:type="auto"/>
          </w:tcPr>
          <w:p w14:paraId="4CA7787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800 mAh (4 AAA)</w:t>
            </w:r>
          </w:p>
        </w:tc>
        <w:tc>
          <w:tcPr>
            <w:tcW w:w="0" w:type="auto"/>
          </w:tcPr>
          <w:p w14:paraId="4FC4F57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3 days</w:t>
            </w:r>
          </w:p>
        </w:tc>
      </w:tr>
      <w:tr w:rsidR="00DB1607" w:rsidRPr="00B95EB3" w14:paraId="70EA30CC" w14:textId="77777777">
        <w:tc>
          <w:tcPr>
            <w:tcW w:w="0" w:type="auto"/>
          </w:tcPr>
          <w:p w14:paraId="6417311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Low-sleep board, linear regulator</w:t>
            </w:r>
          </w:p>
        </w:tc>
        <w:tc>
          <w:tcPr>
            <w:tcW w:w="0" w:type="auto"/>
          </w:tcPr>
          <w:p w14:paraId="68C2822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91 mAh</w:t>
            </w:r>
          </w:p>
        </w:tc>
        <w:tc>
          <w:tcPr>
            <w:tcW w:w="0" w:type="auto"/>
          </w:tcPr>
          <w:p w14:paraId="0907698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800 mAh (4 AAA)</w:t>
            </w:r>
          </w:p>
        </w:tc>
        <w:tc>
          <w:tcPr>
            <w:tcW w:w="0" w:type="auto"/>
          </w:tcPr>
          <w:p w14:paraId="7C695B8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9 days</w:t>
            </w:r>
          </w:p>
        </w:tc>
      </w:tr>
      <w:tr w:rsidR="00DB1607" w:rsidRPr="00B95EB3" w14:paraId="661C74A6" w14:textId="77777777">
        <w:tc>
          <w:tcPr>
            <w:tcW w:w="0" w:type="auto"/>
          </w:tcPr>
          <w:p w14:paraId="635EF6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Low-sleep board, buck at 85 %</w:t>
            </w:r>
          </w:p>
        </w:tc>
        <w:tc>
          <w:tcPr>
            <w:tcW w:w="0" w:type="auto"/>
          </w:tcPr>
          <w:p w14:paraId="4D281CF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70 mAh</w:t>
            </w:r>
          </w:p>
        </w:tc>
        <w:tc>
          <w:tcPr>
            <w:tcW w:w="0" w:type="auto"/>
          </w:tcPr>
          <w:p w14:paraId="16ECC6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800 mAh (4 AAA)</w:t>
            </w:r>
          </w:p>
        </w:tc>
        <w:tc>
          <w:tcPr>
            <w:tcW w:w="0" w:type="auto"/>
          </w:tcPr>
          <w:p w14:paraId="148C516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11 days</w:t>
            </w:r>
          </w:p>
        </w:tc>
      </w:tr>
      <w:tr w:rsidR="00DB1607" w:rsidRPr="00B95EB3" w14:paraId="5D4B1527" w14:textId="77777777">
        <w:tc>
          <w:tcPr>
            <w:tcW w:w="0" w:type="auto"/>
          </w:tcPr>
          <w:p w14:paraId="6CB3EB0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Low-sleep board, buck, 4 AA cells</w:t>
            </w:r>
          </w:p>
        </w:tc>
        <w:tc>
          <w:tcPr>
            <w:tcW w:w="0" w:type="auto"/>
          </w:tcPr>
          <w:p w14:paraId="4D4C6CD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70 mAh</w:t>
            </w:r>
          </w:p>
        </w:tc>
        <w:tc>
          <w:tcPr>
            <w:tcW w:w="0" w:type="auto"/>
          </w:tcPr>
          <w:p w14:paraId="07F96E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2000 mAh (4 AA)</w:t>
            </w:r>
          </w:p>
        </w:tc>
        <w:tc>
          <w:tcPr>
            <w:tcW w:w="0" w:type="auto"/>
          </w:tcPr>
          <w:p w14:paraId="07081C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about 4 weeks</w:t>
            </w:r>
          </w:p>
        </w:tc>
      </w:tr>
    </w:tbl>
    <w:p w14:paraId="24775D93"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table shows that the development board’s own sleep current sets the service interval, far more than the sensors or the radio do. Removing that current extends life about threefold, while a buck converter adds roughly another quarter. The five-minute interval accounts for most of the remaining active energy, so a stable-pond interval of 15 minutes would roughly halve the active share. These results set the order of work: measure the board’s sleep current first, then decide on the regulator.</w:t>
      </w:r>
    </w:p>
    <w:p w14:paraId="124D932B" w14:textId="77777777" w:rsidR="00DB1607" w:rsidRPr="00B95EB3" w:rsidRDefault="00000000">
      <w:pPr>
        <w:pStyle w:val="Heading2"/>
        <w:rPr>
          <w:rFonts w:asciiTheme="majorHAnsi" w:hAnsiTheme="majorHAnsi" w:cstheme="majorHAnsi"/>
        </w:rPr>
      </w:pPr>
      <w:bookmarkStart w:id="89" w:name="X15253d1ba1e4cec75d424ec388b538aa9864bf4"/>
      <w:bookmarkStart w:id="90" w:name="_Toc241565704"/>
      <w:bookmarkEnd w:id="83"/>
      <w:bookmarkEnd w:id="87"/>
      <w:r w:rsidRPr="00B95EB3">
        <w:rPr>
          <w:rFonts w:asciiTheme="majorHAnsi" w:hAnsiTheme="majorHAnsi" w:cstheme="majorHAnsi"/>
        </w:rPr>
        <w:t>3.4 Sampling Schedule, Deep Sleep and Interference Control</w:t>
      </w:r>
      <w:bookmarkEnd w:id="90"/>
    </w:p>
    <w:p w14:paraId="45138607" w14:textId="77777777" w:rsidR="00DB1607" w:rsidRPr="00B95EB3" w:rsidRDefault="00000000">
      <w:pPr>
        <w:pStyle w:val="Heading3"/>
        <w:rPr>
          <w:rFonts w:asciiTheme="majorHAnsi" w:hAnsiTheme="majorHAnsi" w:cstheme="majorHAnsi"/>
        </w:rPr>
      </w:pPr>
      <w:bookmarkStart w:id="91" w:name="five-minute-base-interval"/>
      <w:bookmarkStart w:id="92" w:name="_Toc241565705"/>
      <w:r w:rsidRPr="00B95EB3">
        <w:rPr>
          <w:rFonts w:asciiTheme="majorHAnsi" w:hAnsiTheme="majorHAnsi" w:cstheme="majorHAnsi"/>
        </w:rPr>
        <w:t>3.4.1 Five-Minute Base Interval</w:t>
      </w:r>
      <w:bookmarkEnd w:id="92"/>
    </w:p>
    <w:p w14:paraId="1909973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production interval is five minutes, which gives 288 readings per day. Pond temperature and conductivity change more slowly than this, so a one-minute interval would mainly add Wi-Fi sessions and database rows. A fifteen-minute interval would save more energy but could delay the record of a change after feeding, maintenance or a sudden storm. Five minutes gives enough trend detail while keeping the radio duty cycle low.</w:t>
      </w:r>
    </w:p>
    <w:p w14:paraId="1FFB805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During bench testing the firmware sleeps for 15 s instead. The short interval collects many cycles quickly, which is what calibration and noise measurements need, and it has no bearing on the production schedule. The interval is a single constant in the firmware.</w:t>
      </w:r>
    </w:p>
    <w:p w14:paraId="0E781FA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Each Wi-Fi session has a fixed cost for association and connection setup, so each wake sends all readings together in one request. Sending one request per sensor would repeat that cost four times.</w:t>
      </w:r>
    </w:p>
    <w:p w14:paraId="31639938" w14:textId="77777777" w:rsidR="00DB1607" w:rsidRPr="00B95EB3" w:rsidRDefault="00000000">
      <w:pPr>
        <w:pStyle w:val="Heading3"/>
        <w:rPr>
          <w:rFonts w:asciiTheme="majorHAnsi" w:hAnsiTheme="majorHAnsi" w:cstheme="majorHAnsi"/>
        </w:rPr>
      </w:pPr>
      <w:bookmarkStart w:id="93" w:name="sensor-cycle-sequence"/>
      <w:bookmarkStart w:id="94" w:name="_Toc241565706"/>
      <w:bookmarkEnd w:id="91"/>
      <w:r w:rsidRPr="00B95EB3">
        <w:rPr>
          <w:rFonts w:asciiTheme="majorHAnsi" w:hAnsiTheme="majorHAnsi" w:cstheme="majorHAnsi"/>
        </w:rPr>
        <w:t>3.4.2 Sensor Cycle Sequence</w:t>
      </w:r>
      <w:bookmarkEnd w:id="94"/>
    </w:p>
    <w:p w14:paraId="54F9D8B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firmware runs the following sequence once per wake, from the setup routine.</w:t>
      </w:r>
    </w:p>
    <w:p w14:paraId="0FFC3A2E"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Drive all sensor power pins low and release any GPIO holds left from the previous sleep.</w:t>
      </w:r>
    </w:p>
    <w:p w14:paraId="5A50ABAF"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Power the TDS board, wait 2 s, take 31 readings on ADC1 and keep the median, then power it off.</w:t>
      </w:r>
    </w:p>
    <w:p w14:paraId="63D74285"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Power the TSL2591, run the automatic gain sequence, read both channels, then return the I2C pins to input mode and power it off.</w:t>
      </w:r>
    </w:p>
    <w:p w14:paraId="541FE260"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Power the GY-33 on the second I2C bus, read its colour registers, then release the bus and power it off.</w:t>
      </w:r>
    </w:p>
    <w:p w14:paraId="663C5297"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Power the DS18B20, run up to three conversion attempts with CRC and sentinel checks, then power it off.</w:t>
      </w:r>
    </w:p>
    <w:p w14:paraId="33396344"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Power the pH board, wait until the output settles or 5 s pass, take 31 readings on ADC1 and keep the median, then power it off.</w:t>
      </w:r>
    </w:p>
    <w:p w14:paraId="3BA1FD92"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Apply temperature compensation to the pH and TDS readings.</w:t>
      </w:r>
    </w:p>
    <w:p w14:paraId="5089AA06"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Start Wi-Fi, send one batched insert with a bounded connection time, and switch Wi-Fi off.</w:t>
      </w:r>
    </w:p>
    <w:p w14:paraId="4C4C75CE" w14:textId="77777777" w:rsidR="00DB1607" w:rsidRPr="00B95EB3" w:rsidRDefault="00000000">
      <w:pPr>
        <w:pStyle w:val="Compact"/>
        <w:numPr>
          <w:ilvl w:val="0"/>
          <w:numId w:val="3"/>
        </w:numPr>
        <w:rPr>
          <w:rFonts w:asciiTheme="majorHAnsi" w:hAnsiTheme="majorHAnsi" w:cstheme="majorHAnsi"/>
        </w:rPr>
      </w:pPr>
      <w:r w:rsidRPr="00B95EB3">
        <w:rPr>
          <w:rFonts w:asciiTheme="majorHAnsi" w:hAnsiTheme="majorHAnsi" w:cstheme="majorHAnsi"/>
        </w:rPr>
        <w:t>Drive all power pins low, latch them with GPIO hold and enter deep sleep until the next timer event.</w:t>
      </w:r>
    </w:p>
    <w:p w14:paraId="2C50409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order has two useful properties. First, TDS is read at the start and pH at the end, with the light, colour and temperature readings between them. This places about 4 s to 5 s between the end of TDS excitation and the start of the pH reading, which lets charge from the TDS probe dissipate in the water before the most sensitive measurement is taken. Second, temperature is read before pH and after TDS, but compensation is applied to both after all readings are taken. Pond temperature changes by a negligible amount over the 10 s to 13 s of a cycle, so compensating TDS with a temperature read a few seconds later introduces no meaningful error.</w:t>
      </w:r>
    </w:p>
    <w:p w14:paraId="1DC9E7A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camera node runs its own cycle on a separate schedule. Its capture times are set by the camera service, not by the sensor node, so the two nodes can transmit at the same </w:t>
      </w:r>
      <w:r w:rsidRPr="00B95EB3">
        <w:rPr>
          <w:rFonts w:asciiTheme="majorHAnsi" w:hAnsiTheme="majorHAnsi" w:cstheme="majorHAnsi"/>
        </w:rPr>
        <w:lastRenderedPageBreak/>
        <w:t>moment. Each node bounds its own connection time and has its own fallback, so neither waits for the other.</w:t>
      </w:r>
    </w:p>
    <w:p w14:paraId="65C79CA5" w14:textId="77777777" w:rsidR="00DB1607" w:rsidRPr="00B95EB3" w:rsidRDefault="00000000">
      <w:pPr>
        <w:pStyle w:val="Heading3"/>
        <w:rPr>
          <w:rFonts w:asciiTheme="majorHAnsi" w:hAnsiTheme="majorHAnsi" w:cstheme="majorHAnsi"/>
        </w:rPr>
      </w:pPr>
      <w:bookmarkStart w:id="95" w:name="why-ph-requires-time-separation"/>
      <w:bookmarkStart w:id="96" w:name="_Toc241565707"/>
      <w:bookmarkEnd w:id="93"/>
      <w:r w:rsidRPr="00B95EB3">
        <w:rPr>
          <w:rFonts w:asciiTheme="majorHAnsi" w:hAnsiTheme="majorHAnsi" w:cstheme="majorHAnsi"/>
        </w:rPr>
        <w:t>3.4.3 Why pH Requires Time Separation</w:t>
      </w:r>
      <w:bookmarkEnd w:id="96"/>
    </w:p>
    <w:p w14:paraId="35D156A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pH path is the most sensitive electrical measurement in the system. Its high source resistance means small leakage currents and coupled noise can change the reading. The TDS probe deliberately drives an alternating signal into the water, and DFRobot states that a conductivity sensor can seriously disturb other water-quality sensors in the same container and recommends electrical isolation (DFRobot, 2026c). Wi-Fi transmission adds high-frequency current pulses on the supply and ground.</w:t>
      </w:r>
    </w:p>
    <w:p w14:paraId="3AF565E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For this reason, pH acquisition never overlaps with TDS excitation, the colour sensor LED, or Wi-Fi transmission, and the sequence in Section 3.4.2 enforces this. Time separation reduces interference but does not break a ground loop between two probes in the same water. Galvanic isolation of the pH board, for example with an analogue signal isolator such as the DFR0504, remains the stronger control. It is not fitted in the current build because it adds cost and a component that needs its own supply. Section 4.4.2 includes a test that compares pH readings with the TDS probe present and absent. If that test shows a shift beyond the probe’s accuracy, isolation becomes a required change.</w:t>
      </w:r>
    </w:p>
    <w:p w14:paraId="7352718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Switching off a module’s power is only effective if its signal path is also released. The firmware returns I2C and 1-Wire pins to input mode before removing power, so the ESP32 cannot power an idle module through its signal pins. The analogue outputs connect only to ADC inputs, which are high impedance.</w:t>
      </w:r>
    </w:p>
    <w:p w14:paraId="3CDB485A" w14:textId="77777777" w:rsidR="00DB1607" w:rsidRPr="00B95EB3" w:rsidRDefault="00000000">
      <w:pPr>
        <w:pStyle w:val="Heading3"/>
        <w:rPr>
          <w:rFonts w:asciiTheme="majorHAnsi" w:hAnsiTheme="majorHAnsi" w:cstheme="majorHAnsi"/>
        </w:rPr>
      </w:pPr>
      <w:bookmarkStart w:id="97" w:name="deep-sleep-operation"/>
      <w:bookmarkStart w:id="98" w:name="_Toc241565708"/>
      <w:bookmarkEnd w:id="95"/>
      <w:r w:rsidRPr="00B95EB3">
        <w:rPr>
          <w:rFonts w:asciiTheme="majorHAnsi" w:hAnsiTheme="majorHAnsi" w:cstheme="majorHAnsi"/>
        </w:rPr>
        <w:t>3.4.4 Deep Sleep Operation</w:t>
      </w:r>
      <w:bookmarkEnd w:id="98"/>
    </w:p>
    <w:p w14:paraId="4373709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After each cycle the node enters deep sleep with a timer wake-up. Before sleeping it latches every power pin low with GPIO hold, so no sensor draws current during sleep. Two values survive sleep in RTC memory: a cycle counter and the last good water temperature, which the temperature fallback uses.</w:t>
      </w:r>
    </w:p>
    <w:p w14:paraId="3EB3777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After each cycle the node also listens on its serial port for 3 s before sleeping. Any input puts it into a service mode that stays awake and accepts commands. These commands run pH calibration against each buffer, clear the calibration, calibrate the TDS factor against a standard solution, read the temperature alone, log the pH or TDS settling curve for 30 s, </w:t>
      </w:r>
      <w:r w:rsidRPr="00B95EB3">
        <w:rPr>
          <w:rFonts w:asciiTheme="majorHAnsi" w:hAnsiTheme="majorHAnsi" w:cstheme="majorHAnsi"/>
        </w:rPr>
        <w:lastRenderedPageBreak/>
        <w:t>scan both I2C buses and run a single cycle on demand. Calibration values are stored in non-volatile memory and survive power loss. This design lets calibration and fault-finding happen on the deployed node without reflashing firmware. It costs 3 s of extra wake time per cycle, which is small beside the sensing window. The service window can be removed from the production build if the serial port is not accessible in the enclosure.</w:t>
      </w:r>
    </w:p>
    <w:p w14:paraId="05FC1BC8" w14:textId="77777777" w:rsidR="00DB1607" w:rsidRPr="00B95EB3" w:rsidRDefault="00000000">
      <w:pPr>
        <w:pStyle w:val="Heading2"/>
        <w:rPr>
          <w:rFonts w:asciiTheme="majorHAnsi" w:hAnsiTheme="majorHAnsi" w:cstheme="majorHAnsi"/>
        </w:rPr>
      </w:pPr>
      <w:bookmarkStart w:id="99" w:name="consolidated-hardware-summary"/>
      <w:bookmarkStart w:id="100" w:name="_Toc241565709"/>
      <w:bookmarkEnd w:id="89"/>
      <w:bookmarkEnd w:id="97"/>
      <w:r w:rsidRPr="00B95EB3">
        <w:rPr>
          <w:rFonts w:asciiTheme="majorHAnsi" w:hAnsiTheme="majorHAnsi" w:cstheme="majorHAnsi"/>
        </w:rPr>
        <w:t>3.5 Consolidated Hardware Summary</w:t>
      </w:r>
      <w:bookmarkEnd w:id="100"/>
    </w:p>
    <w:p w14:paraId="33C27690"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3.6. Consolidated hardware and scheduling decisions.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397"/>
        <w:gridCol w:w="1090"/>
        <w:gridCol w:w="2042"/>
        <w:gridCol w:w="1462"/>
        <w:gridCol w:w="3195"/>
      </w:tblGrid>
      <w:tr w:rsidR="00DB1607" w:rsidRPr="00B95EB3" w14:paraId="7A94E524"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464B40E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Component</w:t>
            </w:r>
          </w:p>
        </w:tc>
        <w:tc>
          <w:tcPr>
            <w:tcW w:w="0" w:type="auto"/>
            <w:shd w:val="clear" w:color="auto" w:fill="EDEFF2"/>
          </w:tcPr>
          <w:p w14:paraId="5006193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Supply</w:t>
            </w:r>
          </w:p>
        </w:tc>
        <w:tc>
          <w:tcPr>
            <w:tcW w:w="0" w:type="auto"/>
            <w:shd w:val="clear" w:color="auto" w:fill="EDEFF2"/>
          </w:tcPr>
          <w:p w14:paraId="150316E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Interface</w:t>
            </w:r>
          </w:p>
        </w:tc>
        <w:tc>
          <w:tcPr>
            <w:tcW w:w="0" w:type="auto"/>
            <w:shd w:val="clear" w:color="auto" w:fill="EDEFF2"/>
          </w:tcPr>
          <w:p w14:paraId="329231F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Production schedule</w:t>
            </w:r>
          </w:p>
        </w:tc>
        <w:tc>
          <w:tcPr>
            <w:tcW w:w="0" w:type="auto"/>
            <w:shd w:val="clear" w:color="auto" w:fill="EDEFF2"/>
          </w:tcPr>
          <w:p w14:paraId="2D92FA3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Main tradeoff</w:t>
            </w:r>
          </w:p>
        </w:tc>
      </w:tr>
      <w:tr w:rsidR="00DB1607" w:rsidRPr="00B95EB3" w14:paraId="242CFBC5" w14:textId="77777777">
        <w:tc>
          <w:tcPr>
            <w:tcW w:w="0" w:type="auto"/>
          </w:tcPr>
          <w:p w14:paraId="3D2790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sensor node</w:t>
            </w:r>
          </w:p>
        </w:tc>
        <w:tc>
          <w:tcPr>
            <w:tcW w:w="0" w:type="auto"/>
          </w:tcPr>
          <w:p w14:paraId="31EE23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board rail</w:t>
            </w:r>
          </w:p>
        </w:tc>
        <w:tc>
          <w:tcPr>
            <w:tcW w:w="0" w:type="auto"/>
          </w:tcPr>
          <w:p w14:paraId="17C9CB2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ADC1, 1-Wire, two I2C buses</w:t>
            </w:r>
          </w:p>
        </w:tc>
        <w:tc>
          <w:tcPr>
            <w:tcW w:w="0" w:type="auto"/>
          </w:tcPr>
          <w:p w14:paraId="3383464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5-minute cycle</w:t>
            </w:r>
          </w:p>
        </w:tc>
        <w:tc>
          <w:tcPr>
            <w:tcW w:w="0" w:type="auto"/>
          </w:tcPr>
          <w:p w14:paraId="4E2CB51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Simple integration, but board sleep current sets battery life</w:t>
            </w:r>
          </w:p>
        </w:tc>
      </w:tr>
      <w:tr w:rsidR="00DB1607" w:rsidRPr="00B95EB3" w14:paraId="07352E20" w14:textId="77777777">
        <w:tc>
          <w:tcPr>
            <w:tcW w:w="0" w:type="auto"/>
          </w:tcPr>
          <w:p w14:paraId="6CC36D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w:t>
            </w:r>
          </w:p>
        </w:tc>
        <w:tc>
          <w:tcPr>
            <w:tcW w:w="0" w:type="auto"/>
          </w:tcPr>
          <w:p w14:paraId="203BD7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GPIO27</w:t>
            </w:r>
          </w:p>
        </w:tc>
        <w:tc>
          <w:tcPr>
            <w:tcW w:w="0" w:type="auto"/>
          </w:tcPr>
          <w:p w14:paraId="32B4134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1-Wire, GPIO23</w:t>
            </w:r>
          </w:p>
        </w:tc>
        <w:tc>
          <w:tcPr>
            <w:tcW w:w="0" w:type="auto"/>
          </w:tcPr>
          <w:p w14:paraId="4153B94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cycle</w:t>
            </w:r>
          </w:p>
        </w:tc>
        <w:tc>
          <w:tcPr>
            <w:tcW w:w="0" w:type="auto"/>
          </w:tcPr>
          <w:p w14:paraId="43F774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Long 12-bit conversion, very low current</w:t>
            </w:r>
          </w:p>
        </w:tc>
      </w:tr>
      <w:tr w:rsidR="00DB1607" w:rsidRPr="00B95EB3" w14:paraId="2D6FD2C0" w14:textId="77777777">
        <w:tc>
          <w:tcPr>
            <w:tcW w:w="0" w:type="auto"/>
          </w:tcPr>
          <w:p w14:paraId="1E37430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Analogue TDS</w:t>
            </w:r>
          </w:p>
        </w:tc>
        <w:tc>
          <w:tcPr>
            <w:tcW w:w="0" w:type="auto"/>
          </w:tcPr>
          <w:p w14:paraId="4913A01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GPIO25</w:t>
            </w:r>
          </w:p>
        </w:tc>
        <w:tc>
          <w:tcPr>
            <w:tcW w:w="0" w:type="auto"/>
          </w:tcPr>
          <w:p w14:paraId="10F05F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ADC1, GPIO34</w:t>
            </w:r>
          </w:p>
        </w:tc>
        <w:tc>
          <w:tcPr>
            <w:tcW w:w="0" w:type="auto"/>
          </w:tcPr>
          <w:p w14:paraId="709DDAD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cycle</w:t>
            </w:r>
          </w:p>
        </w:tc>
        <w:tc>
          <w:tcPr>
            <w:tcW w:w="0" w:type="auto"/>
          </w:tcPr>
          <w:p w14:paraId="72E099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 cost, but excitation can disturb pH</w:t>
            </w:r>
          </w:p>
        </w:tc>
      </w:tr>
      <w:tr w:rsidR="00DB1607" w:rsidRPr="00B95EB3" w14:paraId="079F662F" w14:textId="77777777">
        <w:tc>
          <w:tcPr>
            <w:tcW w:w="0" w:type="auto"/>
          </w:tcPr>
          <w:p w14:paraId="35F4D47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Gravity pH kit V2</w:t>
            </w:r>
          </w:p>
        </w:tc>
        <w:tc>
          <w:tcPr>
            <w:tcW w:w="0" w:type="auto"/>
          </w:tcPr>
          <w:p w14:paraId="0C877C0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GPIO4</w:t>
            </w:r>
          </w:p>
        </w:tc>
        <w:tc>
          <w:tcPr>
            <w:tcW w:w="0" w:type="auto"/>
          </w:tcPr>
          <w:p w14:paraId="44ACCA4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ADC1, GPIO35</w:t>
            </w:r>
          </w:p>
        </w:tc>
        <w:tc>
          <w:tcPr>
            <w:tcW w:w="0" w:type="auto"/>
          </w:tcPr>
          <w:p w14:paraId="33D86A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cycle</w:t>
            </w:r>
          </w:p>
        </w:tc>
        <w:tc>
          <w:tcPr>
            <w:tcW w:w="0" w:type="auto"/>
          </w:tcPr>
          <w:p w14:paraId="107585E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Simple power and wiring, less noise immunity than RS485</w:t>
            </w:r>
          </w:p>
        </w:tc>
      </w:tr>
      <w:tr w:rsidR="00DB1607" w:rsidRPr="00B95EB3" w14:paraId="738947B4" w14:textId="77777777">
        <w:tc>
          <w:tcPr>
            <w:tcW w:w="0" w:type="auto"/>
          </w:tcPr>
          <w:p w14:paraId="091FDC7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w:t>
            </w:r>
          </w:p>
        </w:tc>
        <w:tc>
          <w:tcPr>
            <w:tcW w:w="0" w:type="auto"/>
          </w:tcPr>
          <w:p w14:paraId="2658737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GPIO26</w:t>
            </w:r>
          </w:p>
        </w:tc>
        <w:tc>
          <w:tcPr>
            <w:tcW w:w="0" w:type="auto"/>
          </w:tcPr>
          <w:p w14:paraId="2A52F16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I2C bus 0</w:t>
            </w:r>
          </w:p>
        </w:tc>
        <w:tc>
          <w:tcPr>
            <w:tcW w:w="0" w:type="auto"/>
          </w:tcPr>
          <w:p w14:paraId="4B03CD5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cycle</w:t>
            </w:r>
          </w:p>
        </w:tc>
        <w:tc>
          <w:tcPr>
            <w:tcW w:w="0" w:type="auto"/>
          </w:tcPr>
          <w:p w14:paraId="6BE9630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Needs automatic gain for sun and shade</w:t>
            </w:r>
          </w:p>
        </w:tc>
      </w:tr>
      <w:tr w:rsidR="00DB1607" w:rsidRPr="00B95EB3" w14:paraId="08FF7945" w14:textId="77777777">
        <w:tc>
          <w:tcPr>
            <w:tcW w:w="0" w:type="auto"/>
          </w:tcPr>
          <w:p w14:paraId="7490B2E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GY-33</w:t>
            </w:r>
          </w:p>
        </w:tc>
        <w:tc>
          <w:tcPr>
            <w:tcW w:w="0" w:type="auto"/>
          </w:tcPr>
          <w:p w14:paraId="6E2C6B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3.3 V, GPIO32</w:t>
            </w:r>
          </w:p>
        </w:tc>
        <w:tc>
          <w:tcPr>
            <w:tcW w:w="0" w:type="auto"/>
          </w:tcPr>
          <w:p w14:paraId="392461F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I2C bus 1 at 0x5A</w:t>
            </w:r>
          </w:p>
        </w:tc>
        <w:tc>
          <w:tcPr>
            <w:tcW w:w="0" w:type="auto"/>
          </w:tcPr>
          <w:p w14:paraId="43CF2C8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cycle</w:t>
            </w:r>
          </w:p>
        </w:tc>
        <w:tc>
          <w:tcPr>
            <w:tcW w:w="0" w:type="auto"/>
          </w:tcPr>
          <w:p w14:paraId="7DED05A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Separate bus avoids the 0x29 address conflict</w:t>
            </w:r>
          </w:p>
        </w:tc>
      </w:tr>
      <w:tr w:rsidR="00DB1607" w:rsidRPr="00B95EB3" w14:paraId="5BF55CA1" w14:textId="77777777">
        <w:tc>
          <w:tcPr>
            <w:tcW w:w="0" w:type="auto"/>
          </w:tcPr>
          <w:p w14:paraId="4BDC013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ESP32-CAM</w:t>
            </w:r>
          </w:p>
        </w:tc>
        <w:tc>
          <w:tcPr>
            <w:tcW w:w="0" w:type="auto"/>
          </w:tcPr>
          <w:p w14:paraId="5226865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Own supply</w:t>
            </w:r>
          </w:p>
        </w:tc>
        <w:tc>
          <w:tcPr>
            <w:tcW w:w="0" w:type="auto"/>
          </w:tcPr>
          <w:p w14:paraId="2AFBE99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and HTTPS</w:t>
            </w:r>
          </w:p>
        </w:tc>
        <w:tc>
          <w:tcPr>
            <w:tcW w:w="0" w:type="auto"/>
          </w:tcPr>
          <w:p w14:paraId="1D3DB5C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Server scheduled</w:t>
            </w:r>
          </w:p>
        </w:tc>
        <w:tc>
          <w:tcPr>
            <w:tcW w:w="0" w:type="auto"/>
          </w:tcPr>
          <w:p w14:paraId="63735E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Board sleep current favours a hard power-off</w:t>
            </w:r>
          </w:p>
        </w:tc>
      </w:tr>
      <w:tr w:rsidR="00DB1607" w:rsidRPr="00B95EB3" w14:paraId="0AD4EAB8" w14:textId="77777777">
        <w:tc>
          <w:tcPr>
            <w:tcW w:w="0" w:type="auto"/>
          </w:tcPr>
          <w:p w14:paraId="6EEF70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Battery</w:t>
            </w:r>
          </w:p>
        </w:tc>
        <w:tc>
          <w:tcPr>
            <w:tcW w:w="0" w:type="auto"/>
          </w:tcPr>
          <w:p w14:paraId="72B0E51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4 × AA or AAA</w:t>
            </w:r>
          </w:p>
        </w:tc>
        <w:tc>
          <w:tcPr>
            <w:tcW w:w="0" w:type="auto"/>
          </w:tcPr>
          <w:p w14:paraId="0752828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Regulator to 3.3 V</w:t>
            </w:r>
          </w:p>
        </w:tc>
        <w:tc>
          <w:tcPr>
            <w:tcW w:w="0" w:type="auto"/>
          </w:tcPr>
          <w:p w14:paraId="0366F5D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Service item</w:t>
            </w:r>
          </w:p>
        </w:tc>
        <w:tc>
          <w:tcPr>
            <w:tcW w:w="0" w:type="auto"/>
          </w:tcPr>
          <w:p w14:paraId="1FF165A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Linear is simple, buck extends life</w:t>
            </w:r>
          </w:p>
        </w:tc>
      </w:tr>
    </w:tbl>
    <w:p w14:paraId="253D59C8" w14:textId="77777777" w:rsidR="00DB1607" w:rsidRPr="00B95EB3" w:rsidRDefault="00000000">
      <w:pPr>
        <w:pStyle w:val="Heading2"/>
        <w:rPr>
          <w:rFonts w:asciiTheme="majorHAnsi" w:hAnsiTheme="majorHAnsi" w:cstheme="majorHAnsi"/>
        </w:rPr>
      </w:pPr>
      <w:bookmarkStart w:id="101" w:name="communication-architecture"/>
      <w:bookmarkStart w:id="102" w:name="_Toc241565710"/>
      <w:bookmarkEnd w:id="99"/>
      <w:r w:rsidRPr="00B95EB3">
        <w:rPr>
          <w:rFonts w:asciiTheme="majorHAnsi" w:hAnsiTheme="majorHAnsi" w:cstheme="majorHAnsi"/>
        </w:rPr>
        <w:t>3.6 Communication Architecture</w:t>
      </w:r>
      <w:bookmarkEnd w:id="102"/>
    </w:p>
    <w:p w14:paraId="3DAA0554" w14:textId="77777777" w:rsidR="00DB1607" w:rsidRPr="00B95EB3" w:rsidRDefault="00000000">
      <w:pPr>
        <w:pStyle w:val="Heading3"/>
        <w:rPr>
          <w:rFonts w:asciiTheme="majorHAnsi" w:hAnsiTheme="majorHAnsi" w:cstheme="majorHAnsi"/>
        </w:rPr>
      </w:pPr>
      <w:bookmarkStart w:id="103" w:name="local-hardware-protocols"/>
      <w:bookmarkStart w:id="104" w:name="_Toc241565711"/>
      <w:r w:rsidRPr="00B95EB3">
        <w:rPr>
          <w:rFonts w:asciiTheme="majorHAnsi" w:hAnsiTheme="majorHAnsi" w:cstheme="majorHAnsi"/>
        </w:rPr>
        <w:t>3.6.1 Local Hardware Protocols</w:t>
      </w:r>
      <w:bookmarkEnd w:id="104"/>
    </w:p>
    <w:p w14:paraId="3E9B3FC8"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3.7. Local communication protocols and pin assignments.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276"/>
        <w:gridCol w:w="1674"/>
        <w:gridCol w:w="2809"/>
        <w:gridCol w:w="3427"/>
      </w:tblGrid>
      <w:tr w:rsidR="00DB1607" w:rsidRPr="00B95EB3" w14:paraId="6D8CCD37"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4EAB47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Component</w:t>
            </w:r>
          </w:p>
        </w:tc>
        <w:tc>
          <w:tcPr>
            <w:tcW w:w="0" w:type="auto"/>
            <w:shd w:val="clear" w:color="auto" w:fill="EDEFF2"/>
          </w:tcPr>
          <w:p w14:paraId="1B195C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Protocol</w:t>
            </w:r>
          </w:p>
        </w:tc>
        <w:tc>
          <w:tcPr>
            <w:tcW w:w="0" w:type="auto"/>
            <w:shd w:val="clear" w:color="auto" w:fill="EDEFF2"/>
          </w:tcPr>
          <w:p w14:paraId="3703061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Pins</w:t>
            </w:r>
          </w:p>
        </w:tc>
        <w:tc>
          <w:tcPr>
            <w:tcW w:w="0" w:type="auto"/>
            <w:shd w:val="clear" w:color="auto" w:fill="EDEFF2"/>
          </w:tcPr>
          <w:p w14:paraId="0A0E9C3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Implementation note</w:t>
            </w:r>
          </w:p>
        </w:tc>
      </w:tr>
      <w:tr w:rsidR="00DB1607" w:rsidRPr="00B95EB3" w14:paraId="0D31ECC7" w14:textId="77777777">
        <w:tc>
          <w:tcPr>
            <w:tcW w:w="0" w:type="auto"/>
          </w:tcPr>
          <w:p w14:paraId="4DA996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w:t>
            </w:r>
          </w:p>
        </w:tc>
        <w:tc>
          <w:tcPr>
            <w:tcW w:w="0" w:type="auto"/>
          </w:tcPr>
          <w:p w14:paraId="7E0E6F7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1-Wire</w:t>
            </w:r>
          </w:p>
        </w:tc>
        <w:tc>
          <w:tcPr>
            <w:tcW w:w="0" w:type="auto"/>
          </w:tcPr>
          <w:p w14:paraId="0AD7CCE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 GPIO27, data GPIO23</w:t>
            </w:r>
          </w:p>
        </w:tc>
        <w:tc>
          <w:tcPr>
            <w:tcW w:w="0" w:type="auto"/>
          </w:tcPr>
          <w:p w14:paraId="13DC804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Powered wiring, not parasite power</w:t>
            </w:r>
          </w:p>
        </w:tc>
      </w:tr>
      <w:tr w:rsidR="00DB1607" w:rsidRPr="00B95EB3" w14:paraId="2F21EE09" w14:textId="77777777">
        <w:tc>
          <w:tcPr>
            <w:tcW w:w="0" w:type="auto"/>
          </w:tcPr>
          <w:p w14:paraId="4F553E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TDS board</w:t>
            </w:r>
          </w:p>
        </w:tc>
        <w:tc>
          <w:tcPr>
            <w:tcW w:w="0" w:type="auto"/>
          </w:tcPr>
          <w:p w14:paraId="145039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Analogue voltage</w:t>
            </w:r>
          </w:p>
        </w:tc>
        <w:tc>
          <w:tcPr>
            <w:tcW w:w="0" w:type="auto"/>
          </w:tcPr>
          <w:p w14:paraId="64C1422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 GPIO25, signal GPIO34</w:t>
            </w:r>
          </w:p>
        </w:tc>
        <w:tc>
          <w:tcPr>
            <w:tcW w:w="0" w:type="auto"/>
          </w:tcPr>
          <w:p w14:paraId="651343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ADC1, sampled before Wi-Fi</w:t>
            </w:r>
          </w:p>
        </w:tc>
      </w:tr>
      <w:tr w:rsidR="00DB1607" w:rsidRPr="00B95EB3" w14:paraId="2BF3DDE7" w14:textId="77777777">
        <w:tc>
          <w:tcPr>
            <w:tcW w:w="0" w:type="auto"/>
          </w:tcPr>
          <w:p w14:paraId="43B58A5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board</w:t>
            </w:r>
          </w:p>
        </w:tc>
        <w:tc>
          <w:tcPr>
            <w:tcW w:w="0" w:type="auto"/>
          </w:tcPr>
          <w:p w14:paraId="2687FE0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Analogue voltage</w:t>
            </w:r>
          </w:p>
        </w:tc>
        <w:tc>
          <w:tcPr>
            <w:tcW w:w="0" w:type="auto"/>
          </w:tcPr>
          <w:p w14:paraId="4A27FEC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 GPIO4, signal GPIO35</w:t>
            </w:r>
          </w:p>
        </w:tc>
        <w:tc>
          <w:tcPr>
            <w:tcW w:w="0" w:type="auto"/>
          </w:tcPr>
          <w:p w14:paraId="7B66A5C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ADC1, sampled last and before Wi-Fi</w:t>
            </w:r>
          </w:p>
        </w:tc>
      </w:tr>
      <w:tr w:rsidR="00DB1607" w:rsidRPr="00B95EB3" w14:paraId="5D901FE6" w14:textId="77777777">
        <w:tc>
          <w:tcPr>
            <w:tcW w:w="0" w:type="auto"/>
          </w:tcPr>
          <w:p w14:paraId="4594A96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w:t>
            </w:r>
          </w:p>
        </w:tc>
        <w:tc>
          <w:tcPr>
            <w:tcW w:w="0" w:type="auto"/>
          </w:tcPr>
          <w:p w14:paraId="7332CC7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I2C, 100 kHz</w:t>
            </w:r>
          </w:p>
        </w:tc>
        <w:tc>
          <w:tcPr>
            <w:tcW w:w="0" w:type="auto"/>
          </w:tcPr>
          <w:p w14:paraId="7EDC114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 GPIO26, SDA 21, SCL 22</w:t>
            </w:r>
          </w:p>
        </w:tc>
        <w:tc>
          <w:tcPr>
            <w:tcW w:w="0" w:type="auto"/>
          </w:tcPr>
          <w:p w14:paraId="5B90D03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Address 0x29 on bus 0</w:t>
            </w:r>
          </w:p>
        </w:tc>
      </w:tr>
      <w:tr w:rsidR="00DB1607" w:rsidRPr="00B95EB3" w14:paraId="03E9E792" w14:textId="77777777">
        <w:tc>
          <w:tcPr>
            <w:tcW w:w="0" w:type="auto"/>
          </w:tcPr>
          <w:p w14:paraId="7D249F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GY-33</w:t>
            </w:r>
          </w:p>
        </w:tc>
        <w:tc>
          <w:tcPr>
            <w:tcW w:w="0" w:type="auto"/>
          </w:tcPr>
          <w:p w14:paraId="010A051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I2C, 100 kHz</w:t>
            </w:r>
          </w:p>
        </w:tc>
        <w:tc>
          <w:tcPr>
            <w:tcW w:w="0" w:type="auto"/>
          </w:tcPr>
          <w:p w14:paraId="787242F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Power GPIO32, SDA 18, SCL 19</w:t>
            </w:r>
          </w:p>
        </w:tc>
        <w:tc>
          <w:tcPr>
            <w:tcW w:w="0" w:type="auto"/>
          </w:tcPr>
          <w:p w14:paraId="527F97A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Address 0x5A on bus 1</w:t>
            </w:r>
          </w:p>
        </w:tc>
      </w:tr>
      <w:tr w:rsidR="00DB1607" w:rsidRPr="00B95EB3" w14:paraId="61AFB157" w14:textId="77777777">
        <w:tc>
          <w:tcPr>
            <w:tcW w:w="0" w:type="auto"/>
          </w:tcPr>
          <w:p w14:paraId="3F656FD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nodes</w:t>
            </w:r>
          </w:p>
        </w:tc>
        <w:tc>
          <w:tcPr>
            <w:tcW w:w="0" w:type="auto"/>
          </w:tcPr>
          <w:p w14:paraId="3180F7A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and HTTPS</w:t>
            </w:r>
          </w:p>
        </w:tc>
        <w:tc>
          <w:tcPr>
            <w:tcW w:w="0" w:type="auto"/>
          </w:tcPr>
          <w:p w14:paraId="3BA9AC5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c>
          <w:tcPr>
            <w:tcW w:w="0" w:type="auto"/>
          </w:tcPr>
          <w:p w14:paraId="77465EC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Bounded connection and upload time</w:t>
            </w:r>
          </w:p>
        </w:tc>
      </w:tr>
    </w:tbl>
    <w:p w14:paraId="2C3352EA"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lastRenderedPageBreak/>
        <w:t>Powered 1-Wire wiring was chosen over parasite power because it is simpler to manage across an outdoor cable and does not need a strong pull-up during conversion. The two I2C buses run at 100 kHz, which tolerates the longer wiring of an enclosure better than 400 kHz and costs nothing noticeable given the few bytes read.</w:t>
      </w:r>
    </w:p>
    <w:p w14:paraId="48009B99" w14:textId="77777777" w:rsidR="00DB1607" w:rsidRPr="00B95EB3" w:rsidRDefault="00000000">
      <w:pPr>
        <w:pStyle w:val="Heading3"/>
        <w:rPr>
          <w:rFonts w:asciiTheme="majorHAnsi" w:hAnsiTheme="majorHAnsi" w:cstheme="majorHAnsi"/>
        </w:rPr>
      </w:pPr>
      <w:bookmarkStart w:id="105" w:name="sensor-node-telemetry"/>
      <w:bookmarkStart w:id="106" w:name="_Toc241565712"/>
      <w:bookmarkEnd w:id="103"/>
      <w:r w:rsidRPr="00B95EB3">
        <w:rPr>
          <w:rFonts w:asciiTheme="majorHAnsi" w:hAnsiTheme="majorHAnsi" w:cstheme="majorHAnsi"/>
        </w:rPr>
        <w:t>3.6.2 Sensor Node Telemetry</w:t>
      </w:r>
      <w:bookmarkEnd w:id="106"/>
    </w:p>
    <w:p w14:paraId="5A5E061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sensor node writes directly to Supabase through its REST interface. After sensing, it builds one JSON array with a row for each channel (temperature, TDS, pH and light) and sends the whole array in one insert request. Each row carries a sensor type and value, and the database adds the user identifier and insertion time. This format matches the SensorData table that the dashboard function and daily aggregation already read, so the node could be connected without changing any database function. The node has uploaded to Supabase successfully in this form during development.</w:t>
      </w:r>
    </w:p>
    <w:p w14:paraId="641C5B1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failed temperature reading is left out of the batch rather than replaced with the compensation fallback, so a disconnected probe cannot appear as a pond at 25 °C. The same rule should apply to the light channel, which currently sends −1 when the sensor fails. The server’s validation gate already rejects a negative lux value as out of range (Section 5.4.2), but omitting the row is the cleaner signal.</w:t>
      </w:r>
    </w:p>
    <w:p w14:paraId="2EDFB78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present row format has one gap. The insertion time recorded by the database is not the sample time, so a delayed upload would appear to be a recent reading, and the rows from one cycle share no identifier. A small payload change closes this gap by adding a device identifier, the cycle counter the node already keeps and the sample time to each row. A value that was not refreshed in the current cycle can then be recognised by its own sample time. This change touches only the node and one table, and is scheduled before the field run (Section 4.5.5).</w:t>
      </w:r>
    </w:p>
    <w:p w14:paraId="578FBF8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node uses Supabase’s publishable key, which is restricted by row-level security, and never a service-role key. A service-role key bypasses row-level security and cannot be kept secret on a device that someone could open (Supabase, 2026). Only the two Flask services hold service-role keys, on the server side.</w:t>
      </w:r>
    </w:p>
    <w:p w14:paraId="40B2AA6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HTTP has a large connection overhead beside a short sensor payload, which supports batching. MQTT would reduce repeated overhead and handle queued delivery better, but it </w:t>
      </w:r>
      <w:r w:rsidRPr="00B95EB3">
        <w:rPr>
          <w:rFonts w:asciiTheme="majorHAnsi" w:hAnsiTheme="majorHAnsi" w:cstheme="majorHAnsi"/>
        </w:rPr>
        <w:lastRenderedPageBreak/>
        <w:t>would add a broker to run and maintain. For one node reporting every five minutes, batched HTTPS is the simpler choice.</w:t>
      </w:r>
    </w:p>
    <w:p w14:paraId="21410D63" w14:textId="77777777" w:rsidR="00DB1607" w:rsidRPr="00B95EB3" w:rsidRDefault="00000000">
      <w:pPr>
        <w:pStyle w:val="Heading3"/>
        <w:rPr>
          <w:rFonts w:asciiTheme="majorHAnsi" w:hAnsiTheme="majorHAnsi" w:cstheme="majorHAnsi"/>
        </w:rPr>
      </w:pPr>
      <w:bookmarkStart w:id="107" w:name="two-data-paths"/>
      <w:bookmarkStart w:id="108" w:name="_Toc241565713"/>
      <w:bookmarkEnd w:id="105"/>
      <w:r w:rsidRPr="00B95EB3">
        <w:rPr>
          <w:rFonts w:asciiTheme="majorHAnsi" w:hAnsiTheme="majorHAnsi" w:cstheme="majorHAnsi"/>
        </w:rPr>
        <w:t>3.6.3 Two Data Paths</w:t>
      </w:r>
      <w:bookmarkEnd w:id="108"/>
    </w:p>
    <w:p w14:paraId="57AB571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Numeric telemetry needs no processing before storage, while an image must be decoded and analysed. The sensor node therefore writes straight to the database, and the camera sends image bytes to the camera analysis service, which stores the image and its result and replies with the next wake interval. Both paths end in Supabase, but only the camera path needs a reply that controls the device. This is also why the camera path runs through a server of its own: the scheduling decision depends on the previous image’s state, which lives in the database.</w:t>
      </w:r>
    </w:p>
    <w:p w14:paraId="633A1707" w14:textId="77777777" w:rsidR="00DB1607" w:rsidRPr="00B95EB3" w:rsidRDefault="00000000">
      <w:pPr>
        <w:pStyle w:val="Heading2"/>
        <w:rPr>
          <w:rFonts w:asciiTheme="majorHAnsi" w:hAnsiTheme="majorHAnsi" w:cstheme="majorHAnsi"/>
        </w:rPr>
      </w:pPr>
      <w:bookmarkStart w:id="109" w:name="camera-analysis-service-and-scheduling"/>
      <w:bookmarkStart w:id="110" w:name="_Toc241565714"/>
      <w:bookmarkEnd w:id="101"/>
      <w:bookmarkEnd w:id="107"/>
      <w:r w:rsidRPr="00B95EB3">
        <w:rPr>
          <w:rFonts w:asciiTheme="majorHAnsi" w:hAnsiTheme="majorHAnsi" w:cstheme="majorHAnsi"/>
        </w:rPr>
        <w:t>3.7 Camera Analysis Service and Scheduling</w:t>
      </w:r>
      <w:bookmarkEnd w:id="110"/>
    </w:p>
    <w:p w14:paraId="46924E6B" w14:textId="77777777" w:rsidR="00DB1607" w:rsidRPr="00B95EB3" w:rsidRDefault="00000000">
      <w:pPr>
        <w:pStyle w:val="Heading3"/>
        <w:rPr>
          <w:rFonts w:asciiTheme="majorHAnsi" w:hAnsiTheme="majorHAnsi" w:cstheme="majorHAnsi"/>
        </w:rPr>
      </w:pPr>
      <w:bookmarkStart w:id="111" w:name="hosting-on-pythonanywhere"/>
      <w:bookmarkStart w:id="112" w:name="_Toc241565715"/>
      <w:r w:rsidRPr="00B95EB3">
        <w:rPr>
          <w:rFonts w:asciiTheme="majorHAnsi" w:hAnsiTheme="majorHAnsi" w:cstheme="majorHAnsi"/>
        </w:rPr>
        <w:t>3.7.1 Hosting on PythonAnywhere</w:t>
      </w:r>
      <w:bookmarkEnd w:id="112"/>
    </w:p>
    <w:p w14:paraId="75D747C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camera analysis service runs on PythonAnywhere, a hosted Python platform. The camera needs an endpoint it can reach from any Wi-Fi network over HTTPS, without depending on a laptop being switched on. Hosting also gives a fixed address, so the address can be written into the camera firmware once. The service fits a request-driven host well because each upload is handled independently: the only state it needs from earlier frames is read from Supabase at the start of each request.</w:t>
      </w:r>
    </w:p>
    <w:p w14:paraId="5EE935C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Hosting on the public internet required three changes. The camera sends a device token in an HTTP header, and the service rejects uploads without a matching token. The service rejects payloads above 1 MB so a malformed upload cannot exhaust its memory. And because PythonAnywhere servers run in UTC, the schedule computes all times in Singapore time explicitly. Without this, the 08:00 slot would have fired at 16:00 local time.</w:t>
      </w:r>
    </w:p>
    <w:p w14:paraId="33C195DF" w14:textId="77777777" w:rsidR="00DB1607" w:rsidRPr="00B95EB3" w:rsidRDefault="00000000">
      <w:pPr>
        <w:pStyle w:val="Heading3"/>
        <w:rPr>
          <w:rFonts w:asciiTheme="majorHAnsi" w:hAnsiTheme="majorHAnsi" w:cstheme="majorHAnsi"/>
        </w:rPr>
      </w:pPr>
      <w:bookmarkStart w:id="113" w:name="image-analysis"/>
      <w:bookmarkStart w:id="114" w:name="_Toc241565716"/>
      <w:bookmarkEnd w:id="111"/>
      <w:r w:rsidRPr="00B95EB3">
        <w:rPr>
          <w:rFonts w:asciiTheme="majorHAnsi" w:hAnsiTheme="majorHAnsi" w:cstheme="majorHAnsi"/>
        </w:rPr>
        <w:t>3.7.2 Image Analysis</w:t>
      </w:r>
      <w:bookmarkEnd w:id="114"/>
    </w:p>
    <w:p w14:paraId="249F5FC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For each frame, the service decodes the JPEG with OpenCV, converts it to the HSV colour space and counts the pixels whose hue, saturation and value fall inside a fixed green range (hue 18 to 42 on OpenCV’s 0 to 180 scale, saturation and value at least 40). The green ratio is the count divided by the number of pixels analysed. HSV was chosen over raw RGB </w:t>
      </w:r>
      <w:r w:rsidRPr="00B95EB3">
        <w:rPr>
          <w:rFonts w:asciiTheme="majorHAnsi" w:hAnsiTheme="majorHAnsi" w:cstheme="majorHAnsi"/>
        </w:rPr>
        <w:lastRenderedPageBreak/>
        <w:t>because it separates colour from brightness, which makes the green classification less sensitive to changes in daylight (Section 2.6.8).</w:t>
      </w:r>
    </w:p>
    <w:p w14:paraId="112A585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analysis currently uses the full frame. A region-of-interest option exists in the code but is not yet configured, so plants, pond edges or decking in view dilute or add to the ratio. The literature reviewed in Section 2.6.8 found that water-body segmentation was necessary before thresholding, and a fixed water mask per installation is the planned fix. Until then, the absolute ratio is comparable only for a fixed camera position, and the algae model relies on changes in the ratio and on owner ratings rather than on its absolute level (Section 3.9.2).</w:t>
      </w:r>
    </w:p>
    <w:p w14:paraId="208BF5E5" w14:textId="77777777" w:rsidR="00DB1607" w:rsidRPr="00B95EB3" w:rsidRDefault="00000000">
      <w:pPr>
        <w:pStyle w:val="Heading3"/>
        <w:rPr>
          <w:rFonts w:asciiTheme="majorHAnsi" w:hAnsiTheme="majorHAnsi" w:cstheme="majorHAnsi"/>
        </w:rPr>
      </w:pPr>
      <w:bookmarkStart w:id="115" w:name="camera-states"/>
      <w:bookmarkStart w:id="116" w:name="_Toc241565717"/>
      <w:bookmarkEnd w:id="113"/>
      <w:r w:rsidRPr="00B95EB3">
        <w:rPr>
          <w:rFonts w:asciiTheme="majorHAnsi" w:hAnsiTheme="majorHAnsi" w:cstheme="majorHAnsi"/>
        </w:rPr>
        <w:t>3.7.3 Camera States</w:t>
      </w:r>
      <w:bookmarkEnd w:id="116"/>
    </w:p>
    <w:p w14:paraId="3465286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service keeps an exponentially smoothed green baseline (smoothing factor 0.2) and compares each new frame with it. Table 3.8 lists the resulting states and their wake intervals as implemented.</w:t>
      </w:r>
    </w:p>
    <w:p w14:paraId="27CD06CA"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3.8. Camera states and wake intervals as implemented.</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488"/>
        <w:gridCol w:w="2944"/>
        <w:gridCol w:w="4754"/>
      </w:tblGrid>
      <w:tr w:rsidR="00DB1607" w:rsidRPr="00B95EB3" w14:paraId="0D9F0CFB"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7F8A2C6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State</w:t>
            </w:r>
          </w:p>
        </w:tc>
        <w:tc>
          <w:tcPr>
            <w:tcW w:w="0" w:type="auto"/>
            <w:shd w:val="clear" w:color="auto" w:fill="EDEFF2"/>
          </w:tcPr>
          <w:p w14:paraId="72D64E0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Wake interval</w:t>
            </w:r>
          </w:p>
        </w:tc>
        <w:tc>
          <w:tcPr>
            <w:tcW w:w="0" w:type="auto"/>
            <w:shd w:val="clear" w:color="auto" w:fill="EDEFF2"/>
          </w:tcPr>
          <w:p w14:paraId="227C178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Entry and exit</w:t>
            </w:r>
          </w:p>
        </w:tc>
      </w:tr>
      <w:tr w:rsidR="00DB1607" w:rsidRPr="00B95EB3" w14:paraId="556C1521" w14:textId="77777777">
        <w:tc>
          <w:tcPr>
            <w:tcW w:w="0" w:type="auto"/>
          </w:tcPr>
          <w:p w14:paraId="29C1AD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Base</w:t>
            </w:r>
          </w:p>
        </w:tc>
        <w:tc>
          <w:tcPr>
            <w:tcW w:w="0" w:type="auto"/>
          </w:tcPr>
          <w:p w14:paraId="06293FA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Next of 08:00, 10:00, 12:00, 14:00, 16:00 or 18:00 Singapore time</w:t>
            </w:r>
          </w:p>
        </w:tc>
        <w:tc>
          <w:tcPr>
            <w:tcW w:w="0" w:type="auto"/>
          </w:tcPr>
          <w:p w14:paraId="777B6F5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Default state. Also used for every state outside daylight hours</w:t>
            </w:r>
          </w:p>
        </w:tc>
      </w:tr>
      <w:tr w:rsidR="00DB1607" w:rsidRPr="00B95EB3" w14:paraId="2D943CA1" w14:textId="77777777">
        <w:tc>
          <w:tcPr>
            <w:tcW w:w="0" w:type="auto"/>
          </w:tcPr>
          <w:p w14:paraId="2E7384C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Dynamic</w:t>
            </w:r>
          </w:p>
        </w:tc>
        <w:tc>
          <w:tcPr>
            <w:tcW w:w="0" w:type="auto"/>
          </w:tcPr>
          <w:p w14:paraId="20BAA94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30 minutes</w:t>
            </w:r>
          </w:p>
        </w:tc>
        <w:tc>
          <w:tcPr>
            <w:tcW w:w="0" w:type="auto"/>
          </w:tcPr>
          <w:p w14:paraId="33FDE05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Entered when the frame exceeds the baseline by more than 0.05. Returns to base on the first frame below that step</w:t>
            </w:r>
          </w:p>
        </w:tc>
      </w:tr>
      <w:tr w:rsidR="00DB1607" w:rsidRPr="00B95EB3" w14:paraId="7995AE43" w14:textId="77777777">
        <w:tc>
          <w:tcPr>
            <w:tcW w:w="0" w:type="auto"/>
          </w:tcPr>
          <w:p w14:paraId="2AE6A9D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Obstruction</w:t>
            </w:r>
          </w:p>
        </w:tc>
        <w:tc>
          <w:tcPr>
            <w:tcW w:w="0" w:type="auto"/>
          </w:tcPr>
          <w:p w14:paraId="6E0F075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 hours</w:t>
            </w:r>
          </w:p>
        </w:tc>
        <w:tc>
          <w:tcPr>
            <w:tcW w:w="0" w:type="auto"/>
          </w:tcPr>
          <w:p w14:paraId="51991A6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Entered on a jump above 0.40, which is too large to be algal growth. Held until a frame returns within 0.15 of the baseline</w:t>
            </w:r>
          </w:p>
        </w:tc>
      </w:tr>
      <w:tr w:rsidR="00DB1607" w:rsidRPr="00B95EB3" w14:paraId="4F7166C2" w14:textId="77777777">
        <w:tc>
          <w:tcPr>
            <w:tcW w:w="0" w:type="auto"/>
          </w:tcPr>
          <w:p w14:paraId="7E4B34E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Server or network error</w:t>
            </w:r>
          </w:p>
        </w:tc>
        <w:tc>
          <w:tcPr>
            <w:tcW w:w="0" w:type="auto"/>
          </w:tcPr>
          <w:p w14:paraId="263A5A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 hours from the server, 30 minutes on the device if no reply arrives</w:t>
            </w:r>
          </w:p>
        </w:tc>
        <w:tc>
          <w:tcPr>
            <w:tcW w:w="0" w:type="auto"/>
          </w:tcPr>
          <w:p w14:paraId="27A3BC0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Prevents a tight retry loop and limits battery drain</w:t>
            </w:r>
          </w:p>
        </w:tc>
      </w:tr>
    </w:tbl>
    <w:p w14:paraId="4C7FF0E0"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Three further design choices sit behind this table. First, the baseline is frozen while the camera is in the obstruction state, so a leaf or glare on the lens is not absorbed into the pond’s normal level. Second, outside daylight hours every state falls back to the base schedule, so a dynamic or obstructed state cannot wake the camera all night for dark frames. Third, a wake up to 10 minutes before a slot counts as that slot, because the ESP32’s sleep timer drifts and might otherwise wake just early and schedule a second capture a few seconds later.</w:t>
      </w:r>
    </w:p>
    <w:p w14:paraId="6348976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Two parts of the earlier design are not yet implemented. The dynamic state uses a fixed 30-minute interval instead of the planned 2-hour, 1-hour and 30-minute steps. The state machine also changes state on a single frame in both directions, so one noisy frame can start 30-minute captures. Requiring two raised frames to enter the dynamic state and several stable frames to leave it would reduce this, at the cost of reacting one interval later to a genuine change. The owner alert for an obstruction is also not yet sent. These are recorded as limitations in Section 7.3.</w:t>
      </w:r>
    </w:p>
    <w:p w14:paraId="72E4C53F" w14:textId="77777777" w:rsidR="00DB1607" w:rsidRPr="00B95EB3" w:rsidRDefault="00000000">
      <w:pPr>
        <w:pStyle w:val="Heading3"/>
        <w:rPr>
          <w:rFonts w:asciiTheme="majorHAnsi" w:hAnsiTheme="majorHAnsi" w:cstheme="majorHAnsi"/>
        </w:rPr>
      </w:pPr>
      <w:bookmarkStart w:id="117" w:name="device-side-safeguards"/>
      <w:bookmarkStart w:id="118" w:name="_Toc241565718"/>
      <w:bookmarkEnd w:id="115"/>
      <w:r w:rsidRPr="00B95EB3">
        <w:rPr>
          <w:rFonts w:asciiTheme="majorHAnsi" w:hAnsiTheme="majorHAnsi" w:cstheme="majorHAnsi"/>
        </w:rPr>
        <w:t>3.7.4 Device-Side Safeguards</w:t>
      </w:r>
      <w:bookmarkEnd w:id="118"/>
    </w:p>
    <w:p w14:paraId="4D6FEDA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Server-side scheduling lets thresholds change without reflashing the camera, but it makes the camera depend on a valid reply. The firmware therefore reads the wake interval from any reply that contains one, including the server’s error replies, and clamps it between 30 s and 24 hours. If no reply arrives, it sleeps for 30 minutes. If Wi-Fi fails, it retries after 5 minutes, then 15 minutes, then 30 minutes, so a one-off dropout recovers quickly while a longer outage does not drain the battery. Each Wi-Fi connection is limited to two attempts of 12 s, and each upload to 20 s.</w:t>
      </w:r>
    </w:p>
    <w:p w14:paraId="59FC417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30 s lower clamp is below the 15-minute minimum in the earlier design. It was kept low so that a test mode on the server (which returns intervals of 60 s to 100 s) can exercise the state machine quickly. The server itself never returns less than 60 s outside test mode. Raising the firmware’s lower clamp to 15 minutes for deployment would remove the risk of a server error causing rapid wakes, at the cost of reflashing to run tests.</w:t>
      </w:r>
    </w:p>
    <w:p w14:paraId="3D68FF86" w14:textId="77777777" w:rsidR="00DB1607" w:rsidRPr="00B95EB3" w:rsidRDefault="00000000">
      <w:pPr>
        <w:pStyle w:val="Heading2"/>
        <w:rPr>
          <w:rFonts w:asciiTheme="majorHAnsi" w:hAnsiTheme="majorHAnsi" w:cstheme="majorHAnsi"/>
        </w:rPr>
      </w:pPr>
      <w:bookmarkStart w:id="119" w:name="supabase-data-store"/>
      <w:bookmarkStart w:id="120" w:name="_Toc241565719"/>
      <w:bookmarkEnd w:id="109"/>
      <w:bookmarkEnd w:id="117"/>
      <w:r w:rsidRPr="00B95EB3">
        <w:rPr>
          <w:rFonts w:asciiTheme="majorHAnsi" w:hAnsiTheme="majorHAnsi" w:cstheme="majorHAnsi"/>
        </w:rPr>
        <w:t>3.8 Supabase Data Store</w:t>
      </w:r>
      <w:bookmarkEnd w:id="120"/>
    </w:p>
    <w:p w14:paraId="001F8A7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Supabase provides a PostgreSQL database, file storage and a REST interface. Table 3.9 lists the tables the system uses and which component writes each one.</w:t>
      </w:r>
    </w:p>
    <w:p w14:paraId="5510392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3.9. Supabase tables and their writers.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4517"/>
        <w:gridCol w:w="2868"/>
        <w:gridCol w:w="1801"/>
      </w:tblGrid>
      <w:tr w:rsidR="00DB1607" w:rsidRPr="00B95EB3" w14:paraId="761C3302"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A6D1D9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Table or object</w:t>
            </w:r>
          </w:p>
        </w:tc>
        <w:tc>
          <w:tcPr>
            <w:tcW w:w="0" w:type="auto"/>
            <w:shd w:val="clear" w:color="auto" w:fill="EDEFF2"/>
          </w:tcPr>
          <w:p w14:paraId="7714968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Contents</w:t>
            </w:r>
          </w:p>
        </w:tc>
        <w:tc>
          <w:tcPr>
            <w:tcW w:w="0" w:type="auto"/>
            <w:shd w:val="clear" w:color="auto" w:fill="EDEFF2"/>
          </w:tcPr>
          <w:p w14:paraId="6BDF71C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Written by</w:t>
            </w:r>
          </w:p>
        </w:tc>
      </w:tr>
      <w:tr w:rsidR="00DB1607" w:rsidRPr="00B95EB3" w14:paraId="1A74F50D" w14:textId="77777777">
        <w:tc>
          <w:tcPr>
            <w:tcW w:w="0" w:type="auto"/>
          </w:tcPr>
          <w:p w14:paraId="32DDC69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SensorData</w:t>
            </w:r>
          </w:p>
        </w:tc>
        <w:tc>
          <w:tcPr>
            <w:tcW w:w="0" w:type="auto"/>
          </w:tcPr>
          <w:p w14:paraId="01187A3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One row per channel reading</w:t>
            </w:r>
          </w:p>
        </w:tc>
        <w:tc>
          <w:tcPr>
            <w:tcW w:w="0" w:type="auto"/>
          </w:tcPr>
          <w:p w14:paraId="2315E81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Sensor node</w:t>
            </w:r>
          </w:p>
        </w:tc>
      </w:tr>
      <w:tr w:rsidR="00DB1607" w:rsidRPr="00B95EB3" w14:paraId="13F99CE6" w14:textId="77777777">
        <w:tc>
          <w:tcPr>
            <w:tcW w:w="0" w:type="auto"/>
          </w:tcPr>
          <w:p w14:paraId="13E9B20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imageTable</w:t>
            </w:r>
          </w:p>
        </w:tc>
        <w:tc>
          <w:tcPr>
            <w:tcW w:w="0" w:type="auto"/>
          </w:tcPr>
          <w:p w14:paraId="075F7E8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Green ratio, state pair and image address</w:t>
            </w:r>
          </w:p>
        </w:tc>
        <w:tc>
          <w:tcPr>
            <w:tcW w:w="0" w:type="auto"/>
          </w:tcPr>
          <w:p w14:paraId="7585401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Camera service</w:t>
            </w:r>
          </w:p>
        </w:tc>
      </w:tr>
      <w:tr w:rsidR="00DB1607" w:rsidRPr="00B95EB3" w14:paraId="3E7F3548" w14:textId="77777777">
        <w:tc>
          <w:tcPr>
            <w:tcW w:w="0" w:type="auto"/>
          </w:tcPr>
          <w:p w14:paraId="6A04E54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Image storage bucket</w:t>
            </w:r>
          </w:p>
        </w:tc>
        <w:tc>
          <w:tcPr>
            <w:tcW w:w="0" w:type="auto"/>
          </w:tcPr>
          <w:p w14:paraId="58DC47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JPEG frames stored by user and time</w:t>
            </w:r>
          </w:p>
        </w:tc>
        <w:tc>
          <w:tcPr>
            <w:tcW w:w="0" w:type="auto"/>
          </w:tcPr>
          <w:p w14:paraId="159CE16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Camera service</w:t>
            </w:r>
          </w:p>
        </w:tc>
      </w:tr>
      <w:tr w:rsidR="00DB1607" w:rsidRPr="00B95EB3" w14:paraId="0C53A088" w14:textId="77777777">
        <w:tc>
          <w:tcPr>
            <w:tcW w:w="0" w:type="auto"/>
          </w:tcPr>
          <w:p w14:paraId="312BEC5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weather_telemetry, weather_forecasts</w:t>
            </w:r>
          </w:p>
        </w:tc>
        <w:tc>
          <w:tcPr>
            <w:tcW w:w="0" w:type="auto"/>
          </w:tcPr>
          <w:p w14:paraId="7D168FA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NEA observations and forecasts</w:t>
            </w:r>
          </w:p>
        </w:tc>
        <w:tc>
          <w:tcPr>
            <w:tcW w:w="0" w:type="auto"/>
          </w:tcPr>
          <w:p w14:paraId="659125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Data ingestion</w:t>
            </w:r>
          </w:p>
        </w:tc>
      </w:tr>
      <w:tr w:rsidR="00DB1607" w:rsidRPr="00B95EB3" w14:paraId="07589108" w14:textId="77777777">
        <w:tc>
          <w:tcPr>
            <w:tcW w:w="0" w:type="auto"/>
          </w:tcPr>
          <w:p w14:paraId="7F422DE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UserData</w:t>
            </w:r>
          </w:p>
        </w:tc>
        <w:tc>
          <w:tcPr>
            <w:tcW w:w="0" w:type="auto"/>
          </w:tcPr>
          <w:p w14:paraId="28E83FC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Pond volume, biomass, location and assigned weather stations</w:t>
            </w:r>
          </w:p>
        </w:tc>
        <w:tc>
          <w:tcPr>
            <w:tcW w:w="0" w:type="auto"/>
          </w:tcPr>
          <w:p w14:paraId="70E4748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Mobile application at onboarding</w:t>
            </w:r>
          </w:p>
        </w:tc>
      </w:tr>
      <w:tr w:rsidR="00DB1607" w:rsidRPr="00B95EB3" w14:paraId="5F6A72BE" w14:textId="77777777">
        <w:tc>
          <w:tcPr>
            <w:tcW w:w="0" w:type="auto"/>
          </w:tcPr>
          <w:p w14:paraId="6BC095C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pondInterventions</w:t>
            </w:r>
          </w:p>
        </w:tc>
        <w:tc>
          <w:tcPr>
            <w:tcW w:w="0" w:type="auto"/>
          </w:tcPr>
          <w:p w14:paraId="563EE42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Feeding, water change, top-up and scrub events</w:t>
            </w:r>
          </w:p>
        </w:tc>
        <w:tc>
          <w:tcPr>
            <w:tcW w:w="0" w:type="auto"/>
          </w:tcPr>
          <w:p w14:paraId="45C2DB7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Mobile application</w:t>
            </w:r>
          </w:p>
        </w:tc>
      </w:tr>
      <w:tr w:rsidR="00DB1607" w:rsidRPr="00B95EB3" w14:paraId="73F9A5CB" w14:textId="77777777">
        <w:tc>
          <w:tcPr>
            <w:tcW w:w="0" w:type="auto"/>
          </w:tcPr>
          <w:p w14:paraId="11C0CF4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daily_sensor_averages</w:t>
            </w:r>
          </w:p>
        </w:tc>
        <w:tc>
          <w:tcPr>
            <w:tcW w:w="0" w:type="auto"/>
          </w:tcPr>
          <w:p w14:paraId="2CDD5C2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Daily aggregates of each channel</w:t>
            </w:r>
          </w:p>
        </w:tc>
        <w:tc>
          <w:tcPr>
            <w:tcW w:w="0" w:type="auto"/>
          </w:tcPr>
          <w:p w14:paraId="4324C07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Database function</w:t>
            </w:r>
          </w:p>
        </w:tc>
      </w:tr>
      <w:tr w:rsidR="00DB1607" w:rsidRPr="00B95EB3" w14:paraId="2BDE7383" w14:textId="77777777">
        <w:tc>
          <w:tcPr>
            <w:tcW w:w="0" w:type="auto"/>
          </w:tcPr>
          <w:p w14:paraId="4B5A5EE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pond_chemistry_state</w:t>
            </w:r>
          </w:p>
        </w:tc>
        <w:tc>
          <w:tcPr>
            <w:tcW w:w="0" w:type="auto"/>
          </w:tcPr>
          <w:p w14:paraId="64F764A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Serialised digital twin snapshot per pond</w:t>
            </w:r>
          </w:p>
        </w:tc>
        <w:tc>
          <w:tcPr>
            <w:tcW w:w="0" w:type="auto"/>
          </w:tcPr>
          <w:p w14:paraId="01DD8FB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Digital twin</w:t>
            </w:r>
          </w:p>
        </w:tc>
      </w:tr>
      <w:tr w:rsidR="00DB1607" w:rsidRPr="00B95EB3" w14:paraId="28A616EE" w14:textId="77777777">
        <w:tc>
          <w:tcPr>
            <w:tcW w:w="0" w:type="auto"/>
          </w:tcPr>
          <w:p w14:paraId="100225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pond_chemistry_evaluations, pond_evaporation_evaluations, pond_algae_evaluations</w:t>
            </w:r>
          </w:p>
        </w:tc>
        <w:tc>
          <w:tcPr>
            <w:tcW w:w="0" w:type="auto"/>
          </w:tcPr>
          <w:p w14:paraId="3D742FE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Model outputs per domain and time</w:t>
            </w:r>
          </w:p>
        </w:tc>
        <w:tc>
          <w:tcPr>
            <w:tcW w:w="0" w:type="auto"/>
          </w:tcPr>
          <w:p w14:paraId="2D5ECB3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Digital twin</w:t>
            </w:r>
          </w:p>
        </w:tc>
      </w:tr>
      <w:tr w:rsidR="00DB1607" w:rsidRPr="00B95EB3" w14:paraId="152DA626" w14:textId="77777777">
        <w:tc>
          <w:tcPr>
            <w:tcW w:w="0" w:type="auto"/>
          </w:tcPr>
          <w:p w14:paraId="06CA732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algae_severity_ratings</w:t>
            </w:r>
          </w:p>
        </w:tc>
        <w:tc>
          <w:tcPr>
            <w:tcW w:w="0" w:type="auto"/>
          </w:tcPr>
          <w:p w14:paraId="1FB0EFC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Owner ratings of camera frames</w:t>
            </w:r>
          </w:p>
        </w:tc>
        <w:tc>
          <w:tcPr>
            <w:tcW w:w="0" w:type="auto"/>
          </w:tcPr>
          <w:p w14:paraId="61EB266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Digital twin</w:t>
            </w:r>
          </w:p>
        </w:tc>
      </w:tr>
    </w:tbl>
    <w:p w14:paraId="134BBA07"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When the owner enters the pond location at onboarding, a database trigger selects the nearest NEA stations for air temperature, rainfall and wind and assigns a regional forecast area. A database function then gathers the latest sensor values, weather readings and forecasts into one response for the application and the digital twin’s poller. Serving one bundled response keeps the number of requests low, but it makes that function a contract between the database, the poller and the application: a renamed key or a change in how a sensor type is spelled affects all three. Chapter 5 describes the contract test written to catch this.</w:t>
      </w:r>
    </w:p>
    <w:p w14:paraId="5B2C573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Owner events are stored as new rows and never overwrite readings, and model outputs are written as new evaluation rows. This keeps a history of what the system reported and when.</w:t>
      </w:r>
    </w:p>
    <w:p w14:paraId="4F19B290" w14:textId="77777777" w:rsidR="00DB1607" w:rsidRPr="00B95EB3" w:rsidRDefault="00000000">
      <w:pPr>
        <w:pStyle w:val="Heading2"/>
        <w:rPr>
          <w:rFonts w:asciiTheme="majorHAnsi" w:hAnsiTheme="majorHAnsi" w:cstheme="majorHAnsi"/>
        </w:rPr>
      </w:pPr>
      <w:bookmarkStart w:id="121" w:name="digital-twin-service"/>
      <w:bookmarkStart w:id="122" w:name="_Toc241565720"/>
      <w:bookmarkEnd w:id="119"/>
      <w:r w:rsidRPr="00B95EB3">
        <w:rPr>
          <w:rFonts w:asciiTheme="majorHAnsi" w:hAnsiTheme="majorHAnsi" w:cstheme="majorHAnsi"/>
        </w:rPr>
        <w:t>3.9 Digital Twin Service</w:t>
      </w:r>
      <w:bookmarkEnd w:id="122"/>
    </w:p>
    <w:p w14:paraId="27E42E42" w14:textId="77777777" w:rsidR="00DB1607" w:rsidRPr="00B95EB3" w:rsidRDefault="00000000">
      <w:pPr>
        <w:pStyle w:val="Heading3"/>
        <w:rPr>
          <w:rFonts w:asciiTheme="majorHAnsi" w:hAnsiTheme="majorHAnsi" w:cstheme="majorHAnsi"/>
        </w:rPr>
      </w:pPr>
      <w:bookmarkStart w:id="123" w:name="structure"/>
      <w:bookmarkStart w:id="124" w:name="_Toc241565721"/>
      <w:r w:rsidRPr="00B95EB3">
        <w:rPr>
          <w:rFonts w:asciiTheme="majorHAnsi" w:hAnsiTheme="majorHAnsi" w:cstheme="majorHAnsi"/>
        </w:rPr>
        <w:t>3.9.1 Structure</w:t>
      </w:r>
      <w:bookmarkEnd w:id="124"/>
    </w:p>
    <w:p w14:paraId="77CF5BB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digital twin service holds one model object per pond, called a pond twin, which contains the three domain engines. A single logged event often affects several engines at once. A water change dilutes the chemistry pools, resets the evaporation engine’s accumulated loss and dilutes suspended algae. If each engine were stored and locked separately, a failure part-way through could leave the pond “diluted but still 12 % evaporated”, a state that never existed. Holding the three engines in one object, under one lock, saved as one snapshot, makes that kind of partial update impossible.</w:t>
      </w:r>
    </w:p>
    <w:p w14:paraId="68FD543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A registry keeps each pond’s twin in memory and gives each pond its own lock, so an event request and a poll for the same pond cannot interleave. This lock works within one process only. Running several worker processes would give each its own copy of the registry, so the service is deliberately run as a single process (Section 3.9.5).</w:t>
      </w:r>
    </w:p>
    <w:p w14:paraId="5995982D" w14:textId="77777777" w:rsidR="00DB1607" w:rsidRPr="00B95EB3" w:rsidRDefault="00000000">
      <w:pPr>
        <w:pStyle w:val="Heading3"/>
        <w:rPr>
          <w:rFonts w:asciiTheme="majorHAnsi" w:hAnsiTheme="majorHAnsi" w:cstheme="majorHAnsi"/>
        </w:rPr>
      </w:pPr>
      <w:bookmarkStart w:id="125" w:name="domain-engines"/>
      <w:bookmarkStart w:id="126" w:name="_Toc241565722"/>
      <w:bookmarkEnd w:id="123"/>
      <w:r w:rsidRPr="00B95EB3">
        <w:rPr>
          <w:rFonts w:asciiTheme="majorHAnsi" w:hAnsiTheme="majorHAnsi" w:cstheme="majorHAnsi"/>
        </w:rPr>
        <w:t>3.9.2 Domain Engines</w:t>
      </w:r>
      <w:bookmarkEnd w:id="126"/>
    </w:p>
    <w:p w14:paraId="5AFBE564"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b/>
          <w:bCs/>
        </w:rPr>
        <w:t>Chemistry.</w:t>
      </w:r>
      <w:r w:rsidRPr="00B95EB3">
        <w:rPr>
          <w:rFonts w:asciiTheme="majorHAnsi" w:hAnsiTheme="majorHAnsi" w:cstheme="majorHAnsi"/>
        </w:rPr>
        <w:t xml:space="preserve"> The chemistry engine tracks total ammonia nitrogen (TAN), nitrite and nitrate as masses in the pond volume. Each logged feed adds TAN in proportion to the feed mass, its protein fraction, a nitrogen content of 16 % of protein and an excreted fraction of 70 %. Between samples, first-order rates convert TAN to nitrite and nitrite to nitrate, both scaled by a temperature factor that peaks at 28 °C and falls away on either side. Light-dependent algal uptake removes nitrate. A water change removes the stated fraction of each pool and blends nitrate toward the tap-water level. The engine also computes a daily pH “reactivity”, the day’s pH swing divided by its mean light, as an indicator of buffering. Its trend over at least three days, together with the TAN and nitrate estimates, the TDS trend and incoming rain, forms a risk score that maps to green, amber and red. A nitrite estimate above 0.5 mg/L forces a red status regardless of score. Section 2.6.6 explains why these rate constants should be treated as placeholders until they are calibrated against the pond.</w:t>
      </w:r>
    </w:p>
    <w:p w14:paraId="0C9C0E8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Evaporation.</w:t>
      </w:r>
      <w:r w:rsidRPr="00B95EB3">
        <w:rPr>
          <w:rFonts w:asciiTheme="majorHAnsi" w:hAnsiTheme="majorHAnsi" w:cstheme="majorHAnsi"/>
        </w:rPr>
        <w:t xml:space="preserve"> The evaporation engine estimates daily water loss with the Penman mass-transfer term for open water, using NEA forecasts of air temperature, humidity and wind (Penman, 1948). Water surface temperature is predicted from air temperature plus an offset fitted to the pond’s own temperature history, or −1 °C when no history exists. The loss accumulates from the last logged top-up and is compared with a 5 % watch level and a 10 % action level to give a predicted top-up date. The pond’s surface area is not stored, so it is derived from the volume and an assumed depth of 1.2 m, which is the largest source of error in the litre estimate. The same engine gives a feed cap in grams per day from a koi feeding table that reduces the ration above 30 °C.</w:t>
      </w:r>
    </w:p>
    <w:p w14:paraId="59E5819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Algae.</w:t>
      </w:r>
      <w:r w:rsidRPr="00B95EB3">
        <w:rPr>
          <w:rFonts w:asciiTheme="majorHAnsi" w:hAnsiTheme="majorHAnsi" w:cstheme="majorHAnsi"/>
        </w:rPr>
        <w:t xml:space="preserve"> The algae engine is the only one with a direct measurement of its modelled quantity. It fits the pond’s growth rate from the camera’s green-ratio history, divides out the light, temperature and nitrate conditions that prevailed during the fitted period, and projects forward with logistic growth under forecast conditions. Between frames the model fills the </w:t>
      </w:r>
      <w:r w:rsidRPr="00B95EB3">
        <w:rPr>
          <w:rFonts w:asciiTheme="majorHAnsi" w:hAnsiTheme="majorHAnsi" w:cstheme="majorHAnsi"/>
        </w:rPr>
        <w:lastRenderedPageBreak/>
        <w:t>gaps, and each new frame pulls the model toward the measurement. An owner’s severity rating of a frame pulls harder than a camera frame and, once enough ratings exist, calibrates the watch and action thresholds for that installation. Frames the owner rates as clear are also used to detect a drifting camera: if they read greener over time, the lens is likely fouling.</w:t>
      </w:r>
    </w:p>
    <w:p w14:paraId="54AA75EB" w14:textId="77777777" w:rsidR="00DB1607" w:rsidRPr="00B95EB3" w:rsidRDefault="00000000">
      <w:pPr>
        <w:pStyle w:val="Heading3"/>
        <w:rPr>
          <w:rFonts w:asciiTheme="majorHAnsi" w:hAnsiTheme="majorHAnsi" w:cstheme="majorHAnsi"/>
        </w:rPr>
      </w:pPr>
      <w:bookmarkStart w:id="127" w:name="inputs-and-update-triggers"/>
      <w:bookmarkStart w:id="128" w:name="_Toc241565723"/>
      <w:bookmarkEnd w:id="125"/>
      <w:r w:rsidRPr="00B95EB3">
        <w:rPr>
          <w:rFonts w:asciiTheme="majorHAnsi" w:hAnsiTheme="majorHAnsi" w:cstheme="majorHAnsi"/>
        </w:rPr>
        <w:t>3.9.3 Inputs and Update Triggers</w:t>
      </w:r>
      <w:bookmarkEnd w:id="128"/>
    </w:p>
    <w:p w14:paraId="2A7AAB5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Two things change engine state, and both pass through the same locked, persisted path. The poller runs every 15 minutes inside the service process. For each active pond it reads the bundled dashboard response, advances all three engines to the present, assimilates any new camera frames and writes one evaluation row per domain. The event endpoints apply a logged event to every affected engine, re-assess and return the new chemistry status so the application reflects the change without waiting for the next poll.</w:t>
      </w:r>
    </w:p>
    <w:p w14:paraId="3F0AE7F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Before any reading reaches a model, a validation gate checks it. A value outside a plausible range is rejected and replaced by the last trusted value. A value repeated unchanged for four samples is flagged as a possibly stalled sensor. A value that moves faster than a channel’s plausible rate, with no water change or top-up logged within six hours, is treated as drift. A TDS reading below 5 ppm is taken to mean the probe is out of the water. Each rejected or flagged value carries a reason that is passed to the application as a sensor warning, so the owner sees why a reading was not used.</w:t>
      </w:r>
    </w:p>
    <w:p w14:paraId="2071C8A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poller reads the latest reading for each channel at each poll and stamps it with the poll time. At the production interval, this means one reading in three reaches the models, and the recorded time can differ from the sample time by up to 15 minutes. For the slowly changing quantities the engines model this loss of resolution has little effect, and it kept the poller simple. It becomes a problem if the node stops reporting, because the same last reading is presented again at each poll until the stale check flags it after four polls, about one hour. Reading all rows since the previous poll, using their own sample times, would remove both effects and is listed in Section 7.4.</w:t>
      </w:r>
    </w:p>
    <w:p w14:paraId="482B3A95" w14:textId="77777777" w:rsidR="00DB1607" w:rsidRPr="00B95EB3" w:rsidRDefault="00000000">
      <w:pPr>
        <w:pStyle w:val="Heading3"/>
        <w:rPr>
          <w:rFonts w:asciiTheme="majorHAnsi" w:hAnsiTheme="majorHAnsi" w:cstheme="majorHAnsi"/>
        </w:rPr>
      </w:pPr>
      <w:bookmarkStart w:id="129" w:name="tds-context-processing"/>
      <w:bookmarkStart w:id="130" w:name="_Toc241565724"/>
      <w:bookmarkEnd w:id="127"/>
      <w:r w:rsidRPr="00B95EB3">
        <w:rPr>
          <w:rFonts w:asciiTheme="majorHAnsi" w:hAnsiTheme="majorHAnsi" w:cstheme="majorHAnsi"/>
        </w:rPr>
        <w:t>3.9.4 TDS Context Processing</w:t>
      </w:r>
      <w:bookmarkEnd w:id="130"/>
    </w:p>
    <w:p w14:paraId="3D733B6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The implemented use of TDS is limited to the two roles in Section 3.2.4.1: a slope term in the chemistry risk that cannot act alone, and an independent check on the evaporation </w:t>
      </w:r>
      <w:r w:rsidRPr="00B95EB3">
        <w:rPr>
          <w:rFonts w:asciiTheme="majorHAnsi" w:hAnsiTheme="majorHAnsi" w:cstheme="majorHAnsi"/>
        </w:rPr>
        <w:lastRenderedPageBreak/>
        <w:t>estimate. The engine compares the observed TDS slope with the slope predicted from evaporative concentration. If the ratio lies between 0.4 and 2.5 the estimate is marked as corroborated, and otherwise it is marked as under- or over-predicted, which the application shows beside the top-up forecast.</w:t>
      </w:r>
    </w:p>
    <w:p w14:paraId="08BA86A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fuller design was considered in which the server keeps a rolling TDS baseline per pond, detects steps and slopes that no logged event explains, and asks the owner what happened (for example a feed, a top-up, a salt addition or a filter clean). A confirmed answer would be stored as a new event, and a rejected prompt would stop the same guess being repeated. This design depends on two things that have not yet been shown: that the probe can resolve realistic event steps above its own noise and drift, and that a simple detection rule does not prompt the owner too often on quiet days. Building the prompting path before either is known would risk an interface that annoys the owner with false prompts. The design is therefore deferred, and Section 4.4.3.1 defines the bench tests that decide whether it is worth building.</w:t>
      </w:r>
    </w:p>
    <w:p w14:paraId="76CCA34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rules that apply now remain cautious. A TDS rise cannot raise the ammonia estimate by itself, and a stable TDS value cannot clear an ammonia warning. Rain can support a dilution explanation and hot, dry weather an evaporation explanation, but neither is treated as proof.</w:t>
      </w:r>
    </w:p>
    <w:p w14:paraId="23A01F14" w14:textId="77777777" w:rsidR="00DB1607" w:rsidRPr="00B95EB3" w:rsidRDefault="00000000">
      <w:pPr>
        <w:pStyle w:val="Heading3"/>
        <w:rPr>
          <w:rFonts w:asciiTheme="majorHAnsi" w:hAnsiTheme="majorHAnsi" w:cstheme="majorHAnsi"/>
        </w:rPr>
      </w:pPr>
      <w:bookmarkStart w:id="131" w:name="hosting"/>
      <w:bookmarkStart w:id="132" w:name="_Toc241565725"/>
      <w:bookmarkEnd w:id="129"/>
      <w:r w:rsidRPr="00B95EB3">
        <w:rPr>
          <w:rFonts w:asciiTheme="majorHAnsi" w:hAnsiTheme="majorHAnsi" w:cstheme="majorHAnsi"/>
        </w:rPr>
        <w:t>3.9.5 Hosting</w:t>
      </w:r>
      <w:bookmarkEnd w:id="132"/>
    </w:p>
    <w:p w14:paraId="50D4FEB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digital twin runs as a single long-lived Flask process with its poller on a background thread. During development it runs on a local machine, and the application reaches it over the local network. It was not moved to PythonAnywhere alongside the camera service because PythonAnywhere runs web applications without Python thread support by default, which would stop the in-process poller (PythonAnywhere, n.d.). The alternative on that platform is to run the poller as a separate scheduled task, which would mean two processes sharing each pond’s state and would bring back the race conditions the single-process design avoids.</w:t>
      </w:r>
    </w:p>
    <w:p w14:paraId="163D3C2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The cost of local hosting is that the model service is reachable only on the same network as the machine running it. The application handles this by falling back to a simpler client-side pH assessment when the service does not respond (Section 3.12). Moving the twin to an </w:t>
      </w:r>
      <w:r w:rsidRPr="00B95EB3">
        <w:rPr>
          <w:rFonts w:asciiTheme="majorHAnsi" w:hAnsiTheme="majorHAnsi" w:cstheme="majorHAnsi"/>
        </w:rPr>
        <w:lastRenderedPageBreak/>
        <w:t>always-on host that supports a long-running process needs no change to its design, and it is listed in Section 7.4.</w:t>
      </w:r>
    </w:p>
    <w:p w14:paraId="463A67E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service’s endpoints currently trust the user identifier in each request. This is acceptable on a private network during development but would let anyone who can reach the service read or change any pond’s state. Before public hosting, each request should carry the user’s Supabase session token, and the service should derive the user from the verified token.</w:t>
      </w:r>
    </w:p>
    <w:p w14:paraId="49B210A5" w14:textId="77777777" w:rsidR="00DB1607" w:rsidRPr="00B95EB3" w:rsidRDefault="00000000">
      <w:pPr>
        <w:pStyle w:val="Heading2"/>
        <w:rPr>
          <w:rFonts w:asciiTheme="majorHAnsi" w:hAnsiTheme="majorHAnsi" w:cstheme="majorHAnsi"/>
        </w:rPr>
      </w:pPr>
      <w:bookmarkStart w:id="133" w:name="reliability-safety-and-maintainability"/>
      <w:bookmarkStart w:id="134" w:name="_Toc241565726"/>
      <w:bookmarkEnd w:id="121"/>
      <w:bookmarkEnd w:id="131"/>
      <w:r w:rsidRPr="00B95EB3">
        <w:rPr>
          <w:rFonts w:asciiTheme="majorHAnsi" w:hAnsiTheme="majorHAnsi" w:cstheme="majorHAnsi"/>
        </w:rPr>
        <w:t>3.10 Reliability, Safety and Maintainability</w:t>
      </w:r>
      <w:bookmarkEnd w:id="134"/>
    </w:p>
    <w:p w14:paraId="4F355518" w14:textId="77777777" w:rsidR="00DB1607" w:rsidRPr="00B95EB3" w:rsidRDefault="00000000">
      <w:pPr>
        <w:pStyle w:val="Heading3"/>
        <w:rPr>
          <w:rFonts w:asciiTheme="majorHAnsi" w:hAnsiTheme="majorHAnsi" w:cstheme="majorHAnsi"/>
        </w:rPr>
      </w:pPr>
      <w:bookmarkStart w:id="135" w:name="fault-handling"/>
      <w:bookmarkStart w:id="136" w:name="_Toc241565727"/>
      <w:r w:rsidRPr="00B95EB3">
        <w:rPr>
          <w:rFonts w:asciiTheme="majorHAnsi" w:hAnsiTheme="majorHAnsi" w:cstheme="majorHAnsi"/>
        </w:rPr>
        <w:t>3.10.1 Fault Handling</w:t>
      </w:r>
      <w:bookmarkEnd w:id="136"/>
    </w:p>
    <w:p w14:paraId="4C0E5AAD"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Every Wi-Fi connection has a fixed timeout and a limited number of attempts, on both nodes.</w:t>
      </w:r>
    </w:p>
    <w:p w14:paraId="5DB97A55"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A failed upload cannot cause an immediate wake loop. Both nodes back off to longer sleep intervals after repeated Wi-Fi failures.</w:t>
      </w:r>
    </w:p>
    <w:p w14:paraId="2F9706C4"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The camera clamps every server-supplied interval and keeps a local fallback that does not depend on the server.</w:t>
      </w:r>
    </w:p>
    <w:p w14:paraId="4FEB58A8"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The two nodes use independent schedules and supplies, so one fault does not stop the other.</w:t>
      </w:r>
    </w:p>
    <w:p w14:paraId="12B4FB80"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The sensor node rejects invalid temperature readings on the device, and the digital twin’s validation gate rejects or flags out-of-range, stalled and implausibly fast readings. A rejected value is replaced by the last trusted value and flagged, never silently accepted.</w:t>
      </w:r>
    </w:p>
    <w:p w14:paraId="44212881"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A failed temperature reading is left out of the upload instead of being replaced.</w:t>
      </w:r>
    </w:p>
    <w:p w14:paraId="471BAFE2" w14:textId="77777777" w:rsidR="00DB1607" w:rsidRPr="00B95EB3" w:rsidRDefault="00000000">
      <w:pPr>
        <w:pStyle w:val="Compact"/>
        <w:numPr>
          <w:ilvl w:val="0"/>
          <w:numId w:val="4"/>
        </w:numPr>
        <w:rPr>
          <w:rFonts w:asciiTheme="majorHAnsi" w:hAnsiTheme="majorHAnsi" w:cstheme="majorHAnsi"/>
        </w:rPr>
      </w:pPr>
      <w:r w:rsidRPr="00B95EB3">
        <w:rPr>
          <w:rFonts w:asciiTheme="majorHAnsi" w:hAnsiTheme="majorHAnsi" w:cstheme="majorHAnsi"/>
        </w:rPr>
        <w:t>The digital twin saves a snapshot after every change, so a restart does not lose a pond’s accumulated state.</w:t>
      </w:r>
    </w:p>
    <w:p w14:paraId="0C3754D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Recording the reset reason (brownout, watchdog or timer) in each upload is not yet implemented on the sensor node. The camera firmware already counts brownouts in RTC memory, and the same approach can be added to the sensor node with the payload change in Section 3.6.2.</w:t>
      </w:r>
    </w:p>
    <w:p w14:paraId="41BE4027" w14:textId="77777777" w:rsidR="00DB1607" w:rsidRPr="00B95EB3" w:rsidRDefault="00000000">
      <w:pPr>
        <w:pStyle w:val="Heading3"/>
        <w:rPr>
          <w:rFonts w:asciiTheme="majorHAnsi" w:hAnsiTheme="majorHAnsi" w:cstheme="majorHAnsi"/>
        </w:rPr>
      </w:pPr>
      <w:bookmarkStart w:id="137" w:name="outdoor-electrical-design"/>
      <w:bookmarkStart w:id="138" w:name="_Toc241565728"/>
      <w:bookmarkEnd w:id="135"/>
      <w:r w:rsidRPr="00B95EB3">
        <w:rPr>
          <w:rFonts w:asciiTheme="majorHAnsi" w:hAnsiTheme="majorHAnsi" w:cstheme="majorHAnsi"/>
        </w:rPr>
        <w:t>3.10.2 Outdoor Electrical Design</w:t>
      </w:r>
      <w:bookmarkEnd w:id="138"/>
    </w:p>
    <w:p w14:paraId="3AAFEAA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The enclosure sits beside water, so battery power reduces mains risk but does not remove corrosion and short-circuit risk. The sensor connectors should face downward and use drip loops. The battery, pH board and regulator stay in the dry section. Cable glands, strain relief, </w:t>
      </w:r>
      <w:r w:rsidRPr="00B95EB3">
        <w:rPr>
          <w:rFonts w:asciiTheme="majorHAnsi" w:hAnsiTheme="majorHAnsi" w:cstheme="majorHAnsi"/>
        </w:rPr>
        <w:lastRenderedPageBreak/>
        <w:t>replaceable connectors and conformal coating on suitable boards improve service life, with the pH BNC area left uncoated.</w:t>
      </w:r>
    </w:p>
    <w:p w14:paraId="09CA551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antenna should be kept away from the water surface, battery pack and sensor cables. Water absorbs 2.4 GHz energy and a metal or battery mass can shield the antenna. A stronger link shortens connection time and reduces retransmission energy. The camera window needs a hood and a fixed mount so rain, glare and movement do not trigger the obstruction or dynamic states unnecessarily.</w:t>
      </w:r>
    </w:p>
    <w:p w14:paraId="322E8129" w14:textId="77777777" w:rsidR="00DB1607" w:rsidRPr="00B95EB3" w:rsidRDefault="00000000">
      <w:pPr>
        <w:pStyle w:val="Heading3"/>
        <w:rPr>
          <w:rFonts w:asciiTheme="majorHAnsi" w:hAnsiTheme="majorHAnsi" w:cstheme="majorHAnsi"/>
        </w:rPr>
      </w:pPr>
      <w:bookmarkStart w:id="139" w:name="battery-state-and-service"/>
      <w:bookmarkStart w:id="140" w:name="_Toc241565729"/>
      <w:bookmarkEnd w:id="137"/>
      <w:r w:rsidRPr="00B95EB3">
        <w:rPr>
          <w:rFonts w:asciiTheme="majorHAnsi" w:hAnsiTheme="majorHAnsi" w:cstheme="majorHAnsi"/>
        </w:rPr>
        <w:t>3.10.3 Battery State and Service</w:t>
      </w:r>
      <w:bookmarkEnd w:id="140"/>
    </w:p>
    <w:p w14:paraId="3D1DD1C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sensor node does not yet measure its battery voltage. A divider switched from a GPIO pin, read on a spare ADC1 channel during the Wi-Fi upload, would give a voltage under a known load without draining the pack between readings. An unloaded reading can hide weak cells. The firmware should send a low-battery warning before the regulator loses regulation, which for a linear regulator on four alkaline cells is around 4.4 V (Section 3.2.8). Cells in one pack should be the same type, age and charge state, and should be replaced together.</w:t>
      </w:r>
    </w:p>
    <w:p w14:paraId="3C053E2B" w14:textId="77777777" w:rsidR="00DB1607" w:rsidRPr="00B95EB3" w:rsidRDefault="00000000">
      <w:pPr>
        <w:pStyle w:val="Heading2"/>
        <w:rPr>
          <w:rFonts w:asciiTheme="majorHAnsi" w:hAnsiTheme="majorHAnsi" w:cstheme="majorHAnsi"/>
        </w:rPr>
      </w:pPr>
      <w:bookmarkStart w:id="141" w:name="system-requirements-specification"/>
      <w:bookmarkStart w:id="142" w:name="_Toc241565730"/>
      <w:bookmarkEnd w:id="133"/>
      <w:bookmarkEnd w:id="139"/>
      <w:r w:rsidRPr="00B95EB3">
        <w:rPr>
          <w:rFonts w:asciiTheme="majorHAnsi" w:hAnsiTheme="majorHAnsi" w:cstheme="majorHAnsi"/>
        </w:rPr>
        <w:t>3.11 System Requirements Specification</w:t>
      </w:r>
      <w:bookmarkEnd w:id="142"/>
    </w:p>
    <w:p w14:paraId="302EDC0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preceding sections describe what was built and why. This section states the requirements those choices were meant to satisfy, so that the testing in Chapter 4 has a fixed target. Functional requirements describe what the system must do and non-functional requirements describe how well it must do it.</w:t>
      </w:r>
    </w:p>
    <w:p w14:paraId="10BBBB4F"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3.10. Functional requirements and the test that verifies each one.</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440"/>
        <w:gridCol w:w="5739"/>
        <w:gridCol w:w="1820"/>
        <w:gridCol w:w="1187"/>
      </w:tblGrid>
      <w:tr w:rsidR="00DB1607" w:rsidRPr="00B95EB3" w14:paraId="0F5132A0"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0D0D731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ID</w:t>
            </w:r>
          </w:p>
        </w:tc>
        <w:tc>
          <w:tcPr>
            <w:tcW w:w="0" w:type="auto"/>
            <w:shd w:val="clear" w:color="auto" w:fill="EDEFF2"/>
          </w:tcPr>
          <w:p w14:paraId="5805AF7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Functional requirement</w:t>
            </w:r>
          </w:p>
        </w:tc>
        <w:tc>
          <w:tcPr>
            <w:tcW w:w="0" w:type="auto"/>
            <w:shd w:val="clear" w:color="auto" w:fill="EDEFF2"/>
          </w:tcPr>
          <w:p w14:paraId="6D2A69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Source</w:t>
            </w:r>
          </w:p>
        </w:tc>
        <w:tc>
          <w:tcPr>
            <w:tcW w:w="0" w:type="auto"/>
            <w:shd w:val="clear" w:color="auto" w:fill="EDEFF2"/>
          </w:tcPr>
          <w:p w14:paraId="0F0D61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Verified by</w:t>
            </w:r>
          </w:p>
        </w:tc>
      </w:tr>
      <w:tr w:rsidR="00DB1607" w:rsidRPr="00B95EB3" w14:paraId="192EC80D" w14:textId="77777777">
        <w:tc>
          <w:tcPr>
            <w:tcW w:w="0" w:type="auto"/>
          </w:tcPr>
          <w:p w14:paraId="390FE41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F1</w:t>
            </w:r>
          </w:p>
        </w:tc>
        <w:tc>
          <w:tcPr>
            <w:tcW w:w="0" w:type="auto"/>
          </w:tcPr>
          <w:p w14:paraId="31AF0B0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 water temperature on each cycle and report it with a timestamp.</w:t>
            </w:r>
          </w:p>
        </w:tc>
        <w:tc>
          <w:tcPr>
            <w:tcW w:w="0" w:type="auto"/>
          </w:tcPr>
          <w:p w14:paraId="23469A8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Revised project brief</w:t>
            </w:r>
          </w:p>
        </w:tc>
        <w:tc>
          <w:tcPr>
            <w:tcW w:w="0" w:type="auto"/>
          </w:tcPr>
          <w:p w14:paraId="66A3137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3</w:t>
            </w:r>
          </w:p>
        </w:tc>
      </w:tr>
      <w:tr w:rsidR="00DB1607" w:rsidRPr="00B95EB3" w14:paraId="185E6E44" w14:textId="77777777">
        <w:tc>
          <w:tcPr>
            <w:tcW w:w="0" w:type="auto"/>
          </w:tcPr>
          <w:p w14:paraId="32BD4B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F2</w:t>
            </w:r>
          </w:p>
        </w:tc>
        <w:tc>
          <w:tcPr>
            <w:tcW w:w="0" w:type="auto"/>
          </w:tcPr>
          <w:p w14:paraId="2317901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 pH on each cycle, compensated for temperature, and report it with a timestamp.</w:t>
            </w:r>
          </w:p>
        </w:tc>
        <w:tc>
          <w:tcPr>
            <w:tcW w:w="0" w:type="auto"/>
          </w:tcPr>
          <w:p w14:paraId="59FF313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Revised project brief</w:t>
            </w:r>
          </w:p>
        </w:tc>
        <w:tc>
          <w:tcPr>
            <w:tcW w:w="0" w:type="auto"/>
          </w:tcPr>
          <w:p w14:paraId="2E0F348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2</w:t>
            </w:r>
          </w:p>
        </w:tc>
      </w:tr>
      <w:tr w:rsidR="00DB1607" w:rsidRPr="00B95EB3" w14:paraId="72F13F34" w14:textId="77777777">
        <w:tc>
          <w:tcPr>
            <w:tcW w:w="0" w:type="auto"/>
          </w:tcPr>
          <w:p w14:paraId="79B8F70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F3</w:t>
            </w:r>
          </w:p>
        </w:tc>
        <w:tc>
          <w:tcPr>
            <w:tcW w:w="0" w:type="auto"/>
          </w:tcPr>
          <w:p w14:paraId="47E9969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 raw and temperature-compensated TDS on each cycle as a context signal.</w:t>
            </w:r>
          </w:p>
        </w:tc>
        <w:tc>
          <w:tcPr>
            <w:tcW w:w="0" w:type="auto"/>
          </w:tcPr>
          <w:p w14:paraId="674310F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 2.6.5 and Section 3.2.4.1</w:t>
            </w:r>
          </w:p>
        </w:tc>
        <w:tc>
          <w:tcPr>
            <w:tcW w:w="0" w:type="auto"/>
          </w:tcPr>
          <w:p w14:paraId="12EEEC7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3</w:t>
            </w:r>
          </w:p>
        </w:tc>
      </w:tr>
      <w:tr w:rsidR="00DB1607" w:rsidRPr="00B95EB3" w14:paraId="58045D18" w14:textId="77777777">
        <w:tc>
          <w:tcPr>
            <w:tcW w:w="0" w:type="auto"/>
          </w:tcPr>
          <w:p w14:paraId="2C12A8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F4</w:t>
            </w:r>
          </w:p>
        </w:tc>
        <w:tc>
          <w:tcPr>
            <w:tcW w:w="0" w:type="auto"/>
          </w:tcPr>
          <w:p w14:paraId="62E1899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 ambient light and report it with a timestamp.</w:t>
            </w:r>
          </w:p>
        </w:tc>
        <w:tc>
          <w:tcPr>
            <w:tcW w:w="0" w:type="auto"/>
          </w:tcPr>
          <w:p w14:paraId="016797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Algal light threshold, Chapter 2</w:t>
            </w:r>
          </w:p>
        </w:tc>
        <w:tc>
          <w:tcPr>
            <w:tcW w:w="0" w:type="auto"/>
          </w:tcPr>
          <w:p w14:paraId="7E2B23A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2</w:t>
            </w:r>
          </w:p>
        </w:tc>
      </w:tr>
      <w:tr w:rsidR="00DB1607" w:rsidRPr="00B95EB3" w14:paraId="3A6F6F77" w14:textId="77777777">
        <w:tc>
          <w:tcPr>
            <w:tcW w:w="0" w:type="auto"/>
          </w:tcPr>
          <w:p w14:paraId="3A743E6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F5</w:t>
            </w:r>
          </w:p>
        </w:tc>
        <w:tc>
          <w:tcPr>
            <w:tcW w:w="0" w:type="auto"/>
          </w:tcPr>
          <w:p w14:paraId="188AE9B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Capture pond surface images and derive a green coverage ratio from them.</w:t>
            </w:r>
          </w:p>
        </w:tc>
        <w:tc>
          <w:tcPr>
            <w:tcW w:w="0" w:type="auto"/>
          </w:tcPr>
          <w:p w14:paraId="24349B0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Optical algal proxy, Chapter 2</w:t>
            </w:r>
          </w:p>
        </w:tc>
        <w:tc>
          <w:tcPr>
            <w:tcW w:w="0" w:type="auto"/>
          </w:tcPr>
          <w:p w14:paraId="112B051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2</w:t>
            </w:r>
          </w:p>
        </w:tc>
      </w:tr>
      <w:tr w:rsidR="00DB1607" w:rsidRPr="00B95EB3" w14:paraId="20476B4F" w14:textId="77777777">
        <w:tc>
          <w:tcPr>
            <w:tcW w:w="0" w:type="auto"/>
          </w:tcPr>
          <w:p w14:paraId="60140AD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F6</w:t>
            </w:r>
          </w:p>
        </w:tc>
        <w:tc>
          <w:tcPr>
            <w:tcW w:w="0" w:type="auto"/>
          </w:tcPr>
          <w:p w14:paraId="7BF08F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Read a colorimetric ammonia indicator optically and report a band or value.</w:t>
            </w:r>
          </w:p>
        </w:tc>
        <w:tc>
          <w:tcPr>
            <w:tcW w:w="0" w:type="auto"/>
          </w:tcPr>
          <w:p w14:paraId="56ADDC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Ammonia inference route, Chapter 2</w:t>
            </w:r>
          </w:p>
        </w:tc>
        <w:tc>
          <w:tcPr>
            <w:tcW w:w="0" w:type="auto"/>
          </w:tcPr>
          <w:p w14:paraId="66E5FDD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2</w:t>
            </w:r>
          </w:p>
        </w:tc>
      </w:tr>
      <w:tr w:rsidR="00DB1607" w:rsidRPr="00B95EB3" w14:paraId="79021266" w14:textId="77777777">
        <w:tc>
          <w:tcPr>
            <w:tcW w:w="0" w:type="auto"/>
          </w:tcPr>
          <w:p w14:paraId="6EEC7F8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F7</w:t>
            </w:r>
          </w:p>
        </w:tc>
        <w:tc>
          <w:tcPr>
            <w:tcW w:w="0" w:type="auto"/>
          </w:tcPr>
          <w:p w14:paraId="01E44E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Transmit all readings to a central store over the local network.</w:t>
            </w:r>
          </w:p>
        </w:tc>
        <w:tc>
          <w:tcPr>
            <w:tcW w:w="0" w:type="auto"/>
          </w:tcPr>
          <w:p w14:paraId="2EA39DA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 3.1</w:t>
            </w:r>
          </w:p>
        </w:tc>
        <w:tc>
          <w:tcPr>
            <w:tcW w:w="0" w:type="auto"/>
          </w:tcPr>
          <w:p w14:paraId="55E2CDE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and Tier 3</w:t>
            </w:r>
          </w:p>
        </w:tc>
      </w:tr>
      <w:tr w:rsidR="00DB1607" w:rsidRPr="00B95EB3" w14:paraId="3579F9CD" w14:textId="77777777">
        <w:tc>
          <w:tcPr>
            <w:tcW w:w="0" w:type="auto"/>
          </w:tcPr>
          <w:p w14:paraId="5F88BA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F8</w:t>
            </w:r>
          </w:p>
        </w:tc>
        <w:tc>
          <w:tcPr>
            <w:tcW w:w="0" w:type="auto"/>
          </w:tcPr>
          <w:p w14:paraId="1B57882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Retrieve external weather observations and forecasts for the pond location.</w:t>
            </w:r>
          </w:p>
        </w:tc>
        <w:tc>
          <w:tcPr>
            <w:tcW w:w="0" w:type="auto"/>
          </w:tcPr>
          <w:p w14:paraId="08100A4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Forecast value case, Chapter 2</w:t>
            </w:r>
          </w:p>
        </w:tc>
        <w:tc>
          <w:tcPr>
            <w:tcW w:w="0" w:type="auto"/>
          </w:tcPr>
          <w:p w14:paraId="6A6811A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 and Chapter 6</w:t>
            </w:r>
          </w:p>
        </w:tc>
      </w:tr>
      <w:tr w:rsidR="00DB1607" w:rsidRPr="00B95EB3" w14:paraId="509331F6" w14:textId="77777777">
        <w:tc>
          <w:tcPr>
            <w:tcW w:w="0" w:type="auto"/>
          </w:tcPr>
          <w:p w14:paraId="237107E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F9</w:t>
            </w:r>
          </w:p>
        </w:tc>
        <w:tc>
          <w:tcPr>
            <w:tcW w:w="0" w:type="auto"/>
          </w:tcPr>
          <w:p w14:paraId="424958B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Estimate ammonia, nitrite and nitrate from logged feeding and water change events and stored sensor history, without using TDS as an ammonia value.</w:t>
            </w:r>
          </w:p>
        </w:tc>
        <w:tc>
          <w:tcPr>
            <w:tcW w:w="0" w:type="auto"/>
          </w:tcPr>
          <w:p w14:paraId="12DCA9D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Inference route, Chapter 2</w:t>
            </w:r>
          </w:p>
        </w:tc>
        <w:tc>
          <w:tcPr>
            <w:tcW w:w="0" w:type="auto"/>
          </w:tcPr>
          <w:p w14:paraId="366B61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5 and Tier 3</w:t>
            </w:r>
          </w:p>
        </w:tc>
      </w:tr>
      <w:tr w:rsidR="00DB1607" w:rsidRPr="00B95EB3" w14:paraId="53F4CA9E" w14:textId="77777777">
        <w:tc>
          <w:tcPr>
            <w:tcW w:w="0" w:type="auto"/>
          </w:tcPr>
          <w:p w14:paraId="39F0915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F10</w:t>
            </w:r>
          </w:p>
        </w:tc>
        <w:tc>
          <w:tcPr>
            <w:tcW w:w="0" w:type="auto"/>
          </w:tcPr>
          <w:p w14:paraId="5D03C0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Present current state and forward projections to the owner through a mobile application.</w:t>
            </w:r>
          </w:p>
        </w:tc>
        <w:tc>
          <w:tcPr>
            <w:tcW w:w="0" w:type="auto"/>
          </w:tcPr>
          <w:p w14:paraId="73F4DE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Revised project brief</w:t>
            </w:r>
          </w:p>
        </w:tc>
        <w:tc>
          <w:tcPr>
            <w:tcW w:w="0" w:type="auto"/>
          </w:tcPr>
          <w:p w14:paraId="14030C1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w:t>
            </w:r>
          </w:p>
        </w:tc>
      </w:tr>
      <w:tr w:rsidR="00DB1607" w:rsidRPr="00B95EB3" w14:paraId="2402CE8D" w14:textId="77777777">
        <w:tc>
          <w:tcPr>
            <w:tcW w:w="0" w:type="auto"/>
          </w:tcPr>
          <w:p w14:paraId="710DE29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F11</w:t>
            </w:r>
          </w:p>
        </w:tc>
        <w:tc>
          <w:tcPr>
            <w:tcW w:w="0" w:type="auto"/>
          </w:tcPr>
          <w:p w14:paraId="3CB9C65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Accept owner events for feeding, water change, top-up and algae scrubbing, and owner ratings of camera frames.</w:t>
            </w:r>
          </w:p>
        </w:tc>
        <w:tc>
          <w:tcPr>
            <w:tcW w:w="0" w:type="auto"/>
          </w:tcPr>
          <w:p w14:paraId="3DFAE69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 3.9</w:t>
            </w:r>
          </w:p>
        </w:tc>
        <w:tc>
          <w:tcPr>
            <w:tcW w:w="0" w:type="auto"/>
          </w:tcPr>
          <w:p w14:paraId="5D6C6F9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5 and Tier 3</w:t>
            </w:r>
          </w:p>
        </w:tc>
      </w:tr>
      <w:tr w:rsidR="00DB1607" w:rsidRPr="00B95EB3" w14:paraId="006A0627" w14:textId="77777777">
        <w:tc>
          <w:tcPr>
            <w:tcW w:w="0" w:type="auto"/>
          </w:tcPr>
          <w:p w14:paraId="1ABABC0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F12</w:t>
            </w:r>
          </w:p>
        </w:tc>
        <w:tc>
          <w:tcPr>
            <w:tcW w:w="0" w:type="auto"/>
          </w:tcPr>
          <w:p w14:paraId="08CB68D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Show an in-app alert status when a modelled or measured value crosses a risk threshold, now or within the forecast window.</w:t>
            </w:r>
          </w:p>
        </w:tc>
        <w:tc>
          <w:tcPr>
            <w:tcW w:w="0" w:type="auto"/>
          </w:tcPr>
          <w:p w14:paraId="7E81472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Revised project brief</w:t>
            </w:r>
          </w:p>
        </w:tc>
        <w:tc>
          <w:tcPr>
            <w:tcW w:w="0" w:type="auto"/>
          </w:tcPr>
          <w:p w14:paraId="4093C7F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5 and Tier 3</w:t>
            </w:r>
          </w:p>
        </w:tc>
      </w:tr>
    </w:tbl>
    <w:p w14:paraId="7E7AAFF9"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F11 no longer includes the context prompts for unexplained TDS changes, and salt addition and filter cleaning are not yet event types. Both are deferred until the TDS bench tests in Section 4.4.3.1 show whether the prompts are useful. F12 is met by status levels and advisory messages shown on the dashboard and detail screens. Push notifications, which would reach an owner who is not using the application, are not implemented and are discussed in Section 7.3.</w:t>
      </w:r>
    </w:p>
    <w:p w14:paraId="43BDF14C"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3.11. Non-functional requirements and how each is checked.</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79"/>
        <w:gridCol w:w="3189"/>
        <w:gridCol w:w="3900"/>
        <w:gridCol w:w="1718"/>
      </w:tblGrid>
      <w:tr w:rsidR="00DB1607" w:rsidRPr="00B95EB3" w14:paraId="252BC3A7"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8DED2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ID</w:t>
            </w:r>
          </w:p>
        </w:tc>
        <w:tc>
          <w:tcPr>
            <w:tcW w:w="0" w:type="auto"/>
            <w:shd w:val="clear" w:color="auto" w:fill="EDEFF2"/>
          </w:tcPr>
          <w:p w14:paraId="475120B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Non-functional requirement</w:t>
            </w:r>
          </w:p>
        </w:tc>
        <w:tc>
          <w:tcPr>
            <w:tcW w:w="0" w:type="auto"/>
            <w:shd w:val="clear" w:color="auto" w:fill="EDEFF2"/>
          </w:tcPr>
          <w:p w14:paraId="0E608FB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Target</w:t>
            </w:r>
          </w:p>
        </w:tc>
        <w:tc>
          <w:tcPr>
            <w:tcW w:w="0" w:type="auto"/>
            <w:shd w:val="clear" w:color="auto" w:fill="EDEFF2"/>
          </w:tcPr>
          <w:p w14:paraId="2975BEF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Verified by</w:t>
            </w:r>
          </w:p>
        </w:tc>
      </w:tr>
      <w:tr w:rsidR="00DB1607" w:rsidRPr="00B95EB3" w14:paraId="472D8506" w14:textId="77777777">
        <w:tc>
          <w:tcPr>
            <w:tcW w:w="0" w:type="auto"/>
          </w:tcPr>
          <w:p w14:paraId="1AFDA0C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N1</w:t>
            </w:r>
          </w:p>
        </w:tc>
        <w:tc>
          <w:tcPr>
            <w:tcW w:w="0" w:type="auto"/>
          </w:tcPr>
          <w:p w14:paraId="0F0ECF1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Sensor node runs from battery without mains connection.</w:t>
            </w:r>
          </w:p>
        </w:tc>
        <w:tc>
          <w:tcPr>
            <w:tcW w:w="0" w:type="auto"/>
          </w:tcPr>
          <w:p w14:paraId="462B471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mains cable to the pond-side enclosure</w:t>
            </w:r>
          </w:p>
        </w:tc>
        <w:tc>
          <w:tcPr>
            <w:tcW w:w="0" w:type="auto"/>
          </w:tcPr>
          <w:p w14:paraId="055273B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 indoor endurance run</w:t>
            </w:r>
          </w:p>
        </w:tc>
      </w:tr>
      <w:tr w:rsidR="00DB1607" w:rsidRPr="00B95EB3" w14:paraId="05E51B1B" w14:textId="77777777">
        <w:tc>
          <w:tcPr>
            <w:tcW w:w="0" w:type="auto"/>
          </w:tcPr>
          <w:p w14:paraId="38551FB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N2</w:t>
            </w:r>
          </w:p>
        </w:tc>
        <w:tc>
          <w:tcPr>
            <w:tcW w:w="0" w:type="auto"/>
          </w:tcPr>
          <w:p w14:paraId="34AE252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Service interval between battery changes.</w:t>
            </w:r>
          </w:p>
        </w:tc>
        <w:tc>
          <w:tcPr>
            <w:tcW w:w="0" w:type="auto"/>
          </w:tcPr>
          <w:p w14:paraId="17D3AD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Measured and reported, with at least 7 days on the test pack at the five-minute rate</w:t>
            </w:r>
          </w:p>
        </w:tc>
        <w:tc>
          <w:tcPr>
            <w:tcW w:w="0" w:type="auto"/>
          </w:tcPr>
          <w:p w14:paraId="2EAEE07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 indoor endurance run</w:t>
            </w:r>
          </w:p>
        </w:tc>
      </w:tr>
      <w:tr w:rsidR="00DB1607" w:rsidRPr="00B95EB3" w14:paraId="4202294D" w14:textId="77777777">
        <w:tc>
          <w:tcPr>
            <w:tcW w:w="0" w:type="auto"/>
          </w:tcPr>
          <w:p w14:paraId="414D9C4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N3</w:t>
            </w:r>
          </w:p>
        </w:tc>
        <w:tc>
          <w:tcPr>
            <w:tcW w:w="0" w:type="auto"/>
          </w:tcPr>
          <w:p w14:paraId="5971E00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Each measured channel agrees with its datasheet accuracy figure.</w:t>
            </w:r>
          </w:p>
        </w:tc>
        <w:tc>
          <w:tcPr>
            <w:tcW w:w="0" w:type="auto"/>
          </w:tcPr>
          <w:p w14:paraId="00AB82C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the stated tolerance in Section 3.2</w:t>
            </w:r>
          </w:p>
        </w:tc>
        <w:tc>
          <w:tcPr>
            <w:tcW w:w="0" w:type="auto"/>
          </w:tcPr>
          <w:p w14:paraId="4EC3A0F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w:t>
            </w:r>
          </w:p>
        </w:tc>
      </w:tr>
      <w:tr w:rsidR="00DB1607" w:rsidRPr="00B95EB3" w14:paraId="5A0A3AAD" w14:textId="77777777">
        <w:tc>
          <w:tcPr>
            <w:tcW w:w="0" w:type="auto"/>
          </w:tcPr>
          <w:p w14:paraId="67F735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N4</w:t>
            </w:r>
          </w:p>
        </w:tc>
        <w:tc>
          <w:tcPr>
            <w:tcW w:w="0" w:type="auto"/>
          </w:tcPr>
          <w:p w14:paraId="11CE667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System survives outdoor conditions including rain and direct sun.</w:t>
            </w:r>
          </w:p>
        </w:tc>
        <w:tc>
          <w:tcPr>
            <w:tcW w:w="0" w:type="auto"/>
          </w:tcPr>
          <w:p w14:paraId="363DFA4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water ingress or reading loss over the soak period</w:t>
            </w:r>
          </w:p>
        </w:tc>
        <w:tc>
          <w:tcPr>
            <w:tcW w:w="0" w:type="auto"/>
          </w:tcPr>
          <w:p w14:paraId="02B7A3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2 and Tier 3 outdoor run</w:t>
            </w:r>
          </w:p>
        </w:tc>
      </w:tr>
      <w:tr w:rsidR="00DB1607" w:rsidRPr="00B95EB3" w14:paraId="46E44A4F" w14:textId="77777777">
        <w:tc>
          <w:tcPr>
            <w:tcW w:w="0" w:type="auto"/>
          </w:tcPr>
          <w:p w14:paraId="5579F29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N5</w:t>
            </w:r>
          </w:p>
        </w:tc>
        <w:tc>
          <w:tcPr>
            <w:tcW w:w="0" w:type="auto"/>
          </w:tcPr>
          <w:p w14:paraId="425D53D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fault in one node or service does not stop the other node.</w:t>
            </w:r>
          </w:p>
        </w:tc>
        <w:tc>
          <w:tcPr>
            <w:tcW w:w="0" w:type="auto"/>
          </w:tcPr>
          <w:p w14:paraId="1167358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Independent schedules and fallbacks, Section 3.10.1</w:t>
            </w:r>
          </w:p>
        </w:tc>
        <w:tc>
          <w:tcPr>
            <w:tcW w:w="0" w:type="auto"/>
          </w:tcPr>
          <w:p w14:paraId="3F7D59A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w:t>
            </w:r>
          </w:p>
        </w:tc>
      </w:tr>
      <w:tr w:rsidR="00DB1607" w:rsidRPr="00B95EB3" w14:paraId="754F9309" w14:textId="77777777">
        <w:tc>
          <w:tcPr>
            <w:tcW w:w="0" w:type="auto"/>
          </w:tcPr>
          <w:p w14:paraId="3F0383D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N6</w:t>
            </w:r>
          </w:p>
        </w:tc>
        <w:tc>
          <w:tcPr>
            <w:tcW w:w="0" w:type="auto"/>
          </w:tcPr>
          <w:p w14:paraId="04E6232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Hardware cost remains within a home installation budget.</w:t>
            </w:r>
          </w:p>
        </w:tc>
        <w:tc>
          <w:tcPr>
            <w:tcW w:w="0" w:type="auto"/>
          </w:tcPr>
          <w:p w14:paraId="0BDF6AA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See Section 3.13</w:t>
            </w:r>
          </w:p>
        </w:tc>
        <w:tc>
          <w:tcPr>
            <w:tcW w:w="0" w:type="auto"/>
          </w:tcPr>
          <w:p w14:paraId="150B80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Design constraint</w:t>
            </w:r>
          </w:p>
        </w:tc>
      </w:tr>
      <w:tr w:rsidR="00DB1607" w:rsidRPr="00B95EB3" w14:paraId="119CE549" w14:textId="77777777">
        <w:tc>
          <w:tcPr>
            <w:tcW w:w="0" w:type="auto"/>
          </w:tcPr>
          <w:p w14:paraId="08C8BD1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N7</w:t>
            </w:r>
          </w:p>
        </w:tc>
        <w:tc>
          <w:tcPr>
            <w:tcW w:w="0" w:type="auto"/>
          </w:tcPr>
          <w:p w14:paraId="180B599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automatic actuation of pond equipment or chemicals.</w:t>
            </w:r>
          </w:p>
        </w:tc>
        <w:tc>
          <w:tcPr>
            <w:tcW w:w="0" w:type="auto"/>
          </w:tcPr>
          <w:p w14:paraId="0679238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Advisory output only</w:t>
            </w:r>
          </w:p>
        </w:tc>
        <w:tc>
          <w:tcPr>
            <w:tcW w:w="0" w:type="auto"/>
          </w:tcPr>
          <w:p w14:paraId="705540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Design constraint, Section 1.5</w:t>
            </w:r>
          </w:p>
        </w:tc>
      </w:tr>
      <w:tr w:rsidR="00DB1607" w:rsidRPr="00B95EB3" w14:paraId="1E78E1D5" w14:textId="77777777">
        <w:tc>
          <w:tcPr>
            <w:tcW w:w="0" w:type="auto"/>
          </w:tcPr>
          <w:p w14:paraId="4B14ECF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N8</w:t>
            </w:r>
          </w:p>
        </w:tc>
        <w:tc>
          <w:tcPr>
            <w:tcW w:w="0" w:type="auto"/>
          </w:tcPr>
          <w:p w14:paraId="7CD3E2E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xml:space="preserve">A failed or suspect reading is flagged </w:t>
            </w:r>
            <w:r w:rsidRPr="00B95EB3">
              <w:rPr>
                <w:rFonts w:asciiTheme="majorHAnsi" w:hAnsiTheme="majorHAnsi" w:cstheme="majorHAnsi"/>
                <w:sz w:val="19"/>
              </w:rPr>
              <w:lastRenderedPageBreak/>
              <w:t>rather than silently used.</w:t>
            </w:r>
          </w:p>
        </w:tc>
        <w:tc>
          <w:tcPr>
            <w:tcW w:w="0" w:type="auto"/>
          </w:tcPr>
          <w:p w14:paraId="67B5691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 xml:space="preserve">Device-side omission and server-side validation </w:t>
            </w:r>
            <w:r w:rsidRPr="00B95EB3">
              <w:rPr>
                <w:rFonts w:asciiTheme="majorHAnsi" w:hAnsiTheme="majorHAnsi" w:cstheme="majorHAnsi"/>
                <w:sz w:val="19"/>
              </w:rPr>
              <w:lastRenderedPageBreak/>
              <w:t>verdicts on every channel</w:t>
            </w:r>
          </w:p>
        </w:tc>
        <w:tc>
          <w:tcPr>
            <w:tcW w:w="0" w:type="auto"/>
          </w:tcPr>
          <w:p w14:paraId="358DDD8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 xml:space="preserve">Tier 1, Tier 3 and </w:t>
            </w:r>
            <w:r w:rsidRPr="00B95EB3">
              <w:rPr>
                <w:rFonts w:asciiTheme="majorHAnsi" w:hAnsiTheme="majorHAnsi" w:cstheme="majorHAnsi"/>
                <w:sz w:val="19"/>
              </w:rPr>
              <w:lastRenderedPageBreak/>
              <w:t>Chapter 5</w:t>
            </w:r>
          </w:p>
        </w:tc>
      </w:tr>
    </w:tbl>
    <w:p w14:paraId="1E7C7508"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lastRenderedPageBreak/>
        <w:t>The N2 target was lowered from two weeks when the power arrangement changed. Section 3.3.2 shows that a service interval of about 11 days on four AAA cells requires a low-sleep board and a buck converter, and about four weeks requires larger cells as well. Setting the target at 7 days on the test pack keeps it achievable with the planned board change, while the measurement itself decides the stated figure.</w:t>
      </w:r>
    </w:p>
    <w:p w14:paraId="27A286C7" w14:textId="77777777" w:rsidR="00DB1607" w:rsidRPr="00B95EB3" w:rsidRDefault="00000000">
      <w:pPr>
        <w:pStyle w:val="Heading2"/>
        <w:rPr>
          <w:rFonts w:asciiTheme="majorHAnsi" w:hAnsiTheme="majorHAnsi" w:cstheme="majorHAnsi"/>
        </w:rPr>
      </w:pPr>
      <w:bookmarkStart w:id="143" w:name="application-layer-and-mobile-client"/>
      <w:bookmarkStart w:id="144" w:name="_Toc241565731"/>
      <w:bookmarkEnd w:id="141"/>
      <w:r w:rsidRPr="00B95EB3">
        <w:rPr>
          <w:rFonts w:asciiTheme="majorHAnsi" w:hAnsiTheme="majorHAnsi" w:cstheme="majorHAnsi"/>
        </w:rPr>
        <w:t>3.12 Application Layer and Mobile Client</w:t>
      </w:r>
      <w:bookmarkEnd w:id="144"/>
    </w:p>
    <w:p w14:paraId="2119561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mobile application is the only part of the system the owner uses directly. It has three jobs: it shows the current state of the pond, it shows what the digital twin expects to happen next, and it collects the owner events that the chemistry model depends on.</w:t>
      </w:r>
    </w:p>
    <w:p w14:paraId="6408630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Flutter was selected for the client. Building separate native applications for Android and iOS would double the development effort for the same result. React Native was considered and set aside because its bridge between JavaScript and native code adds a performance cost that brings no benefit here. Flutter compiles to native code for both platforms from one Dart codebase and provides a large set of ready-made interface components, which suits an interface that must be clear rather than novel. The main cost of this choice was learning Dart.</w:t>
      </w:r>
    </w:p>
    <w:p w14:paraId="30CB157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client does not run the models. It reads computed assessments and forecasts from the digital twin and displays them, so the modelling logic exists in one place and a model change needs no matching change in the application. The one exception is the pH card: when the digital twin cannot be reached, the pH card falls back to a client-side assessment computed from the recent sensor history, so the dashboard still shows a pH status away from the local network. The card marks which source produced the status. The fallback is a simplified copy of the server’s pH rules and can disagree with them, which is the cost of keeping the dashboard useful off the network. It also still contains an older rule that combines incoming rain with a TDS below 150 ppm, which conflicts with the no-fixed-TDS-band principle in Section 3.2.4.1 and is to be removed.</w:t>
      </w:r>
    </w:p>
    <w:p w14:paraId="7A03A35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Owner events also feed the models directly. A feeding event is the main input to the modelled ammonia load, and a water change resets several modelled pools at once. The </w:t>
      </w:r>
      <w:r w:rsidRPr="00B95EB3">
        <w:rPr>
          <w:rFonts w:asciiTheme="majorHAnsi" w:hAnsiTheme="majorHAnsi" w:cstheme="majorHAnsi"/>
        </w:rPr>
        <w:lastRenderedPageBreak/>
        <w:t>application therefore makes logging quick: a single button opens a sheet with the four event types, and each form asks only for the amount that matters (feed mass and protein content, or the volume or percentage changed). A model fed with incomplete event history will drift away from the real pond without any sensor being at fault, so this is an interface problem as much as a modelling one.</w:t>
      </w:r>
    </w:p>
    <w:p w14:paraId="789D2487" w14:textId="77777777" w:rsidR="00DB1607" w:rsidRPr="00B95EB3" w:rsidRDefault="00000000">
      <w:pPr>
        <w:pStyle w:val="Heading3"/>
        <w:rPr>
          <w:rFonts w:asciiTheme="majorHAnsi" w:hAnsiTheme="majorHAnsi" w:cstheme="majorHAnsi"/>
        </w:rPr>
      </w:pPr>
      <w:bookmarkStart w:id="145" w:name="context-prompts-and-user-effort"/>
      <w:bookmarkStart w:id="146" w:name="_Toc241565732"/>
      <w:r w:rsidRPr="00B95EB3">
        <w:rPr>
          <w:rFonts w:asciiTheme="majorHAnsi" w:hAnsiTheme="majorHAnsi" w:cstheme="majorHAnsi"/>
        </w:rPr>
        <w:t>3.12.1 Context Prompts and User Effort</w:t>
      </w:r>
      <w:bookmarkEnd w:id="146"/>
    </w:p>
    <w:p w14:paraId="3F8F419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earlier design proposed prompts that ask the owner for context when TDS changes without an explanation. For the reasons in Section 3.9.4 these are deferred. The owner can still log any event at any time, and the detail screens show logged events as markers on the same timeline as the sensor readings, which lets the owner relate a change in a reading to something they did. The screens keep measured values, owner records and model estimates visually separate.</w:t>
      </w:r>
    </w:p>
    <w:p w14:paraId="75D4CD2B" w14:textId="77777777" w:rsidR="00DB1607" w:rsidRPr="00B95EB3" w:rsidRDefault="00000000">
      <w:pPr>
        <w:pStyle w:val="Heading2"/>
        <w:rPr>
          <w:rFonts w:asciiTheme="majorHAnsi" w:hAnsiTheme="majorHAnsi" w:cstheme="majorHAnsi"/>
        </w:rPr>
      </w:pPr>
      <w:bookmarkStart w:id="147" w:name="cost-summary-and-budget-position"/>
      <w:bookmarkStart w:id="148" w:name="_Toc241565733"/>
      <w:bookmarkEnd w:id="143"/>
      <w:bookmarkEnd w:id="145"/>
      <w:r w:rsidRPr="00B95EB3">
        <w:rPr>
          <w:rFonts w:asciiTheme="majorHAnsi" w:hAnsiTheme="majorHAnsi" w:cstheme="majorHAnsi"/>
        </w:rPr>
        <w:t>3.13 Cost Summary and Budget Position</w:t>
      </w:r>
      <w:bookmarkEnd w:id="148"/>
    </w:p>
    <w:p w14:paraId="7FCFE01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Cost limits the available chemical sensing methods. Table 3.12 records the selected parts and leaves unit prices to be completed from purchase records, so that the final total is tied to the hardware actually used.</w:t>
      </w:r>
    </w:p>
    <w:p w14:paraId="64D564D1"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3.12. Bill of materials. Prices to be completed from purchase records.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147"/>
        <w:gridCol w:w="904"/>
        <w:gridCol w:w="1635"/>
        <w:gridCol w:w="3500"/>
      </w:tblGrid>
      <w:tr w:rsidR="00DB1607" w:rsidRPr="00B95EB3" w14:paraId="7F94E821"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9898D4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Item</w:t>
            </w:r>
          </w:p>
        </w:tc>
        <w:tc>
          <w:tcPr>
            <w:tcW w:w="0" w:type="auto"/>
            <w:shd w:val="clear" w:color="auto" w:fill="EDEFF2"/>
          </w:tcPr>
          <w:p w14:paraId="5CFCBC9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Quantity</w:t>
            </w:r>
          </w:p>
        </w:tc>
        <w:tc>
          <w:tcPr>
            <w:tcW w:w="0" w:type="auto"/>
            <w:shd w:val="clear" w:color="auto" w:fill="EDEFF2"/>
          </w:tcPr>
          <w:p w14:paraId="66DC061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Unit cost</w:t>
            </w:r>
          </w:p>
        </w:tc>
        <w:tc>
          <w:tcPr>
            <w:tcW w:w="0" w:type="auto"/>
            <w:shd w:val="clear" w:color="auto" w:fill="EDEFF2"/>
          </w:tcPr>
          <w:p w14:paraId="21E23E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Notes</w:t>
            </w:r>
          </w:p>
        </w:tc>
      </w:tr>
      <w:tr w:rsidR="00DB1607" w:rsidRPr="00B95EB3" w14:paraId="0BAE7D70" w14:textId="77777777">
        <w:tc>
          <w:tcPr>
            <w:tcW w:w="0" w:type="auto"/>
          </w:tcPr>
          <w:p w14:paraId="0E9A38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 DevKitC (WROOM-32)</w:t>
            </w:r>
          </w:p>
        </w:tc>
        <w:tc>
          <w:tcPr>
            <w:tcW w:w="0" w:type="auto"/>
          </w:tcPr>
          <w:p w14:paraId="4D7ADE5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7DB07A6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7653E6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Sensor node</w:t>
            </w:r>
          </w:p>
        </w:tc>
      </w:tr>
      <w:tr w:rsidR="00DB1607" w:rsidRPr="00B95EB3" w14:paraId="7E8DF67C" w14:textId="77777777">
        <w:tc>
          <w:tcPr>
            <w:tcW w:w="0" w:type="auto"/>
          </w:tcPr>
          <w:p w14:paraId="400EE20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ESP32-CAM module</w:t>
            </w:r>
          </w:p>
        </w:tc>
        <w:tc>
          <w:tcPr>
            <w:tcW w:w="0" w:type="auto"/>
          </w:tcPr>
          <w:p w14:paraId="1601935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557F1D7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8995CE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Imaging node</w:t>
            </w:r>
          </w:p>
        </w:tc>
      </w:tr>
      <w:tr w:rsidR="00DB1607" w:rsidRPr="00B95EB3" w14:paraId="7DB39E37" w14:textId="77777777">
        <w:tc>
          <w:tcPr>
            <w:tcW w:w="0" w:type="auto"/>
          </w:tcPr>
          <w:p w14:paraId="2735FAD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 waterproof probe</w:t>
            </w:r>
          </w:p>
        </w:tc>
        <w:tc>
          <w:tcPr>
            <w:tcW w:w="0" w:type="auto"/>
          </w:tcPr>
          <w:p w14:paraId="5CE402D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324E911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B20A05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Water temperature</w:t>
            </w:r>
          </w:p>
        </w:tc>
      </w:tr>
      <w:tr w:rsidR="00DB1607" w:rsidRPr="00B95EB3" w14:paraId="16EE810A" w14:textId="77777777">
        <w:tc>
          <w:tcPr>
            <w:tcW w:w="0" w:type="auto"/>
          </w:tcPr>
          <w:p w14:paraId="6EC98CC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Analogue TDS module and probe</w:t>
            </w:r>
          </w:p>
        </w:tc>
        <w:tc>
          <w:tcPr>
            <w:tcW w:w="0" w:type="auto"/>
          </w:tcPr>
          <w:p w14:paraId="452B992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349FFAD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7866B30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Total dissolved solids</w:t>
            </w:r>
          </w:p>
        </w:tc>
      </w:tr>
      <w:tr w:rsidR="00DB1607" w:rsidRPr="00B95EB3" w14:paraId="5E809D89" w14:textId="77777777">
        <w:tc>
          <w:tcPr>
            <w:tcW w:w="0" w:type="auto"/>
          </w:tcPr>
          <w:p w14:paraId="56D915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Gravity analogue industrial pH kit V2</w:t>
            </w:r>
          </w:p>
        </w:tc>
        <w:tc>
          <w:tcPr>
            <w:tcW w:w="0" w:type="auto"/>
          </w:tcPr>
          <w:p w14:paraId="61150AC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7F4BD33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1AF25A5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Largest single sensor cost</w:t>
            </w:r>
          </w:p>
        </w:tc>
      </w:tr>
      <w:tr w:rsidR="00DB1607" w:rsidRPr="00B95EB3" w14:paraId="58C64170" w14:textId="77777777">
        <w:tc>
          <w:tcPr>
            <w:tcW w:w="0" w:type="auto"/>
          </w:tcPr>
          <w:p w14:paraId="07287A1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 light sensor</w:t>
            </w:r>
          </w:p>
        </w:tc>
        <w:tc>
          <w:tcPr>
            <w:tcW w:w="0" w:type="auto"/>
          </w:tcPr>
          <w:p w14:paraId="36E1B99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0C990CB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668A0A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Ambient light</w:t>
            </w:r>
          </w:p>
        </w:tc>
      </w:tr>
      <w:tr w:rsidR="00DB1607" w:rsidRPr="00B95EB3" w14:paraId="70983920" w14:textId="77777777">
        <w:tc>
          <w:tcPr>
            <w:tcW w:w="0" w:type="auto"/>
          </w:tcPr>
          <w:p w14:paraId="48C951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GY-33 colour sensor module</w:t>
            </w:r>
          </w:p>
        </w:tc>
        <w:tc>
          <w:tcPr>
            <w:tcW w:w="0" w:type="auto"/>
          </w:tcPr>
          <w:p w14:paraId="6E37917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64D3E34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2FC340C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Ammonia indicator reader</w:t>
            </w:r>
          </w:p>
        </w:tc>
      </w:tr>
      <w:tr w:rsidR="00DB1607" w:rsidRPr="00B95EB3" w14:paraId="6A717945" w14:textId="77777777">
        <w:tc>
          <w:tcPr>
            <w:tcW w:w="0" w:type="auto"/>
          </w:tcPr>
          <w:p w14:paraId="1AD47AF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Colorimetric indicator badge</w:t>
            </w:r>
          </w:p>
        </w:tc>
        <w:tc>
          <w:tcPr>
            <w:tcW w:w="0" w:type="auto"/>
          </w:tcPr>
          <w:p w14:paraId="647EE0D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7284D3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6CBB59D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Consumable, replaced periodically</w:t>
            </w:r>
          </w:p>
        </w:tc>
      </w:tr>
      <w:tr w:rsidR="00DB1607" w:rsidRPr="00B95EB3" w14:paraId="4AE6CF2F" w14:textId="77777777">
        <w:tc>
          <w:tcPr>
            <w:tcW w:w="0" w:type="auto"/>
          </w:tcPr>
          <w:p w14:paraId="1E463D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Buck converter module</w:t>
            </w:r>
          </w:p>
        </w:tc>
        <w:tc>
          <w:tcPr>
            <w:tcW w:w="0" w:type="auto"/>
          </w:tcPr>
          <w:p w14:paraId="07C0DD9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w:t>
            </w:r>
          </w:p>
        </w:tc>
        <w:tc>
          <w:tcPr>
            <w:tcW w:w="0" w:type="auto"/>
          </w:tcPr>
          <w:p w14:paraId="0D00F50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78C57A0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Optional, for longer service</w:t>
            </w:r>
          </w:p>
        </w:tc>
      </w:tr>
      <w:tr w:rsidR="00DB1607" w:rsidRPr="00B95EB3" w14:paraId="2D390675" w14:textId="77777777">
        <w:tc>
          <w:tcPr>
            <w:tcW w:w="0" w:type="auto"/>
          </w:tcPr>
          <w:p w14:paraId="13A70EE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Battery holders and cells</w:t>
            </w:r>
          </w:p>
        </w:tc>
        <w:tc>
          <w:tcPr>
            <w:tcW w:w="0" w:type="auto"/>
          </w:tcPr>
          <w:p w14:paraId="0AF44D3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 sets</w:t>
            </w:r>
          </w:p>
        </w:tc>
        <w:tc>
          <w:tcPr>
            <w:tcW w:w="0" w:type="auto"/>
          </w:tcPr>
          <w:p w14:paraId="594272B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6537EAD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One per node</w:t>
            </w:r>
          </w:p>
        </w:tc>
      </w:tr>
      <w:tr w:rsidR="00DB1607" w:rsidRPr="00B95EB3" w14:paraId="2CB482C7" w14:textId="77777777">
        <w:tc>
          <w:tcPr>
            <w:tcW w:w="0" w:type="auto"/>
          </w:tcPr>
          <w:p w14:paraId="7FB993D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Enclosure, glands and connectors</w:t>
            </w:r>
          </w:p>
        </w:tc>
        <w:tc>
          <w:tcPr>
            <w:tcW w:w="0" w:type="auto"/>
          </w:tcPr>
          <w:p w14:paraId="0D6A6B9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 set</w:t>
            </w:r>
          </w:p>
        </w:tc>
        <w:tc>
          <w:tcPr>
            <w:tcW w:w="0" w:type="auto"/>
          </w:tcPr>
          <w:p w14:paraId="46AD4AE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11F66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Outdoor protection</w:t>
            </w:r>
          </w:p>
        </w:tc>
      </w:tr>
      <w:tr w:rsidR="00DB1607" w:rsidRPr="00B95EB3" w14:paraId="61E25E26" w14:textId="77777777">
        <w:tc>
          <w:tcPr>
            <w:tcW w:w="0" w:type="auto"/>
          </w:tcPr>
          <w:p w14:paraId="2409CF4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Total</w:t>
            </w:r>
          </w:p>
        </w:tc>
        <w:tc>
          <w:tcPr>
            <w:tcW w:w="0" w:type="auto"/>
          </w:tcPr>
          <w:p w14:paraId="2761CAF9" w14:textId="77777777" w:rsidR="00DB1607" w:rsidRPr="00B95EB3" w:rsidRDefault="00DB1607">
            <w:pPr>
              <w:pStyle w:val="Compact"/>
              <w:spacing w:before="20" w:after="20" w:line="264" w:lineRule="auto"/>
              <w:jc w:val="left"/>
              <w:rPr>
                <w:rFonts w:asciiTheme="majorHAnsi" w:hAnsiTheme="majorHAnsi" w:cstheme="majorHAnsi"/>
              </w:rPr>
            </w:pPr>
          </w:p>
        </w:tc>
        <w:tc>
          <w:tcPr>
            <w:tcW w:w="0" w:type="auto"/>
          </w:tcPr>
          <w:p w14:paraId="6DB46B1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3D7C3AA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Compare with direct sensing alternatives</w:t>
            </w:r>
          </w:p>
        </w:tc>
      </w:tr>
    </w:tbl>
    <w:p w14:paraId="4442B6F7"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lastRenderedPageBreak/>
        <w:t>The move from the RS485 pH front end to the analogue kit removed an 8 V buck converter, a 5 V buck converter and a ten-cell battery holder from the bill. The budget should be read against the direct-sensing alternatives reviewed in Chapter 2. Continuous nitrate instruments were reported at USD 15,000 to 25,000 per unit, and a lower-cost research prototype still reached about USD 800. Dissolved oxygen probes add recurring membrane costs. The colorimetric badge and the batteries are recurring costs an owner would carry, and both should be recorded rather than hidden in the one-off total.</w:t>
      </w:r>
    </w:p>
    <w:p w14:paraId="4E71EF6E" w14:textId="77777777" w:rsidR="00DB1607" w:rsidRPr="00B95EB3" w:rsidRDefault="00000000">
      <w:pPr>
        <w:pStyle w:val="Heading2"/>
        <w:rPr>
          <w:rFonts w:asciiTheme="majorHAnsi" w:hAnsiTheme="majorHAnsi" w:cstheme="majorHAnsi"/>
        </w:rPr>
      </w:pPr>
      <w:bookmarkStart w:id="149" w:name="chapter-summary"/>
      <w:bookmarkStart w:id="150" w:name="_Toc241565734"/>
      <w:bookmarkEnd w:id="147"/>
      <w:r w:rsidRPr="00B95EB3">
        <w:rPr>
          <w:rFonts w:asciiTheme="majorHAnsi" w:hAnsiTheme="majorHAnsi" w:cstheme="majorHAnsi"/>
        </w:rPr>
        <w:t>3.14 Chapter Summary</w:t>
      </w:r>
      <w:bookmarkEnd w:id="150"/>
    </w:p>
    <w:p w14:paraId="03FB36A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system uses two independent pond-side nodes, a hosted camera analysis service, a stateful digital twin service and a Flutter client, all sharing one Supabase store. The change from an RS485 pH front end to a 3.3 V analogue kit simplified the power design considerably: every sensor now runs from its own ESP32 GPIO pin, the 8 V and 5 V rails and their converters are gone, and battery life has become a question of the development board’s sleep current and the regulator’s efficiency, which the Tier 3 endurance run will measure.</w:t>
      </w:r>
    </w:p>
    <w:p w14:paraId="576CDA3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sensor node reads TDS first and pH last with only one sensor powered at a time and the radio off, which keeps TDS excitation and radio noise away from the pH reading. The camera service chooses the camera’s next wake from the current image and holds its baseline steady when the view is obstructed. The digital twin keeps its three engines in one locked, persisted object so that one event updates all of them together, and it validates every reading before use. The main implementation gaps are the sensor payload’s missing sample time and device identifier, single-frame state changes in the camera schedule, a poller that reads only the latest reading, and the deferred TDS prompting design, which now waits on the bench tests in Chapter 4.</w:t>
      </w:r>
    </w:p>
    <w:p w14:paraId="05FC749B" w14:textId="77777777" w:rsidR="00DB1607" w:rsidRPr="00B95EB3" w:rsidRDefault="00000000">
      <w:pPr>
        <w:pStyle w:val="Heading1"/>
        <w:rPr>
          <w:rFonts w:asciiTheme="majorHAnsi" w:hAnsiTheme="majorHAnsi" w:cstheme="majorHAnsi"/>
        </w:rPr>
      </w:pPr>
      <w:bookmarkStart w:id="151" w:name="chapter-4-experimental-framework"/>
      <w:bookmarkStart w:id="152" w:name="_Toc241565735"/>
      <w:bookmarkEnd w:id="60"/>
      <w:bookmarkEnd w:id="149"/>
      <w:r w:rsidRPr="00B95EB3">
        <w:rPr>
          <w:rFonts w:asciiTheme="majorHAnsi" w:hAnsiTheme="majorHAnsi" w:cstheme="majorHAnsi"/>
        </w:rPr>
        <w:lastRenderedPageBreak/>
        <w:t>Chapter 4: Experimental Framework</w:t>
      </w:r>
      <w:bookmarkEnd w:id="152"/>
    </w:p>
    <w:p w14:paraId="4112251E" w14:textId="77777777" w:rsidR="00DB1607" w:rsidRPr="00B95EB3" w:rsidRDefault="00000000">
      <w:pPr>
        <w:pStyle w:val="Heading2"/>
        <w:rPr>
          <w:rFonts w:asciiTheme="majorHAnsi" w:hAnsiTheme="majorHAnsi" w:cstheme="majorHAnsi"/>
        </w:rPr>
      </w:pPr>
      <w:bookmarkStart w:id="153" w:name="purpose-and-testing-philosophy"/>
      <w:bookmarkStart w:id="154" w:name="_Toc241565736"/>
      <w:r w:rsidRPr="00B95EB3">
        <w:rPr>
          <w:rFonts w:asciiTheme="majorHAnsi" w:hAnsiTheme="majorHAnsi" w:cstheme="majorHAnsi"/>
        </w:rPr>
        <w:t>4.1 Purpose and Testing Philosophy</w:t>
      </w:r>
      <w:bookmarkEnd w:id="154"/>
    </w:p>
    <w:p w14:paraId="7026BC5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chapter defines the test sequence, acceptance limits and records for the hardware and the assembled system. The criteria are fixed before testing so that the results in Chapter 6 are judged against targets set in advance rather than against whatever the data happened to show. The automated software tests, which verify the firmware logic, the camera service and the digital twin without hardware, are reported in Chapter 5.</w:t>
      </w:r>
    </w:p>
    <w:p w14:paraId="1913A07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Testing begins with bench checks on a current-limited supply because the pH probe, sensor boards and microcontrollers are slow to replace. Each part is checked alone before it is connected to the full system. This limits the hardware exposed to a wiring or supply fault and makes the cause of a failure easier to find. Short bench checks cover wiring, calibration and range faults. Longer outdoor runs are reserved for behaviour that depends on weather, mounting or a full day and night cycle.</w:t>
      </w:r>
    </w:p>
    <w:p w14:paraId="210070E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All tiers use the common record format in Section 4.7, which keeps the operating state, reference value and failure context needed for later analysis.</w:t>
      </w:r>
    </w:p>
    <w:p w14:paraId="28F89FDE" w14:textId="77777777" w:rsidR="00DB1607" w:rsidRPr="00B95EB3" w:rsidRDefault="00000000">
      <w:pPr>
        <w:pStyle w:val="Heading2"/>
        <w:rPr>
          <w:rFonts w:asciiTheme="majorHAnsi" w:hAnsiTheme="majorHAnsi" w:cstheme="majorHAnsi"/>
        </w:rPr>
      </w:pPr>
      <w:bookmarkStart w:id="155" w:name="three-test-tiers"/>
      <w:bookmarkStart w:id="156" w:name="_Toc241565737"/>
      <w:bookmarkEnd w:id="153"/>
      <w:r w:rsidRPr="00B95EB3">
        <w:rPr>
          <w:rFonts w:asciiTheme="majorHAnsi" w:hAnsiTheme="majorHAnsi" w:cstheme="majorHAnsi"/>
        </w:rPr>
        <w:t>4.2 Three Test Tiers</w:t>
      </w:r>
      <w:bookmarkEnd w:id="156"/>
    </w:p>
    <w:p w14:paraId="6519DFD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Testing is divided into bench checks, outdoor subsystem checks and full-system operation. A subsystem moves forward only after meeting the earlier tier’s acceptance limit.</w:t>
      </w:r>
    </w:p>
    <w:p w14:paraId="2CAD0CEE"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4.1. The three test tiers and what each is for.</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295"/>
        <w:gridCol w:w="3586"/>
        <w:gridCol w:w="1426"/>
        <w:gridCol w:w="1639"/>
        <w:gridCol w:w="1240"/>
      </w:tblGrid>
      <w:tr w:rsidR="00DB1607" w:rsidRPr="00B95EB3" w14:paraId="6012CD3E"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05D5C76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Tier</w:t>
            </w:r>
          </w:p>
        </w:tc>
        <w:tc>
          <w:tcPr>
            <w:tcW w:w="0" w:type="auto"/>
            <w:shd w:val="clear" w:color="auto" w:fill="EDEFF2"/>
          </w:tcPr>
          <w:p w14:paraId="7550669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Question answered</w:t>
            </w:r>
          </w:p>
        </w:tc>
        <w:tc>
          <w:tcPr>
            <w:tcW w:w="0" w:type="auto"/>
            <w:shd w:val="clear" w:color="auto" w:fill="EDEFF2"/>
          </w:tcPr>
          <w:p w14:paraId="287C2EA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Scope</w:t>
            </w:r>
          </w:p>
        </w:tc>
        <w:tc>
          <w:tcPr>
            <w:tcW w:w="0" w:type="auto"/>
            <w:shd w:val="clear" w:color="auto" w:fill="EDEFF2"/>
          </w:tcPr>
          <w:p w14:paraId="3F15C1D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Environment</w:t>
            </w:r>
          </w:p>
        </w:tc>
        <w:tc>
          <w:tcPr>
            <w:tcW w:w="0" w:type="auto"/>
            <w:shd w:val="clear" w:color="auto" w:fill="EDEFF2"/>
          </w:tcPr>
          <w:p w14:paraId="40BAF9E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Typical duration</w:t>
            </w:r>
          </w:p>
        </w:tc>
      </w:tr>
      <w:tr w:rsidR="00DB1607" w:rsidRPr="00B95EB3" w14:paraId="259395F3" w14:textId="77777777">
        <w:tc>
          <w:tcPr>
            <w:tcW w:w="0" w:type="auto"/>
          </w:tcPr>
          <w:p w14:paraId="4C589CB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1, Functional</w:t>
            </w:r>
          </w:p>
        </w:tc>
        <w:tc>
          <w:tcPr>
            <w:tcW w:w="0" w:type="auto"/>
          </w:tcPr>
          <w:p w14:paraId="7E7FEB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Does this part behave the way its datasheet says it should?</w:t>
            </w:r>
          </w:p>
        </w:tc>
        <w:tc>
          <w:tcPr>
            <w:tcW w:w="0" w:type="auto"/>
          </w:tcPr>
          <w:p w14:paraId="0C7F0AE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One subsystem at a time</w:t>
            </w:r>
          </w:p>
        </w:tc>
        <w:tc>
          <w:tcPr>
            <w:tcW w:w="0" w:type="auto"/>
          </w:tcPr>
          <w:p w14:paraId="00D1249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Indoor bench</w:t>
            </w:r>
          </w:p>
        </w:tc>
        <w:tc>
          <w:tcPr>
            <w:tcW w:w="0" w:type="auto"/>
          </w:tcPr>
          <w:p w14:paraId="7275A04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Minutes to hours</w:t>
            </w:r>
          </w:p>
        </w:tc>
      </w:tr>
      <w:tr w:rsidR="00DB1607" w:rsidRPr="00B95EB3" w14:paraId="1CEC0F70" w14:textId="77777777">
        <w:tc>
          <w:tcPr>
            <w:tcW w:w="0" w:type="auto"/>
          </w:tcPr>
          <w:p w14:paraId="29EC40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2, Operational</w:t>
            </w:r>
          </w:p>
        </w:tc>
        <w:tc>
          <w:tcPr>
            <w:tcW w:w="0" w:type="auto"/>
          </w:tcPr>
          <w:p w14:paraId="677540A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Does that behaviour survive a real pond and produce useful data?</w:t>
            </w:r>
          </w:p>
        </w:tc>
        <w:tc>
          <w:tcPr>
            <w:tcW w:w="0" w:type="auto"/>
          </w:tcPr>
          <w:p w14:paraId="183F3CC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One subsystem at a time</w:t>
            </w:r>
          </w:p>
        </w:tc>
        <w:tc>
          <w:tcPr>
            <w:tcW w:w="0" w:type="auto"/>
          </w:tcPr>
          <w:p w14:paraId="4D0BC23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Outdoor, beside the pond</w:t>
            </w:r>
          </w:p>
        </w:tc>
        <w:tc>
          <w:tcPr>
            <w:tcW w:w="0" w:type="auto"/>
          </w:tcPr>
          <w:p w14:paraId="5727621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One to two days</w:t>
            </w:r>
          </w:p>
        </w:tc>
      </w:tr>
      <w:tr w:rsidR="00DB1607" w:rsidRPr="00B95EB3" w14:paraId="1053C7DD" w14:textId="77777777">
        <w:tc>
          <w:tcPr>
            <w:tcW w:w="0" w:type="auto"/>
          </w:tcPr>
          <w:p w14:paraId="2718FCC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Tier 3, Full system</w:t>
            </w:r>
          </w:p>
        </w:tc>
        <w:tc>
          <w:tcPr>
            <w:tcW w:w="0" w:type="auto"/>
          </w:tcPr>
          <w:p w14:paraId="04A7186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Do the parts work together, and does the assembled system meet its non-functional targets?</w:t>
            </w:r>
          </w:p>
        </w:tc>
        <w:tc>
          <w:tcPr>
            <w:tcW w:w="0" w:type="auto"/>
          </w:tcPr>
          <w:p w14:paraId="195F9E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Complete system</w:t>
            </w:r>
          </w:p>
        </w:tc>
        <w:tc>
          <w:tcPr>
            <w:tcW w:w="0" w:type="auto"/>
          </w:tcPr>
          <w:p w14:paraId="0461BC5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Indoor run and outdoor run</w:t>
            </w:r>
          </w:p>
        </w:tc>
        <w:tc>
          <w:tcPr>
            <w:tcW w:w="0" w:type="auto"/>
          </w:tcPr>
          <w:p w14:paraId="3482932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Hours to several days</w:t>
            </w:r>
          </w:p>
        </w:tc>
      </w:tr>
    </w:tbl>
    <w:p w14:paraId="79271F75"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Tier 1 catches supply, wiring, response and calibration faults. Tier 2 checks whether a working subsystem stays useful beside the pond. Tier 3 is then limited to interactions between parts, communication reliability and power use.</w:t>
      </w:r>
    </w:p>
    <w:p w14:paraId="6CEEB1DB" w14:textId="77777777" w:rsidR="00DB1607" w:rsidRPr="00B95EB3" w:rsidRDefault="00000000">
      <w:pPr>
        <w:pStyle w:val="Heading2"/>
        <w:rPr>
          <w:rFonts w:asciiTheme="majorHAnsi" w:hAnsiTheme="majorHAnsi" w:cstheme="majorHAnsi"/>
        </w:rPr>
      </w:pPr>
      <w:bookmarkStart w:id="157" w:name="equipment-protection-protocol"/>
      <w:bookmarkStart w:id="158" w:name="_Toc241565738"/>
      <w:bookmarkEnd w:id="155"/>
      <w:r w:rsidRPr="00B95EB3">
        <w:rPr>
          <w:rFonts w:asciiTheme="majorHAnsi" w:hAnsiTheme="majorHAnsi" w:cstheme="majorHAnsi"/>
        </w:rPr>
        <w:lastRenderedPageBreak/>
        <w:t>4.3 Equipment Protection Protocol</w:t>
      </w:r>
      <w:bookmarkEnd w:id="158"/>
    </w:p>
    <w:p w14:paraId="1C29FD3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following controls apply before powered testing.</w:t>
      </w:r>
    </w:p>
    <w:p w14:paraId="11E32A87" w14:textId="77777777" w:rsidR="00DB1607" w:rsidRPr="00B95EB3" w:rsidRDefault="00000000">
      <w:pPr>
        <w:pStyle w:val="Compact"/>
        <w:numPr>
          <w:ilvl w:val="0"/>
          <w:numId w:val="5"/>
        </w:numPr>
        <w:rPr>
          <w:rFonts w:asciiTheme="majorHAnsi" w:hAnsiTheme="majorHAnsi" w:cstheme="majorHAnsi"/>
        </w:rPr>
      </w:pPr>
      <w:r w:rsidRPr="00B95EB3">
        <w:rPr>
          <w:rFonts w:asciiTheme="majorHAnsi" w:hAnsiTheme="majorHAnsi" w:cstheme="majorHAnsi"/>
        </w:rPr>
        <w:t>Measure the regulated 3.3 V rail and each sensor power pin before connecting a module, and confirm signal levels before connecting a data line.</w:t>
      </w:r>
    </w:p>
    <w:p w14:paraId="52E33BD5" w14:textId="77777777" w:rsidR="00DB1607" w:rsidRPr="00B95EB3" w:rsidRDefault="00000000">
      <w:pPr>
        <w:pStyle w:val="Compact"/>
        <w:numPr>
          <w:ilvl w:val="0"/>
          <w:numId w:val="5"/>
        </w:numPr>
        <w:rPr>
          <w:rFonts w:asciiTheme="majorHAnsi" w:hAnsiTheme="majorHAnsi" w:cstheme="majorHAnsi"/>
        </w:rPr>
      </w:pPr>
      <w:r w:rsidRPr="00B95EB3">
        <w:rPr>
          <w:rFonts w:asciiTheme="majorHAnsi" w:hAnsiTheme="majorHAnsi" w:cstheme="majorHAnsi"/>
        </w:rPr>
        <w:t>Bring up new hardware from a current-limited bench supply. Add one sensor at a time and check its idle and active current before continuing.</w:t>
      </w:r>
    </w:p>
    <w:p w14:paraId="727B3C75" w14:textId="77777777" w:rsidR="00DB1607" w:rsidRPr="00B95EB3" w:rsidRDefault="00000000">
      <w:pPr>
        <w:pStyle w:val="Compact"/>
        <w:numPr>
          <w:ilvl w:val="0"/>
          <w:numId w:val="5"/>
        </w:numPr>
        <w:rPr>
          <w:rFonts w:asciiTheme="majorHAnsi" w:hAnsiTheme="majorHAnsi" w:cstheme="majorHAnsi"/>
        </w:rPr>
      </w:pPr>
      <w:r w:rsidRPr="00B95EB3">
        <w:rPr>
          <w:rFonts w:asciiTheme="majorHAnsi" w:hAnsiTheme="majorHAnsi" w:cstheme="majorHAnsi"/>
        </w:rPr>
        <w:t>Check water-contact probes in a bench container first. Keep the pH probe wet and return it to storage solution between checks.</w:t>
      </w:r>
    </w:p>
    <w:p w14:paraId="7CCB4BC9" w14:textId="77777777" w:rsidR="00DB1607" w:rsidRPr="00B95EB3" w:rsidRDefault="00000000">
      <w:pPr>
        <w:pStyle w:val="Compact"/>
        <w:numPr>
          <w:ilvl w:val="0"/>
          <w:numId w:val="5"/>
        </w:numPr>
        <w:rPr>
          <w:rFonts w:asciiTheme="majorHAnsi" w:hAnsiTheme="majorHAnsi" w:cstheme="majorHAnsi"/>
        </w:rPr>
      </w:pPr>
      <w:r w:rsidRPr="00B95EB3">
        <w:rPr>
          <w:rFonts w:asciiTheme="majorHAnsi" w:hAnsiTheme="majorHAnsi" w:cstheme="majorHAnsi"/>
        </w:rPr>
        <w:t>Check the empty enclosure for water entry before fitting electronics, including cable glands and the camera window.</w:t>
      </w:r>
    </w:p>
    <w:p w14:paraId="1E2764D1" w14:textId="77777777" w:rsidR="00DB1607" w:rsidRPr="00B95EB3" w:rsidRDefault="00000000">
      <w:pPr>
        <w:pStyle w:val="Compact"/>
        <w:numPr>
          <w:ilvl w:val="0"/>
          <w:numId w:val="5"/>
        </w:numPr>
        <w:rPr>
          <w:rFonts w:asciiTheme="majorHAnsi" w:hAnsiTheme="majorHAnsi" w:cstheme="majorHAnsi"/>
        </w:rPr>
      </w:pPr>
      <w:r w:rsidRPr="00B95EB3">
        <w:rPr>
          <w:rFonts w:asciiTheme="majorHAnsi" w:hAnsiTheme="majorHAnsi" w:cstheme="majorHAnsi"/>
        </w:rPr>
        <w:t>Use cells of the same type, age and charge state in each pack. Disconnect the pack from unfinished circuits when work stops.</w:t>
      </w:r>
    </w:p>
    <w:p w14:paraId="68537712" w14:textId="77777777" w:rsidR="00DB1607" w:rsidRPr="00B95EB3" w:rsidRDefault="00000000">
      <w:pPr>
        <w:pStyle w:val="Heading2"/>
        <w:rPr>
          <w:rFonts w:asciiTheme="majorHAnsi" w:hAnsiTheme="majorHAnsi" w:cstheme="majorHAnsi"/>
        </w:rPr>
      </w:pPr>
      <w:bookmarkStart w:id="159" w:name="tier-1-functional-subsystem-tests"/>
      <w:bookmarkStart w:id="160" w:name="_Toc241565739"/>
      <w:bookmarkEnd w:id="157"/>
      <w:r w:rsidRPr="00B95EB3">
        <w:rPr>
          <w:rFonts w:asciiTheme="majorHAnsi" w:hAnsiTheme="majorHAnsi" w:cstheme="majorHAnsi"/>
        </w:rPr>
        <w:t>4.4 Tier 1: Functional Subsystem Tests</w:t>
      </w:r>
      <w:bookmarkEnd w:id="160"/>
    </w:p>
    <w:p w14:paraId="650BE2E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Tier 1 checks response, calibration and current draw on the bench. Each sensor is exposed to a known input covering the intended pond range, and the reading is compared with a reference or with the limit stated in Chapter 3. The node’s service mode (Section 3.4.4) runs each of these tests without reflashing: it can read one sensor alone, calibrate against a buffer or standard, log a 30-second settling curve and scan the I2C buses.</w:t>
      </w:r>
    </w:p>
    <w:p w14:paraId="140B9673" w14:textId="77777777" w:rsidR="00DB1607" w:rsidRPr="00B95EB3" w:rsidRDefault="00000000">
      <w:pPr>
        <w:pStyle w:val="Heading3"/>
        <w:rPr>
          <w:rFonts w:asciiTheme="majorHAnsi" w:hAnsiTheme="majorHAnsi" w:cstheme="majorHAnsi"/>
        </w:rPr>
      </w:pPr>
      <w:bookmarkStart w:id="161" w:name="temperature-channel"/>
      <w:bookmarkStart w:id="162" w:name="_Toc241565740"/>
      <w:r w:rsidRPr="00B95EB3">
        <w:rPr>
          <w:rFonts w:asciiTheme="majorHAnsi" w:hAnsiTheme="majorHAnsi" w:cstheme="majorHAnsi"/>
        </w:rPr>
        <w:t>4.4.1 Temperature Channel</w:t>
      </w:r>
      <w:bookmarkEnd w:id="162"/>
    </w:p>
    <w:p w14:paraId="1B9782E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DS18B20 and a reference thermometer are placed in the same water bath at several settled points between about 20 °C and 40 °C. The channel passes when its reading stays within the stated ±0.5 °C. The time, both readings and their difference are recorded. The firmware’s rejection logic is also checked by disconnecting the data line during a reading, which should produce a logged failure and no reported temperature.</w:t>
      </w:r>
    </w:p>
    <w:p w14:paraId="1E85E2EA" w14:textId="77777777" w:rsidR="00DB1607" w:rsidRPr="00B95EB3" w:rsidRDefault="00000000">
      <w:pPr>
        <w:pStyle w:val="Heading3"/>
        <w:rPr>
          <w:rFonts w:asciiTheme="majorHAnsi" w:hAnsiTheme="majorHAnsi" w:cstheme="majorHAnsi"/>
        </w:rPr>
      </w:pPr>
      <w:bookmarkStart w:id="163" w:name="ph-channel"/>
      <w:bookmarkStart w:id="164" w:name="_Toc241565741"/>
      <w:bookmarkEnd w:id="161"/>
      <w:r w:rsidRPr="00B95EB3">
        <w:rPr>
          <w:rFonts w:asciiTheme="majorHAnsi" w:hAnsiTheme="majorHAnsi" w:cstheme="majorHAnsi"/>
        </w:rPr>
        <w:t>4.4.2 pH Channel</w:t>
      </w:r>
      <w:bookmarkEnd w:id="164"/>
    </w:p>
    <w:p w14:paraId="115EDC5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b/>
          <w:bCs/>
        </w:rPr>
        <w:t>Calibration.</w:t>
      </w:r>
      <w:r w:rsidRPr="00B95EB3">
        <w:rPr>
          <w:rFonts w:asciiTheme="majorHAnsi" w:hAnsiTheme="majorHAnsi" w:cstheme="majorHAnsi"/>
        </w:rPr>
        <w:t xml:space="preserve"> The pH channel is calibrated with the buffers the firmware supports (pH 6.86, 7.00, 9.18 and 10.01), using at least two that bracket the expected pond range. A pH 4.0 buffer is used as an independent check point outside the fit. The sequence is repeated after rinsing. A valid response falls monotonically with rising pH, lies within ±0.1 pH of each buffer after calibration and repeats on the second pass. The record includes the buffer, its </w:t>
      </w:r>
      <w:r w:rsidRPr="00B95EB3">
        <w:rPr>
          <w:rFonts w:asciiTheme="majorHAnsi" w:hAnsiTheme="majorHAnsi" w:cstheme="majorHAnsi"/>
        </w:rPr>
        <w:lastRenderedPageBreak/>
        <w:t>temperature-corrected value, the raw millivolt reading, the converted pH and the water temperature.</w:t>
      </w:r>
    </w:p>
    <w:p w14:paraId="7F36B07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Buffer solutions are used rather than household acids and bases because a defensible calibration needs a known pH. Vinegar and similar substances only show that the output moves in the right direction.</w:t>
      </w:r>
    </w:p>
    <w:p w14:paraId="701CC96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Settling time.</w:t>
      </w:r>
      <w:r w:rsidRPr="00B95EB3">
        <w:rPr>
          <w:rFonts w:asciiTheme="majorHAnsi" w:hAnsiTheme="majorHAnsi" w:cstheme="majorHAnsi"/>
        </w:rPr>
        <w:t xml:space="preserve"> The node’s settle log records the pH board’s output every 100 ms for 30 s after power-on, with the probe in a buffer and again in pond water. The curve shows when the output stops moving, which is used to check the 3 mV acceptance tolerance and the 5 s upper limit of the adaptive settle (Section 3.2.5). If the curve is still moving after 5 s, the upper limit is raised. Comparing the buffer and pond-water curves also tests the assumption that the settle window covers the board’s start-up and not the electrode’s chemical response.</w:t>
      </w:r>
    </w:p>
    <w:p w14:paraId="1B675E2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TDS interference.</w:t>
      </w:r>
      <w:r w:rsidRPr="00B95EB3">
        <w:rPr>
          <w:rFonts w:asciiTheme="majorHAnsi" w:hAnsiTheme="majorHAnsi" w:cstheme="majorHAnsi"/>
        </w:rPr>
        <w:t xml:space="preserve"> With both probes in the same container, pH is read over 20 cycles with the TDS probe in the water, then 20 cycles with it removed. The sequence already keeps the TDS board unpowered during the pH reading, so this test measures what remains: charge left in the water and any ground path between the probes. A mean shift larger than the probe’s ±0.1 pH accuracy means galvanic isolation is required (Section 3.4.3).</w:t>
      </w:r>
    </w:p>
    <w:p w14:paraId="6793704E" w14:textId="77777777" w:rsidR="00DB1607" w:rsidRPr="00B95EB3" w:rsidRDefault="00000000">
      <w:pPr>
        <w:pStyle w:val="Heading3"/>
        <w:rPr>
          <w:rFonts w:asciiTheme="majorHAnsi" w:hAnsiTheme="majorHAnsi" w:cstheme="majorHAnsi"/>
        </w:rPr>
      </w:pPr>
      <w:bookmarkStart w:id="165" w:name="tds-channel"/>
      <w:bookmarkStart w:id="166" w:name="_Toc241565742"/>
      <w:bookmarkEnd w:id="163"/>
      <w:r w:rsidRPr="00B95EB3">
        <w:rPr>
          <w:rFonts w:asciiTheme="majorHAnsi" w:hAnsiTheme="majorHAnsi" w:cstheme="majorHAnsi"/>
        </w:rPr>
        <w:t>4.4.3 TDS Channel</w:t>
      </w:r>
      <w:bookmarkEnd w:id="166"/>
    </w:p>
    <w:p w14:paraId="1E48496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The TDS channel is checked across prepared conductivity levels and then at different temperatures with concentration held fixed. The reading must rise consistently with dissolved content and stay within the module’s stated tolerance. The corrected value should move less with temperature than the raw value. Raw millivolts, corrected TDS, temperature and the reference concentration are recorded together. The single-point </w:t>
      </w:r>
      <w:r w:rsidRPr="00B95EB3">
        <w:rPr>
          <w:rFonts w:asciiTheme="majorHAnsi" w:hAnsiTheme="majorHAnsi" w:cstheme="majorHAnsi"/>
          <w:i/>
          <w:iCs/>
        </w:rPr>
        <w:t>K</w:t>
      </w:r>
      <w:r w:rsidRPr="00B95EB3">
        <w:rPr>
          <w:rFonts w:asciiTheme="majorHAnsi" w:hAnsiTheme="majorHAnsi" w:cstheme="majorHAnsi"/>
        </w:rPr>
        <w:t xml:space="preserve"> calibration (Section 3.2.4) is checked at a second standard concentration. If the error at the second point exceeds 10 %, a two-point calibration is added.</w:t>
      </w:r>
    </w:p>
    <w:p w14:paraId="563427C4" w14:textId="77777777" w:rsidR="00DB1607" w:rsidRPr="00B95EB3" w:rsidRDefault="00000000">
      <w:pPr>
        <w:pStyle w:val="Heading4"/>
        <w:rPr>
          <w:rFonts w:asciiTheme="majorHAnsi" w:hAnsiTheme="majorHAnsi" w:cstheme="majorHAnsi"/>
        </w:rPr>
      </w:pPr>
      <w:bookmarkStart w:id="167" w:name="viability-of-tds-as-a-context-log"/>
      <w:r w:rsidRPr="00B95EB3">
        <w:rPr>
          <w:rFonts w:asciiTheme="majorHAnsi" w:hAnsiTheme="majorHAnsi" w:cstheme="majorHAnsi"/>
        </w:rPr>
        <w:t>4.4.3.1 Viability of TDS as a Context Log</w:t>
      </w:r>
    </w:p>
    <w:p w14:paraId="29E66B0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 xml:space="preserve">Section 3.9.4 deferred the TDS prompting design until two questions are answered: can the channel resolve realistic event steps above its own noise, and would a simple detection rule prompt the owner too often on quiet days. The following tests answer both. They use the </w:t>
      </w:r>
      <w:r w:rsidRPr="00B95EB3">
        <w:rPr>
          <w:rFonts w:asciiTheme="majorHAnsi" w:hAnsiTheme="majorHAnsi" w:cstheme="majorHAnsi"/>
        </w:rPr>
        <w:lastRenderedPageBreak/>
        <w:t>existing node and a 100 L bucket without fish, and they need no new software beyond an offline script run on the logged data.</w:t>
      </w:r>
    </w:p>
    <w:p w14:paraId="07A41FA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4.2. Tests that decide whether TDS is useful as a context log.</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370"/>
        <w:gridCol w:w="3471"/>
        <w:gridCol w:w="2264"/>
        <w:gridCol w:w="2081"/>
      </w:tblGrid>
      <w:tr w:rsidR="00DB1607" w:rsidRPr="00B95EB3" w14:paraId="68DC8BC2"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3E5EB05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Test</w:t>
            </w:r>
          </w:p>
        </w:tc>
        <w:tc>
          <w:tcPr>
            <w:tcW w:w="0" w:type="auto"/>
            <w:shd w:val="clear" w:color="auto" w:fill="EDEFF2"/>
          </w:tcPr>
          <w:p w14:paraId="519FEA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Method</w:t>
            </w:r>
          </w:p>
        </w:tc>
        <w:tc>
          <w:tcPr>
            <w:tcW w:w="0" w:type="auto"/>
            <w:shd w:val="clear" w:color="auto" w:fill="EDEFF2"/>
          </w:tcPr>
          <w:p w14:paraId="7EFAA5F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Measures</w:t>
            </w:r>
          </w:p>
        </w:tc>
        <w:tc>
          <w:tcPr>
            <w:tcW w:w="0" w:type="auto"/>
            <w:shd w:val="clear" w:color="auto" w:fill="EDEFF2"/>
          </w:tcPr>
          <w:p w14:paraId="70BEF5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Pass condition</w:t>
            </w:r>
          </w:p>
        </w:tc>
      </w:tr>
      <w:tr w:rsidR="00DB1607" w:rsidRPr="00B95EB3" w14:paraId="1AAB2281" w14:textId="77777777">
        <w:tc>
          <w:tcPr>
            <w:tcW w:w="0" w:type="auto"/>
          </w:tcPr>
          <w:p w14:paraId="6FEA791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T1 Detection floor</w:t>
            </w:r>
          </w:p>
        </w:tc>
        <w:tc>
          <w:tcPr>
            <w:tcW w:w="0" w:type="auto"/>
          </w:tcPr>
          <w:p w14:paraId="1134BC4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Probe in a sealed standard solution at steady temperature, logged for 24 h to 48 h with the normal power-on, settle, sample, power-off cycle</w:t>
            </w:r>
          </w:p>
        </w:tc>
        <w:tc>
          <w:tcPr>
            <w:tcW w:w="0" w:type="auto"/>
          </w:tcPr>
          <w:p w14:paraId="2F28B88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Spread between readings, drift per day, repeatability after each power cycle</w:t>
            </w:r>
          </w:p>
        </w:tc>
        <w:tc>
          <w:tcPr>
            <w:tcW w:w="0" w:type="auto"/>
          </w:tcPr>
          <w:p w14:paraId="483B013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Detection floor defined as three times the reading spread</w:t>
            </w:r>
          </w:p>
        </w:tc>
      </w:tr>
      <w:tr w:rsidR="00DB1607" w:rsidRPr="00B95EB3" w14:paraId="01A2248D" w14:textId="77777777">
        <w:tc>
          <w:tcPr>
            <w:tcW w:w="0" w:type="auto"/>
          </w:tcPr>
          <w:p w14:paraId="3257822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T2 Temperature residual</w:t>
            </w:r>
          </w:p>
        </w:tc>
        <w:tc>
          <w:tcPr>
            <w:tcW w:w="0" w:type="auto"/>
          </w:tcPr>
          <w:p w14:paraId="622A1E5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Same solution taken through a daily temperature swing of 4 °C to 6 °C, for example a covered bucket outdoors</w:t>
            </w:r>
          </w:p>
        </w:tc>
        <w:tc>
          <w:tcPr>
            <w:tcW w:w="0" w:type="auto"/>
          </w:tcPr>
          <w:p w14:paraId="04D9C9B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Movement of compensated TDS with temperature</w:t>
            </w:r>
          </w:p>
        </w:tc>
        <w:tc>
          <w:tcPr>
            <w:tcW w:w="0" w:type="auto"/>
          </w:tcPr>
          <w:p w14:paraId="321C457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Compensated TDS stays within the T1 floor across the swing</w:t>
            </w:r>
          </w:p>
        </w:tc>
      </w:tr>
      <w:tr w:rsidR="00DB1607" w:rsidRPr="00B95EB3" w14:paraId="6F25C07A" w14:textId="77777777">
        <w:tc>
          <w:tcPr>
            <w:tcW w:w="0" w:type="auto"/>
          </w:tcPr>
          <w:p w14:paraId="4460F6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T3 Known-dose events</w:t>
            </w:r>
          </w:p>
        </w:tc>
        <w:tc>
          <w:tcPr>
            <w:tcW w:w="0" w:type="auto"/>
          </w:tcPr>
          <w:p w14:paraId="56E8546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Water change of known fraction with measured tap water, and a known salt dose, in the bucket</w:t>
            </w:r>
          </w:p>
        </w:tc>
        <w:tc>
          <w:tcPr>
            <w:tcW w:w="0" w:type="auto"/>
          </w:tcPr>
          <w:p w14:paraId="29FA375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Measured step against the step predicted in advance</w:t>
            </w:r>
          </w:p>
        </w:tc>
        <w:tc>
          <w:tcPr>
            <w:tcW w:w="0" w:type="auto"/>
          </w:tcPr>
          <w:p w14:paraId="7F29516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Measured step within ±20 % of prediction, or within the T1 floor</w:t>
            </w:r>
          </w:p>
        </w:tc>
      </w:tr>
      <w:tr w:rsidR="00DB1607" w:rsidRPr="00B95EB3" w14:paraId="31A5CEA3" w14:textId="77777777">
        <w:tc>
          <w:tcPr>
            <w:tcW w:w="0" w:type="auto"/>
          </w:tcPr>
          <w:p w14:paraId="1655E82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T4 False prompts</w:t>
            </w:r>
          </w:p>
        </w:tc>
        <w:tc>
          <w:tcPr>
            <w:tcW w:w="0" w:type="auto"/>
          </w:tcPr>
          <w:p w14:paraId="78B806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step rule applied offline to the logged series, flagging a change above the T1 floor that persists for more than one reading against a rolling baseline</w:t>
            </w:r>
          </w:p>
        </w:tc>
        <w:tc>
          <w:tcPr>
            <w:tcW w:w="0" w:type="auto"/>
          </w:tcPr>
          <w:p w14:paraId="46D65B3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Hits on the known events, and flags on days with no event</w:t>
            </w:r>
          </w:p>
        </w:tc>
        <w:tc>
          <w:tcPr>
            <w:tcW w:w="0" w:type="auto"/>
          </w:tcPr>
          <w:p w14:paraId="287528A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T3 events detected and at most one false flag per week</w:t>
            </w:r>
          </w:p>
        </w:tc>
      </w:tr>
    </w:tbl>
    <w:p w14:paraId="40F504A1"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T1 comes first because its result sets the detection floor used by the other three tests. Powering the probe on and off every cycle is the part of the TDS measurement not yet characterised, since most published TDS results come from probes left powered.</w:t>
      </w:r>
    </w:p>
    <w:p w14:paraId="12BF5DEC"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T2 matters because an outdoor pond’s water temperature can swing 4 °C to 6 °C in a day. If the compensated reading still follows temperature, the daily cycle will look like a series of events and T4 will fail.</w:t>
      </w:r>
    </w:p>
    <w:p w14:paraId="5282DA8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 xml:space="preserve">T3 carries the most weight because the effect of each event on TDS can be calculated before it is applied. A water change of fraction </w:t>
      </w:r>
      <w:r w:rsidRPr="00B95EB3">
        <w:rPr>
          <w:rFonts w:asciiTheme="majorHAnsi" w:hAnsiTheme="majorHAnsi" w:cstheme="majorHAnsi"/>
          <w:i/>
          <w:iCs/>
        </w:rPr>
        <w:t>f</w:t>
      </w:r>
      <w:r w:rsidRPr="00B95EB3">
        <w:rPr>
          <w:rFonts w:asciiTheme="majorHAnsi" w:hAnsiTheme="majorHAnsi" w:cstheme="majorHAnsi"/>
        </w:rPr>
        <w:t xml:space="preserve"> gives TDS_new = TDS_old × (1 − </w:t>
      </w:r>
      <w:r w:rsidRPr="00B95EB3">
        <w:rPr>
          <w:rFonts w:asciiTheme="majorHAnsi" w:hAnsiTheme="majorHAnsi" w:cstheme="majorHAnsi"/>
          <w:i/>
          <w:iCs/>
        </w:rPr>
        <w:t>f</w:t>
      </w:r>
      <w:r w:rsidRPr="00B95EB3">
        <w:rPr>
          <w:rFonts w:asciiTheme="majorHAnsi" w:hAnsiTheme="majorHAnsi" w:cstheme="majorHAnsi"/>
        </w:rPr>
        <w:t xml:space="preserve">) + TDS_tap × </w:t>
      </w:r>
      <w:r w:rsidRPr="00B95EB3">
        <w:rPr>
          <w:rFonts w:asciiTheme="majorHAnsi" w:hAnsiTheme="majorHAnsi" w:cstheme="majorHAnsi"/>
          <w:i/>
          <w:iCs/>
        </w:rPr>
        <w:t>f</w:t>
      </w:r>
      <w:r w:rsidRPr="00B95EB3">
        <w:rPr>
          <w:rFonts w:asciiTheme="majorHAnsi" w:hAnsiTheme="majorHAnsi" w:cstheme="majorHAnsi"/>
        </w:rPr>
        <w:t>. In a 100 L bucket at about 250 ppm, a 20 % change with 50 ppm tap water should lower the reading by about 40 ppm. A 5 g salt dose in the same bucket should raise it by roughly 50 ppm. The tap water’s own TDS is measured first, since the digital twin currently assumes 30 ppm. Rain can be simulated as a water change with TDS_tap close to zero. An optional lid-on and lid-off bucket pair tests evaporation: at 5 mm per day on a 30 cm deep bucket, concentration should raise TDS by about 4 ppm per day, which is close to the likely detection floor and would appear only as a slope over several days. This is why the evaporation engine compares multi-day slopes rather than single steps.</w:t>
      </w:r>
    </w:p>
    <w:p w14:paraId="01059AC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T4 decides whether the prompting design is worth building. The false-flag rate on quiet days sets how often an owner would be asked a question with no good answer, and a target of at most one per week is a judgement about what an owner would tolerate.</w:t>
      </w:r>
    </w:p>
    <w:p w14:paraId="4F0F66D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tests also include one expected negative result. A daily feed of 10 g at 35 % protein in a 1000 L pond adds about 0.4 mg/L of ammonium nitrogen per day (using a 16 % nitrogen content of protein and 70 % excretion), which corresponds to roughly 1 ppm of TDS per day. This is likely below the T1 floor, so feeding should not be visible in TDS from day to day. Confirming this with bucket data turns the rule that TDS alone cannot raise the ammonia estimate (Section 3.9.4) from a stated assumption into a measured result.</w:t>
      </w:r>
    </w:p>
    <w:p w14:paraId="1CE8EF7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If all four tests pass, the prompting design in Section 3.9.4 has evidence behind it. If T1 or T2 fail, the TDS channel stays a logged trend and an evaporation cross-check, and the report records the reason.</w:t>
      </w:r>
    </w:p>
    <w:p w14:paraId="2F3797BA" w14:textId="77777777" w:rsidR="00DB1607" w:rsidRPr="00B95EB3" w:rsidRDefault="00000000">
      <w:pPr>
        <w:pStyle w:val="Heading3"/>
        <w:rPr>
          <w:rFonts w:asciiTheme="majorHAnsi" w:hAnsiTheme="majorHAnsi" w:cstheme="majorHAnsi"/>
        </w:rPr>
      </w:pPr>
      <w:bookmarkStart w:id="168" w:name="light-channel"/>
      <w:bookmarkStart w:id="169" w:name="_Toc241565743"/>
      <w:bookmarkEnd w:id="165"/>
      <w:bookmarkEnd w:id="167"/>
      <w:r w:rsidRPr="00B95EB3">
        <w:rPr>
          <w:rFonts w:asciiTheme="majorHAnsi" w:hAnsiTheme="majorHAnsi" w:cstheme="majorHAnsi"/>
        </w:rPr>
        <w:t>4.4.4 Light Channel</w:t>
      </w:r>
      <w:bookmarkEnd w:id="169"/>
    </w:p>
    <w:p w14:paraId="02C478D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light sensor is read in a dark enclosure, under indoor light, in outdoor shade and in direct sun. These conditions test both ends of its range and the automatic gain steps between them. The channel passes if the conditions stay clearly separated, with no unflagged saturation in sun and no false zero indoors. The selected gain is recorded with each reading.</w:t>
      </w:r>
    </w:p>
    <w:p w14:paraId="465C8169" w14:textId="77777777" w:rsidR="00DB1607" w:rsidRPr="00B95EB3" w:rsidRDefault="00000000">
      <w:pPr>
        <w:pStyle w:val="Heading3"/>
        <w:rPr>
          <w:rFonts w:asciiTheme="majorHAnsi" w:hAnsiTheme="majorHAnsi" w:cstheme="majorHAnsi"/>
        </w:rPr>
      </w:pPr>
      <w:bookmarkStart w:id="170" w:name="X576740eee65697c2e1fa426e446429ed530ad1a"/>
      <w:bookmarkStart w:id="171" w:name="_Toc241565744"/>
      <w:bookmarkEnd w:id="168"/>
      <w:r w:rsidRPr="00B95EB3">
        <w:rPr>
          <w:rFonts w:asciiTheme="majorHAnsi" w:hAnsiTheme="majorHAnsi" w:cstheme="majorHAnsi"/>
        </w:rPr>
        <w:t>4.4.5 Colour Sensor and Colorimetric Badge Channel</w:t>
      </w:r>
      <w:bookmarkEnd w:id="171"/>
    </w:p>
    <w:p w14:paraId="65DD608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channel carries the most uncertainty of any in the system, because it has the least established precedent at this scale. It therefore receives the most careful functional test.</w:t>
      </w:r>
    </w:p>
    <w:p w14:paraId="78CDF60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Each printed badge band is presented at a fixed distance under the sensor’s own LEDs. The sequence is repeated with the enclosure closed. The raw colour channels and derived ratio must separate the bands and remain stable when ambient light is removed.</w:t>
      </w:r>
    </w:p>
    <w:p w14:paraId="106497E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reference chart is used at this stage rather than a real badge in pond water because the chart presents known colours on demand, while a real badge only changes colour when the water chemistry changes, which cannot be produced quickly or safely on a bench. Confirming the sensor can read known colours is a precondition for trusting it to read unknown ones.</w:t>
      </w:r>
    </w:p>
    <w:p w14:paraId="7E254539" w14:textId="77777777" w:rsidR="00DB1607" w:rsidRPr="00B95EB3" w:rsidRDefault="00000000">
      <w:pPr>
        <w:pStyle w:val="Heading3"/>
        <w:rPr>
          <w:rFonts w:asciiTheme="majorHAnsi" w:hAnsiTheme="majorHAnsi" w:cstheme="majorHAnsi"/>
        </w:rPr>
      </w:pPr>
      <w:bookmarkStart w:id="172" w:name="camera-and-hsv-channel"/>
      <w:bookmarkStart w:id="173" w:name="_Toc241565745"/>
      <w:bookmarkEnd w:id="170"/>
      <w:r w:rsidRPr="00B95EB3">
        <w:rPr>
          <w:rFonts w:asciiTheme="majorHAnsi" w:hAnsiTheme="majorHAnsi" w:cstheme="majorHAnsi"/>
        </w:rPr>
        <w:t>4.4.6 Camera and HSV Channel</w:t>
      </w:r>
      <w:bookmarkEnd w:id="173"/>
    </w:p>
    <w:p w14:paraId="76DD8BA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camera is presented with targets of increasing green coverage, and the computed ratio must follow the same order. One target is also captured under different lighting so the shift caused by illumination can be recorded beside the stored images.</w:t>
      </w:r>
    </w:p>
    <w:p w14:paraId="2C43478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state machine is tested separately with a labelled sequence of frames posted to the service in test mode: a steady sequence, a gradual rise, a sudden jump and a return to the original view. After each upload the stored state, smoothed baseline and returned wake interval are compared with the values expected from Table 3.8. The sequence must show entry to and exit from both the dynamic and obstruction states, and must show that the baseline does not move while the view is obstructed.</w:t>
      </w:r>
    </w:p>
    <w:p w14:paraId="2C1BF95C" w14:textId="77777777" w:rsidR="00DB1607" w:rsidRPr="00B95EB3" w:rsidRDefault="00000000">
      <w:pPr>
        <w:pStyle w:val="Heading3"/>
        <w:rPr>
          <w:rFonts w:asciiTheme="majorHAnsi" w:hAnsiTheme="majorHAnsi" w:cstheme="majorHAnsi"/>
        </w:rPr>
      </w:pPr>
      <w:bookmarkStart w:id="174" w:name="power-and-communication-path"/>
      <w:bookmarkStart w:id="175" w:name="_Toc241565746"/>
      <w:bookmarkEnd w:id="172"/>
      <w:r w:rsidRPr="00B95EB3">
        <w:rPr>
          <w:rFonts w:asciiTheme="majorHAnsi" w:hAnsiTheme="majorHAnsi" w:cstheme="majorHAnsi"/>
        </w:rPr>
        <w:t>4.4.7 Power and Communication Path</w:t>
      </w:r>
      <w:bookmarkEnd w:id="175"/>
    </w:p>
    <w:p w14:paraId="483A06C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Supply current is recorded for both nodes through sleep, each sensor window, Wi-Fi connection, upload and return to sleep. Each mode is compared with Table 3.4. Two figures from this test decide design choices: the development board’s sleep current, which Section 3.3.2 identifies as the main factor in battery life, and the pH board’s active current, which is not published. The current trace also confirms that the sensors are powered one at a time in the order of Section 3.4.2 and that no sensor window overlaps the radio. An overlap would appear as one combined step instead of two separate ones.</w:t>
      </w:r>
    </w:p>
    <w:p w14:paraId="7523D22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Upload behaviour is checked by switching off the access point during a cycle. Both nodes must give up within their bounded connection time, back off as described in Section 3.7.4, and resume normal operation when the access point returns.</w:t>
      </w:r>
    </w:p>
    <w:p w14:paraId="7A41AFF4" w14:textId="77777777" w:rsidR="00DB1607" w:rsidRPr="00B95EB3" w:rsidRDefault="00000000">
      <w:pPr>
        <w:pStyle w:val="Heading2"/>
        <w:rPr>
          <w:rFonts w:asciiTheme="majorHAnsi" w:hAnsiTheme="majorHAnsi" w:cstheme="majorHAnsi"/>
        </w:rPr>
      </w:pPr>
      <w:bookmarkStart w:id="176" w:name="tier-2-operational-subsystem-tests"/>
      <w:bookmarkStart w:id="177" w:name="_Toc241565747"/>
      <w:bookmarkEnd w:id="159"/>
      <w:bookmarkEnd w:id="174"/>
      <w:r w:rsidRPr="00B95EB3">
        <w:rPr>
          <w:rFonts w:asciiTheme="majorHAnsi" w:hAnsiTheme="majorHAnsi" w:cstheme="majorHAnsi"/>
        </w:rPr>
        <w:t>4.5 Tier 2: Operational Subsystem Tests</w:t>
      </w:r>
      <w:bookmarkEnd w:id="177"/>
    </w:p>
    <w:p w14:paraId="45080DA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outdoor test characterises two subsystems installed beside the pond. Subsystem A records water temperature, pH and light. Subsystem B captures pond images and records the camera service’s decisions. A three-hour attended rehearsal comes before a planned 48-hour unattended run. The run is intended to span two day and night cycles, and the results report the period actually achieved and any gaps.</w:t>
      </w:r>
    </w:p>
    <w:p w14:paraId="61010D7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questions assessed are measurement variation over time, the usefulness of the temperature, pH and light records, enclosure behaviour, comparison with NEA observations, and the camera’s response to green content under changing light. The two nodes may run at the same time with independently identified records. TDS, colour badge sensing, final battery life and end-to-end application operation have separate evaluation plans. A working data transport may be used to collect records without counting this test as validation of the full backend or mobile client.</w:t>
      </w:r>
    </w:p>
    <w:p w14:paraId="006F99B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4.3. Observations and evidence for the pond sensor and camera field run.</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274"/>
        <w:gridCol w:w="4528"/>
        <w:gridCol w:w="3384"/>
      </w:tblGrid>
      <w:tr w:rsidR="00DB1607" w:rsidRPr="00B95EB3" w14:paraId="4015E9BD"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54685CB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Subsystem</w:t>
            </w:r>
          </w:p>
        </w:tc>
        <w:tc>
          <w:tcPr>
            <w:tcW w:w="0" w:type="auto"/>
            <w:shd w:val="clear" w:color="auto" w:fill="EDEFF2"/>
          </w:tcPr>
          <w:p w14:paraId="42B8C50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What to collect outdoors</w:t>
            </w:r>
          </w:p>
        </w:tc>
        <w:tc>
          <w:tcPr>
            <w:tcW w:w="0" w:type="auto"/>
            <w:shd w:val="clear" w:color="auto" w:fill="EDEFF2"/>
          </w:tcPr>
          <w:p w14:paraId="456B4A8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Interpretation</w:t>
            </w:r>
          </w:p>
        </w:tc>
      </w:tr>
      <w:tr w:rsidR="00DB1607" w:rsidRPr="00B95EB3" w14:paraId="2CDAE5C6" w14:textId="77777777">
        <w:tc>
          <w:tcPr>
            <w:tcW w:w="0" w:type="auto"/>
          </w:tcPr>
          <w:p w14:paraId="23B4DE5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Temperature</w:t>
            </w:r>
          </w:p>
        </w:tc>
        <w:tc>
          <w:tcPr>
            <w:tcW w:w="0" w:type="auto"/>
          </w:tcPr>
          <w:p w14:paraId="6CC1770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Timestamped DS18B20 readings, missing samples and comparison with a reference at setup</w:t>
            </w:r>
          </w:p>
        </w:tc>
        <w:tc>
          <w:tcPr>
            <w:tcW w:w="0" w:type="auto"/>
          </w:tcPr>
          <w:p w14:paraId="550145A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Check continuity and plausible day and night variation. Quantify gaps and abrupt changes</w:t>
            </w:r>
          </w:p>
        </w:tc>
      </w:tr>
      <w:tr w:rsidR="00DB1607" w:rsidRPr="00B95EB3" w14:paraId="77E45EC1" w14:textId="77777777">
        <w:tc>
          <w:tcPr>
            <w:tcW w:w="0" w:type="auto"/>
          </w:tcPr>
          <w:p w14:paraId="64ADB44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w:t>
            </w:r>
          </w:p>
        </w:tc>
        <w:tc>
          <w:tcPr>
            <w:tcW w:w="0" w:type="auto"/>
          </w:tcPr>
          <w:p w14:paraId="76EA998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Readings per cycle, calibration record and buffer checks before and after the run where feasible</w:t>
            </w:r>
          </w:p>
        </w:tc>
        <w:tc>
          <w:tcPr>
            <w:tcW w:w="0" w:type="auto"/>
          </w:tcPr>
          <w:p w14:paraId="210FD82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Report within-window spread and longer changes separately. Flag unexplained shifts</w:t>
            </w:r>
          </w:p>
        </w:tc>
      </w:tr>
      <w:tr w:rsidR="00DB1607" w:rsidRPr="00B95EB3" w14:paraId="569E7FE2" w14:textId="77777777">
        <w:tc>
          <w:tcPr>
            <w:tcW w:w="0" w:type="auto"/>
          </w:tcPr>
          <w:p w14:paraId="0F14055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Light</w:t>
            </w:r>
          </w:p>
        </w:tc>
        <w:tc>
          <w:tcPr>
            <w:tcW w:w="0" w:type="auto"/>
          </w:tcPr>
          <w:p w14:paraId="0E1E35A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Readings, selected gain, and observed shade, weather and enclosure position</w:t>
            </w:r>
          </w:p>
        </w:tc>
        <w:tc>
          <w:tcPr>
            <w:tcW w:w="0" w:type="auto"/>
          </w:tcPr>
          <w:p w14:paraId="37FBEC2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Check sunrise and sunset response, daylight saturation and unexpected zero values</w:t>
            </w:r>
          </w:p>
        </w:tc>
      </w:tr>
      <w:tr w:rsidR="00DB1607" w:rsidRPr="00B95EB3" w14:paraId="264E51AA" w14:textId="77777777">
        <w:tc>
          <w:tcPr>
            <w:tcW w:w="0" w:type="auto"/>
          </w:tcPr>
          <w:p w14:paraId="199CEF6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Enclosure</w:t>
            </w:r>
          </w:p>
        </w:tc>
        <w:tc>
          <w:tcPr>
            <w:tcW w:w="0" w:type="auto"/>
          </w:tcPr>
          <w:p w14:paraId="3498DDE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Photos and observations before and after, internal temperature if available, moisture indicator and connection state</w:t>
            </w:r>
          </w:p>
        </w:tc>
        <w:tc>
          <w:tcPr>
            <w:tcW w:w="0" w:type="auto"/>
          </w:tcPr>
          <w:p w14:paraId="67864D3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Record ingress, condensation, heat, cable movement and any interruption</w:t>
            </w:r>
          </w:p>
        </w:tc>
      </w:tr>
      <w:tr w:rsidR="00DB1607" w:rsidRPr="00B95EB3" w14:paraId="7895EA54" w14:textId="77777777">
        <w:tc>
          <w:tcPr>
            <w:tcW w:w="0" w:type="auto"/>
          </w:tcPr>
          <w:p w14:paraId="259FB03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Camera and HSV</w:t>
            </w:r>
          </w:p>
        </w:tc>
        <w:tc>
          <w:tcPr>
            <w:tcW w:w="0" w:type="auto"/>
          </w:tcPr>
          <w:p w14:paraId="7A36FB9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Scheduled frames, green ratio, state, smoothed baseline, capture reason and a labelled set of ordinary and misleading green scenes</w:t>
            </w:r>
          </w:p>
        </w:tc>
        <w:tc>
          <w:tcPr>
            <w:tcW w:w="0" w:type="auto"/>
          </w:tcPr>
          <w:p w14:paraId="2A5E23F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Compare decisions with the stored images and count missed changes and false triggers</w:t>
            </w:r>
          </w:p>
        </w:tc>
      </w:tr>
    </w:tbl>
    <w:p w14:paraId="2A4B9C8A" w14:textId="77777777" w:rsidR="00DB1607" w:rsidRPr="00B95EB3" w:rsidRDefault="00000000">
      <w:pPr>
        <w:pStyle w:val="Heading3"/>
        <w:rPr>
          <w:rFonts w:asciiTheme="majorHAnsi" w:hAnsiTheme="majorHAnsi" w:cstheme="majorHAnsi"/>
        </w:rPr>
      </w:pPr>
      <w:bookmarkStart w:id="178" w:name="Xb05fd343ea6f47ad237212475be9720e37f236c"/>
      <w:bookmarkStart w:id="179" w:name="_Toc241565748"/>
      <w:r w:rsidRPr="00B95EB3">
        <w:rPr>
          <w:rFonts w:asciiTheme="majorHAnsi" w:hAnsiTheme="majorHAnsi" w:cstheme="majorHAnsi"/>
        </w:rPr>
        <w:t>4.5.1 Environmental Data and Measurement Variation</w:t>
      </w:r>
      <w:bookmarkEnd w:id="179"/>
    </w:p>
    <w:p w14:paraId="31C1361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Subsystem A records each channel at each cycle. Variation within a short run of cycles gives a practical estimate of measurement noise while the pond is nearly unchanged. Variation over longer periods also includes real pond changes and possible drift, so it is interpreted alongside calibration checks and observed conditions. The pH probe is checked against a reference buffer before and after the run if practical.</w:t>
      </w:r>
    </w:p>
    <w:p w14:paraId="5C44258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Each record keeps its sample time separately from its upload time, together with the device, cycle number, units, calibration state and any interruption (Section 4.5.5). Water temperature and local light are compared with the nearest NEA air temperature, rainfall and forecast records by their observation or validity times, with the station identity and distance kept. Weather records are coarser and less local than the pond readings, and two days of aligned data can support exploratory model tuning but not a causal claim.</w:t>
      </w:r>
    </w:p>
    <w:p w14:paraId="3D5FC551"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analysis looks for a plausible water temperature cycle, the light curve through sunrise and sunset, and pH movement larger than the within-window spread. Daylight saturation, implausible jumps, missing cycles and restarts are marked rather than filled. Rain, shade changes, maintenance and probe movement are logged with their times.</w:t>
      </w:r>
    </w:p>
    <w:p w14:paraId="1E218D2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Temperature, pH and light are the assessed channels. If the TDS probe is connected, its readings are labelled exploratory and excluded from acceptance decisions, since the TDS channel has its own test plan (Section 4.4.3.1).</w:t>
      </w:r>
    </w:p>
    <w:p w14:paraId="08307A52" w14:textId="77777777" w:rsidR="00DB1607" w:rsidRPr="00B95EB3" w:rsidRDefault="00000000">
      <w:pPr>
        <w:pStyle w:val="Heading3"/>
        <w:rPr>
          <w:rFonts w:asciiTheme="majorHAnsi" w:hAnsiTheme="majorHAnsi" w:cstheme="majorHAnsi"/>
        </w:rPr>
      </w:pPr>
      <w:bookmarkStart w:id="180" w:name="deployment-supply-and-enclosure"/>
      <w:bookmarkStart w:id="181" w:name="_Toc241565749"/>
      <w:bookmarkEnd w:id="178"/>
      <w:r w:rsidRPr="00B95EB3">
        <w:rPr>
          <w:rFonts w:asciiTheme="majorHAnsi" w:hAnsiTheme="majorHAnsi" w:cstheme="majorHAnsi"/>
        </w:rPr>
        <w:t>4.5.2 Deployment, Supply and Enclosure</w:t>
      </w:r>
      <w:bookmarkEnd w:id="181"/>
    </w:p>
    <w:p w14:paraId="46D13FE8"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Before the unattended run, the assembled subsystems run for three attended hours between 11 am and 5 pm, preferably during the hotter part of the day. Normal readings and repeated camera captures are exercised while supply voltage under load, restarts, upload gaps, regulator temperature and the inside of the enclosure are checked. The actual sleep intervals, including an overnight camera wake, are rehearsed before the camera is left unattended. The daytime stress configuration is kept separate from the normal field schedule.</w:t>
      </w:r>
    </w:p>
    <w:p w14:paraId="648D6FE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Each node runs from its own pack through its regulator (Section 3.2.8). The pack voltage is measured fresh and under load, and the regulator’s input rating is checked against it. These temporary supplies support data collection and do not stand in for the service interval measurement in Tier 3.</w:t>
      </w:r>
    </w:p>
    <w:p w14:paraId="210A31A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electronics are mounted beside the pond on a weighted stand with a secondary restraint where needed, under a light-coloured overhanging roof, with strain relief at the enclosure wall and cable exits facing down. Any drainage or ventilation openings are inspected during the empty-enclosure water test, since an opening may also admit wind-driven rain or insects. The same joints and moisture indicator are photographed before and after the run. If a supply shuts off at low load or the enclosure admits water, the event is recorded and the affected run is stopped.</w:t>
      </w:r>
    </w:p>
    <w:p w14:paraId="1F20AE5D" w14:textId="77777777" w:rsidR="00DB1607" w:rsidRPr="00B95EB3" w:rsidRDefault="00000000">
      <w:pPr>
        <w:pStyle w:val="Heading3"/>
        <w:rPr>
          <w:rFonts w:asciiTheme="majorHAnsi" w:hAnsiTheme="majorHAnsi" w:cstheme="majorHAnsi"/>
        </w:rPr>
      </w:pPr>
      <w:bookmarkStart w:id="182" w:name="camera-observation-and-decision-record"/>
      <w:bookmarkStart w:id="183" w:name="_Toc241565750"/>
      <w:bookmarkEnd w:id="180"/>
      <w:r w:rsidRPr="00B95EB3">
        <w:rPr>
          <w:rFonts w:asciiTheme="majorHAnsi" w:hAnsiTheme="majorHAnsi" w:cstheme="majorHAnsi"/>
        </w:rPr>
        <w:t>4.5.3 Camera Observation and Decision Record</w:t>
      </w:r>
      <w:bookmarkEnd w:id="183"/>
    </w:p>
    <w:p w14:paraId="43CDEA9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For this evaluation, the camera captures periodic reference images during daylight, including frames the scheduler would not request. A 30 to 60 minute reference interval gives material for checking missed changes. The scheduled slots and any state-driven captures are logged with their reasons. The camera can sleep overnight once its next daylight wake has been confirmed in rehearsal. The service’s test mode is switched off for the run and the actual intervals are recorded.</w:t>
      </w:r>
    </w:p>
    <w:p w14:paraId="4DACB32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camera position is fixed and the water region in each image is defined before green ratios are compared, since the service currently analyses the whole frame (Section 3.7.2). The labelled review set includes ordinary water, glare, floating leaves, shadows and green objects near the pond. The original image, green ratio, previous baseline, state, capture reason and image time are kept together. False triggers and missed visible changes are counted from the reference frames. A green ratio is an image feature, and the test must show whether it tracks the pond’s appearance under outdoor light.</w:t>
      </w:r>
    </w:p>
    <w:p w14:paraId="75612638" w14:textId="77777777" w:rsidR="00DB1607" w:rsidRPr="00B95EB3" w:rsidRDefault="00000000">
      <w:pPr>
        <w:pStyle w:val="Heading3"/>
        <w:rPr>
          <w:rFonts w:asciiTheme="majorHAnsi" w:hAnsiTheme="majorHAnsi" w:cstheme="majorHAnsi"/>
        </w:rPr>
      </w:pPr>
      <w:bookmarkStart w:id="184" w:name="field-run-records-and-completion"/>
      <w:bookmarkStart w:id="185" w:name="_Toc241565751"/>
      <w:bookmarkEnd w:id="182"/>
      <w:r w:rsidRPr="00B95EB3">
        <w:rPr>
          <w:rFonts w:asciiTheme="majorHAnsi" w:hAnsiTheme="majorHAnsi" w:cstheme="majorHAnsi"/>
        </w:rPr>
        <w:t>4.5.4 Field Run Records and Completion</w:t>
      </w:r>
      <w:bookmarkEnd w:id="185"/>
    </w:p>
    <w:p w14:paraId="2B0430C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Subsystem A runs at the five-minute production interval with sample and upload times logged. A full 48-hour run would contain 576 scheduled cycles. Every attempted cycle is kept, including failed reads and failed uploads. The report states the achieved duration, completed and missing cycles, reset count, per-channel spread, and the number of reference and state-driven camera frames. The weather export and the exact camera settings are kept with the dataset so later model work can reproduce the comparisons.</w:t>
      </w:r>
    </w:p>
    <w:p w14:paraId="5ACEF9B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A channel’s run is usable when its records show the daily pattern and give enough consecutive cycles to assess variation and interruptions. Each channel’s coverage and failure modes are reported separately rather than as one pass mark. Enclosure findings and the camera’s false trigger and missed change counts are reported alongside.</w:t>
      </w:r>
    </w:p>
    <w:p w14:paraId="514E8B4A" w14:textId="77777777" w:rsidR="00DB1607" w:rsidRPr="00B95EB3" w:rsidRDefault="00000000">
      <w:pPr>
        <w:pStyle w:val="Heading3"/>
        <w:rPr>
          <w:rFonts w:asciiTheme="majorHAnsi" w:hAnsiTheme="majorHAnsi" w:cstheme="majorHAnsi"/>
        </w:rPr>
      </w:pPr>
      <w:bookmarkStart w:id="186" w:name="record-design-for-the-field-experiment"/>
      <w:bookmarkStart w:id="187" w:name="_Toc241565752"/>
      <w:bookmarkEnd w:id="184"/>
      <w:r w:rsidRPr="00B95EB3">
        <w:rPr>
          <w:rFonts w:asciiTheme="majorHAnsi" w:hAnsiTheme="majorHAnsi" w:cstheme="majorHAnsi"/>
        </w:rPr>
        <w:t>4.5.5 Record Design for the Field Experiment</w:t>
      </w:r>
      <w:bookmarkEnd w:id="187"/>
    </w:p>
    <w:p w14:paraId="4D427D5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SensorData table holds a sensor type, a value, a user identifier and the database insertion time. These fields are enough to display a current value, but the insertion time is not the sample time: a node that reconnects after an outage would insert an old reading with a recent time. Before the field run, the payload change in Section 3.6.2 adds a device identifier, the node’s cycle counter and the sample time to each row. The upload time stays separate. Missing cycles and delayed uploads can then be counted without mistaking network delay for a change in the pond, and a repeated upload of the same cycle can be recognised by its device and cycle number.</w:t>
      </w:r>
    </w:p>
    <w:p w14:paraId="0AD0065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analysis uses the raw rows rather than the daily aggregates or the dashboard function. The aggregates were designed for display, and a display function may exclude night-time light values or fill a missing channel with a default so that a screen always has a number to show. Before the run, each database function used in the analysis is checked for such behaviour. Any hourly or daily summary is derived from the raw rows, keeps missing observations as missing and carries the count of valid samples behind each value.</w:t>
      </w:r>
    </w:p>
    <w:p w14:paraId="6990223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NEA weather data needs the same care over time. Observations are paired with pond readings by their observation period. Forecasts are paired by the time they were issued and the future period they predict. Recording both times prevents a forecast retrieved after an event from being counted as a warning available before it.</w:t>
      </w:r>
    </w:p>
    <w:p w14:paraId="597DF71E" w14:textId="77777777" w:rsidR="00DB1607" w:rsidRPr="00B95EB3" w:rsidRDefault="00000000">
      <w:pPr>
        <w:pStyle w:val="Heading3"/>
        <w:rPr>
          <w:rFonts w:asciiTheme="majorHAnsi" w:hAnsiTheme="majorHAnsi" w:cstheme="majorHAnsi"/>
        </w:rPr>
      </w:pPr>
      <w:bookmarkStart w:id="188" w:name="server-processing-during-the-field-run"/>
      <w:bookmarkStart w:id="189" w:name="_Toc241565753"/>
      <w:bookmarkEnd w:id="186"/>
      <w:r w:rsidRPr="00B95EB3">
        <w:rPr>
          <w:rFonts w:asciiTheme="majorHAnsi" w:hAnsiTheme="majorHAnsi" w:cstheme="majorHAnsi"/>
        </w:rPr>
        <w:t>4.5.6 Server Processing During the Field Run</w:t>
      </w:r>
      <w:bookmarkEnd w:id="189"/>
    </w:p>
    <w:p w14:paraId="507E10E4"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camera service’s analysis and scheduling (Section 3.7) and the digital twin’s engines (Section 3.9) run during the field run as they would in use. For the camera, the stored frame, green ratio, state pair and returned interval allow each decision to be recomputed from the image and inspected where it disagrees with the reviewer’s label. For the digital twin, each evaluation row records the model’s assessment at a time, so the chemistry, evaporation and algae outputs can be lined up with the sensor and weather record.</w:t>
      </w:r>
    </w:p>
    <w:p w14:paraId="0F5AD04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Two limits apply to what these outputs can show. First, there are no direct ammonia, nitrite, nitrate or algae reference measurements in this run, so the chemistry and algae projections are reported as unvalidated model outputs. Second, two days give a working example of the pipeline and the pond’s short-term response, but little evidence about seasonal behaviour.</w:t>
      </w:r>
    </w:p>
    <w:p w14:paraId="29F3DD6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run does support one model check. The evaporation engine’s water temperature prediction uses air temperature plus a fitted offset (Section 3.9.2). With the pond’s own temperature record, the offset can be fitted on the first part of the run and tested on the rest. The error is compared with a persistence prediction that carries forward the last observed water temperature. If the fitted offset does not beat persistence, the extra model is not justified by this data.</w:t>
      </w:r>
    </w:p>
    <w:p w14:paraId="0B825E97" w14:textId="77777777" w:rsidR="00DB1607" w:rsidRPr="00B95EB3" w:rsidRDefault="00000000">
      <w:pPr>
        <w:pStyle w:val="Heading3"/>
        <w:rPr>
          <w:rFonts w:asciiTheme="majorHAnsi" w:hAnsiTheme="majorHAnsi" w:cstheme="majorHAnsi"/>
        </w:rPr>
      </w:pPr>
      <w:bookmarkStart w:id="190" w:name="mobile-presentation-during-the-field-run"/>
      <w:bookmarkStart w:id="191" w:name="_Toc241565754"/>
      <w:bookmarkEnd w:id="188"/>
      <w:r w:rsidRPr="00B95EB3">
        <w:rPr>
          <w:rFonts w:asciiTheme="majorHAnsi" w:hAnsiTheme="majorHAnsi" w:cstheme="majorHAnsi"/>
        </w:rPr>
        <w:t>4.5.7 Mobile Presentation During the Field Run</w:t>
      </w:r>
      <w:bookmarkEnd w:id="191"/>
    </w:p>
    <w:p w14:paraId="23737EF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application’s dashboard, detail screens and event logging are in place (Chapter 5). During the field run the application serves as an inspection tool. Each card shows the latest reading, and the detail screens show the history with logged events marked on the timeline. A selected point on a chart can be compared with the underlying database row and the device log. A match across all three confirms the presentation path for that observation, without claiming that the full advisory workflow has been validated.</w:t>
      </w:r>
    </w:p>
    <w:p w14:paraId="20DB188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Events that happen during the run, such as a real feed or a top-up, are logged through the application at the time. This records them in the intervention table and applies them to the digital twin, and gives the later analysis context for unusual readings.</w:t>
      </w:r>
    </w:p>
    <w:p w14:paraId="1048FFD6" w14:textId="77777777" w:rsidR="00DB1607" w:rsidRPr="00B95EB3" w:rsidRDefault="00000000">
      <w:pPr>
        <w:pStyle w:val="Heading2"/>
        <w:rPr>
          <w:rFonts w:asciiTheme="majorHAnsi" w:hAnsiTheme="majorHAnsi" w:cstheme="majorHAnsi"/>
        </w:rPr>
      </w:pPr>
      <w:bookmarkStart w:id="192" w:name="tier-3-full-system-tests"/>
      <w:bookmarkStart w:id="193" w:name="_Toc241565755"/>
      <w:bookmarkEnd w:id="176"/>
      <w:bookmarkEnd w:id="190"/>
      <w:r w:rsidRPr="00B95EB3">
        <w:rPr>
          <w:rFonts w:asciiTheme="majorHAnsi" w:hAnsiTheme="majorHAnsi" w:cstheme="majorHAnsi"/>
        </w:rPr>
        <w:t>4.6 Tier 3: Full System Tests</w:t>
      </w:r>
      <w:bookmarkEnd w:id="193"/>
    </w:p>
    <w:p w14:paraId="5B8B73D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Tier 3 assembles the confirmed subsystems into the complete system and tests it as a whole. Two sessions are planned, each answering a different question.</w:t>
      </w:r>
    </w:p>
    <w:p w14:paraId="0FE789F9" w14:textId="77777777" w:rsidR="00DB1607" w:rsidRPr="00B95EB3" w:rsidRDefault="00000000">
      <w:pPr>
        <w:pStyle w:val="Heading3"/>
        <w:rPr>
          <w:rFonts w:asciiTheme="majorHAnsi" w:hAnsiTheme="majorHAnsi" w:cstheme="majorHAnsi"/>
        </w:rPr>
      </w:pPr>
      <w:bookmarkStart w:id="194" w:name="indoor-endurance-session"/>
      <w:bookmarkStart w:id="195" w:name="_Toc241565756"/>
      <w:r w:rsidRPr="00B95EB3">
        <w:rPr>
          <w:rFonts w:asciiTheme="majorHAnsi" w:hAnsiTheme="majorHAnsi" w:cstheme="majorHAnsi"/>
        </w:rPr>
        <w:t>4.6.1 Indoor Endurance Session</w:t>
      </w:r>
      <w:bookmarkEnd w:id="195"/>
    </w:p>
    <w:p w14:paraId="40A4D5E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4.4. Tier 3 indoor endurance session.</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110"/>
        <w:gridCol w:w="8076"/>
      </w:tblGrid>
      <w:tr w:rsidR="00DB1607" w:rsidRPr="00B95EB3" w14:paraId="61EF1358"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0EAE942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Field</w:t>
            </w:r>
          </w:p>
        </w:tc>
        <w:tc>
          <w:tcPr>
            <w:tcW w:w="0" w:type="auto"/>
            <w:shd w:val="clear" w:color="auto" w:fill="EDEFF2"/>
          </w:tcPr>
          <w:p w14:paraId="5A75529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Detail</w:t>
            </w:r>
          </w:p>
        </w:tc>
      </w:tr>
      <w:tr w:rsidR="00DB1607" w:rsidRPr="00B95EB3" w14:paraId="645DB24E" w14:textId="77777777">
        <w:tc>
          <w:tcPr>
            <w:tcW w:w="0" w:type="auto"/>
          </w:tcPr>
          <w:p w14:paraId="2BC60DA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Objective</w:t>
            </w:r>
          </w:p>
        </w:tc>
        <w:tc>
          <w:tcPr>
            <w:tcW w:w="0" w:type="auto"/>
          </w:tcPr>
          <w:p w14:paraId="6806B51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 the service interval of the sensor node and confirm that it runs unattended without intervention</w:t>
            </w:r>
          </w:p>
        </w:tc>
      </w:tr>
      <w:tr w:rsidR="00DB1607" w:rsidRPr="00B95EB3" w14:paraId="5DF0879F" w14:textId="77777777">
        <w:tc>
          <w:tcPr>
            <w:tcW w:w="0" w:type="auto"/>
          </w:tcPr>
          <w:p w14:paraId="798E45B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Method</w:t>
            </w:r>
          </w:p>
        </w:tc>
        <w:tc>
          <w:tcPr>
            <w:tcW w:w="0" w:type="auto"/>
          </w:tcPr>
          <w:p w14:paraId="621515C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Run the complete sensor node indoors with probes in a container of water, from a fresh pack, at the five-minute production interval, until the regulator loses regulation. Do not intervene during the run</w:t>
            </w:r>
          </w:p>
        </w:tc>
      </w:tr>
      <w:tr w:rsidR="00DB1607" w:rsidRPr="00B95EB3" w14:paraId="656276D8" w14:textId="77777777">
        <w:tc>
          <w:tcPr>
            <w:tcW w:w="0" w:type="auto"/>
          </w:tcPr>
          <w:p w14:paraId="6F8FB7E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Why indoors</w:t>
            </w:r>
          </w:p>
        </w:tc>
        <w:tc>
          <w:tcPr>
            <w:tcW w:w="0" w:type="auto"/>
          </w:tcPr>
          <w:p w14:paraId="778FDEC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Weather is removed as a variable so the result measures the system rather than the conditions, and the hardware is protected during the longest single run of the project</w:t>
            </w:r>
          </w:p>
        </w:tc>
      </w:tr>
      <w:tr w:rsidR="00DB1607" w:rsidRPr="00B95EB3" w14:paraId="29A15383" w14:textId="77777777">
        <w:tc>
          <w:tcPr>
            <w:tcW w:w="0" w:type="auto"/>
          </w:tcPr>
          <w:p w14:paraId="0D7634B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Acceptance</w:t>
            </w:r>
          </w:p>
        </w:tc>
        <w:tc>
          <w:tcPr>
            <w:tcW w:w="0" w:type="auto"/>
          </w:tcPr>
          <w:p w14:paraId="0AD1B1D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node reaches the N2 target (Section 3.11) without a manual restart, and the measured average current is within 25 % of the estimate built from the Tier 1 current measurements</w:t>
            </w:r>
          </w:p>
        </w:tc>
      </w:tr>
      <w:tr w:rsidR="00DB1607" w:rsidRPr="00B95EB3" w14:paraId="16F0BC29" w14:textId="77777777">
        <w:tc>
          <w:tcPr>
            <w:tcW w:w="0" w:type="auto"/>
          </w:tcPr>
          <w:p w14:paraId="2D0D957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Logged fields</w:t>
            </w:r>
          </w:p>
        </w:tc>
        <w:tc>
          <w:tcPr>
            <w:tcW w:w="0" w:type="auto"/>
          </w:tcPr>
          <w:p w14:paraId="7D2BDE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sensor channels, pack voltage where measured, upload success or failure, cycle count</w:t>
            </w:r>
          </w:p>
        </w:tc>
      </w:tr>
      <w:tr w:rsidR="00DB1607" w:rsidRPr="00B95EB3" w14:paraId="7DECE606" w14:textId="77777777">
        <w:tc>
          <w:tcPr>
            <w:tcW w:w="0" w:type="auto"/>
          </w:tcPr>
          <w:p w14:paraId="2C6F24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Output</w:t>
            </w:r>
          </w:p>
        </w:tc>
        <w:tc>
          <w:tcPr>
            <w:tcW w:w="0" w:type="auto"/>
          </w:tcPr>
          <w:p w14:paraId="3EDEA1A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Pack voltage against time, achieved service interval, measured average current against the estimate, and a count of faults recovered automatically</w:t>
            </w:r>
          </w:p>
        </w:tc>
      </w:tr>
      <w:tr w:rsidR="00DB1607" w:rsidRPr="00B95EB3" w14:paraId="18217095" w14:textId="77777777">
        <w:tc>
          <w:tcPr>
            <w:tcW w:w="0" w:type="auto"/>
          </w:tcPr>
          <w:p w14:paraId="04416A4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Duration</w:t>
            </w:r>
          </w:p>
        </w:tc>
        <w:tc>
          <w:tcPr>
            <w:tcW w:w="0" w:type="auto"/>
          </w:tcPr>
          <w:p w14:paraId="5C9696B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Until the pack is depleted, expected to be several days</w:t>
            </w:r>
          </w:p>
        </w:tc>
      </w:tr>
    </w:tbl>
    <w:p w14:paraId="55E8C624"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session runs indoors because battery life is a property of the system and its schedule, and weather would only add variance to a number meant to be a controlled measurement. Indoors, the longest unattended run happens where the hardware is safe and a fault can be noticed quickly. The regulator configuration used (linear or buck, and the board’s sleep current) is recorded with the result, since Section 3.3.2 shows these dominate the outcome.</w:t>
      </w:r>
    </w:p>
    <w:p w14:paraId="5E062DE4" w14:textId="77777777" w:rsidR="00DB1607" w:rsidRPr="00B95EB3" w:rsidRDefault="00000000">
      <w:pPr>
        <w:pStyle w:val="Heading3"/>
        <w:rPr>
          <w:rFonts w:asciiTheme="majorHAnsi" w:hAnsiTheme="majorHAnsi" w:cstheme="majorHAnsi"/>
        </w:rPr>
      </w:pPr>
      <w:bookmarkStart w:id="196" w:name="outdoor-integration-session"/>
      <w:bookmarkStart w:id="197" w:name="_Toc241565757"/>
      <w:bookmarkEnd w:id="194"/>
      <w:r w:rsidRPr="00B95EB3">
        <w:rPr>
          <w:rFonts w:asciiTheme="majorHAnsi" w:hAnsiTheme="majorHAnsi" w:cstheme="majorHAnsi"/>
        </w:rPr>
        <w:t>4.6.2 Outdoor Integration Session</w:t>
      </w:r>
      <w:bookmarkEnd w:id="197"/>
    </w:p>
    <w:p w14:paraId="2E1B635D"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4.5. Tier 3 outdoor integration session.</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106"/>
        <w:gridCol w:w="8080"/>
      </w:tblGrid>
      <w:tr w:rsidR="00DB1607" w:rsidRPr="00B95EB3" w14:paraId="507C776D"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BBFB0F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Field</w:t>
            </w:r>
          </w:p>
        </w:tc>
        <w:tc>
          <w:tcPr>
            <w:tcW w:w="0" w:type="auto"/>
            <w:shd w:val="clear" w:color="auto" w:fill="EDEFF2"/>
          </w:tcPr>
          <w:p w14:paraId="33F4C6D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Detail</w:t>
            </w:r>
          </w:p>
        </w:tc>
      </w:tr>
      <w:tr w:rsidR="00DB1607" w:rsidRPr="00B95EB3" w14:paraId="63E679E2" w14:textId="77777777">
        <w:tc>
          <w:tcPr>
            <w:tcW w:w="0" w:type="auto"/>
          </w:tcPr>
          <w:p w14:paraId="51FE643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Objective</w:t>
            </w:r>
          </w:p>
        </w:tc>
        <w:tc>
          <w:tcPr>
            <w:tcW w:w="0" w:type="auto"/>
          </w:tcPr>
          <w:p w14:paraId="2757871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Confirm the complete system works end to end in its intended setting, from sensing through to the assessment shown in the mobile application</w:t>
            </w:r>
          </w:p>
        </w:tc>
      </w:tr>
      <w:tr w:rsidR="00DB1607" w:rsidRPr="00B95EB3" w14:paraId="6B070D75" w14:textId="77777777">
        <w:tc>
          <w:tcPr>
            <w:tcW w:w="0" w:type="auto"/>
          </w:tcPr>
          <w:p w14:paraId="1BDECEF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Method</w:t>
            </w:r>
          </w:p>
        </w:tc>
        <w:tc>
          <w:tcPr>
            <w:tcW w:w="0" w:type="auto"/>
          </w:tcPr>
          <w:p w14:paraId="4DB6708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Deploy the complete system at the pond for several hours up to one day. Log a real feeding event and a top-up during the session and observe the resulting change in the modelled state</w:t>
            </w:r>
          </w:p>
        </w:tc>
      </w:tr>
      <w:tr w:rsidR="00DB1607" w:rsidRPr="00B95EB3" w14:paraId="53B17362" w14:textId="77777777">
        <w:tc>
          <w:tcPr>
            <w:tcW w:w="0" w:type="auto"/>
          </w:tcPr>
          <w:p w14:paraId="089C205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Acceptance</w:t>
            </w:r>
          </w:p>
        </w:tc>
        <w:tc>
          <w:tcPr>
            <w:tcW w:w="0" w:type="auto"/>
          </w:tcPr>
          <w:p w14:paraId="6892682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Data flows from both nodes to the application without manual intervention. Logged events change the modelled state as expected. Forecast data is retrieved and used. A status level changes when a threshold is crossed</w:t>
            </w:r>
          </w:p>
        </w:tc>
      </w:tr>
      <w:tr w:rsidR="00DB1607" w:rsidRPr="00B95EB3" w14:paraId="67CB16F1" w14:textId="77777777">
        <w:tc>
          <w:tcPr>
            <w:tcW w:w="0" w:type="auto"/>
          </w:tcPr>
          <w:p w14:paraId="59A455A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Logged fields</w:t>
            </w:r>
          </w:p>
        </w:tc>
        <w:tc>
          <w:tcPr>
            <w:tcW w:w="0" w:type="auto"/>
          </w:tcPr>
          <w:p w14:paraId="107807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channels, both node schedules, upload results, retrieved forecast values, model outputs, status changes and owner events</w:t>
            </w:r>
          </w:p>
        </w:tc>
      </w:tr>
      <w:tr w:rsidR="00DB1607" w:rsidRPr="00B95EB3" w14:paraId="2F51B525" w14:textId="77777777">
        <w:tc>
          <w:tcPr>
            <w:tcW w:w="0" w:type="auto"/>
          </w:tcPr>
          <w:p w14:paraId="753C03F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Output</w:t>
            </w:r>
          </w:p>
        </w:tc>
        <w:tc>
          <w:tcPr>
            <w:tcW w:w="0" w:type="auto"/>
          </w:tcPr>
          <w:p w14:paraId="1A7255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timeline showing a reading captured at the pond appearing in the application, and a record of the model responding to a logged event</w:t>
            </w:r>
          </w:p>
        </w:tc>
      </w:tr>
      <w:tr w:rsidR="00DB1607" w:rsidRPr="00B95EB3" w14:paraId="453CD99E" w14:textId="77777777">
        <w:tc>
          <w:tcPr>
            <w:tcW w:w="0" w:type="auto"/>
          </w:tcPr>
          <w:p w14:paraId="6C9F1DF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Duration</w:t>
            </w:r>
          </w:p>
        </w:tc>
        <w:tc>
          <w:tcPr>
            <w:tcW w:w="0" w:type="auto"/>
          </w:tcPr>
          <w:p w14:paraId="2F4D582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Several hours to one day</w:t>
            </w:r>
          </w:p>
        </w:tc>
      </w:tr>
    </w:tbl>
    <w:p w14:paraId="4A75545F"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This session is shorter than the indoor one. Its purpose is to show that the parts work together in the real setting, which a day is enough to show. A longer outdoor session would mostly repeat the same evidence while leaving the full system exposed for longer. The digital twin must be reachable from the application during the session (Section 3.9.5), so either the phone stays on the same network as the machine running it or the twin is hosted for the session.</w:t>
      </w:r>
    </w:p>
    <w:p w14:paraId="12328F6A" w14:textId="77777777" w:rsidR="00DB1607" w:rsidRPr="00B95EB3" w:rsidRDefault="00000000">
      <w:pPr>
        <w:pStyle w:val="Heading2"/>
        <w:rPr>
          <w:rFonts w:asciiTheme="majorHAnsi" w:hAnsiTheme="majorHAnsi" w:cstheme="majorHAnsi"/>
        </w:rPr>
      </w:pPr>
      <w:bookmarkStart w:id="198" w:name="data-capture-and-reporting-format"/>
      <w:bookmarkStart w:id="199" w:name="_Toc241565758"/>
      <w:bookmarkEnd w:id="192"/>
      <w:bookmarkEnd w:id="196"/>
      <w:r w:rsidRPr="00B95EB3">
        <w:rPr>
          <w:rFonts w:asciiTheme="majorHAnsi" w:hAnsiTheme="majorHAnsi" w:cstheme="majorHAnsi"/>
        </w:rPr>
        <w:t>4.7 Data Capture and Reporting Format</w:t>
      </w:r>
      <w:bookmarkEnd w:id="199"/>
    </w:p>
    <w:p w14:paraId="38B4934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 single record format is used across all three tiers so that results can be compared and plotted without reformatting. Every record carries the fields below, whichever test produced it.</w:t>
      </w:r>
    </w:p>
    <w:p w14:paraId="0281CB81"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4.6. Common record fields used across all test tiers.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645"/>
        <w:gridCol w:w="7541"/>
      </w:tblGrid>
      <w:tr w:rsidR="00DB1607" w:rsidRPr="00B95EB3" w14:paraId="5868E0FD"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4868D1C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Field</w:t>
            </w:r>
          </w:p>
        </w:tc>
        <w:tc>
          <w:tcPr>
            <w:tcW w:w="0" w:type="auto"/>
            <w:shd w:val="clear" w:color="auto" w:fill="EDEFF2"/>
          </w:tcPr>
          <w:p w14:paraId="7843B44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Purpose</w:t>
            </w:r>
          </w:p>
        </w:tc>
      </w:tr>
      <w:tr w:rsidR="00DB1607" w:rsidRPr="00B95EB3" w14:paraId="1F3350AF" w14:textId="77777777">
        <w:tc>
          <w:tcPr>
            <w:tcW w:w="0" w:type="auto"/>
          </w:tcPr>
          <w:p w14:paraId="4A8C1CD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Test identifier</w:t>
            </w:r>
          </w:p>
        </w:tc>
        <w:tc>
          <w:tcPr>
            <w:tcW w:w="0" w:type="auto"/>
          </w:tcPr>
          <w:p w14:paraId="7C3BDA5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Which test and tier produced this record</w:t>
            </w:r>
          </w:p>
        </w:tc>
      </w:tr>
      <w:tr w:rsidR="00DB1607" w:rsidRPr="00B95EB3" w14:paraId="41606C41" w14:textId="77777777">
        <w:tc>
          <w:tcPr>
            <w:tcW w:w="0" w:type="auto"/>
          </w:tcPr>
          <w:p w14:paraId="0EAB1B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Sample time</w:t>
            </w:r>
          </w:p>
        </w:tc>
        <w:tc>
          <w:tcPr>
            <w:tcW w:w="0" w:type="auto"/>
          </w:tcPr>
          <w:p w14:paraId="5555385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When the sample was taken, not when it was uploaded</w:t>
            </w:r>
          </w:p>
        </w:tc>
      </w:tr>
      <w:tr w:rsidR="00DB1607" w:rsidRPr="00B95EB3" w14:paraId="431AEDAE" w14:textId="77777777">
        <w:tc>
          <w:tcPr>
            <w:tcW w:w="0" w:type="auto"/>
          </w:tcPr>
          <w:p w14:paraId="2B25C7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Device and cycle</w:t>
            </w:r>
          </w:p>
        </w:tc>
        <w:tc>
          <w:tcPr>
            <w:tcW w:w="0" w:type="auto"/>
          </w:tcPr>
          <w:p w14:paraId="63760E9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Which node produced the record and its cycle number</w:t>
            </w:r>
          </w:p>
        </w:tc>
      </w:tr>
      <w:tr w:rsidR="00DB1607" w:rsidRPr="00B95EB3" w14:paraId="7E63EADB" w14:textId="77777777">
        <w:tc>
          <w:tcPr>
            <w:tcW w:w="0" w:type="auto"/>
          </w:tcPr>
          <w:p w14:paraId="7B1D0DD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Channel</w:t>
            </w:r>
          </w:p>
        </w:tc>
        <w:tc>
          <w:tcPr>
            <w:tcW w:w="0" w:type="auto"/>
          </w:tcPr>
          <w:p w14:paraId="24A8E4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Which sensor or derived value this record holds</w:t>
            </w:r>
          </w:p>
        </w:tc>
      </w:tr>
      <w:tr w:rsidR="00DB1607" w:rsidRPr="00B95EB3" w14:paraId="01ABA976" w14:textId="77777777">
        <w:tc>
          <w:tcPr>
            <w:tcW w:w="0" w:type="auto"/>
          </w:tcPr>
          <w:p w14:paraId="5A35D6A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Value</w:t>
            </w:r>
          </w:p>
        </w:tc>
        <w:tc>
          <w:tcPr>
            <w:tcW w:w="0" w:type="auto"/>
          </w:tcPr>
          <w:p w14:paraId="5E79CC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reading itself</w:t>
            </w:r>
          </w:p>
        </w:tc>
      </w:tr>
      <w:tr w:rsidR="00DB1607" w:rsidRPr="00B95EB3" w14:paraId="6F142B9F" w14:textId="77777777">
        <w:tc>
          <w:tcPr>
            <w:tcW w:w="0" w:type="auto"/>
          </w:tcPr>
          <w:p w14:paraId="3190C21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Reference value</w:t>
            </w:r>
          </w:p>
        </w:tc>
        <w:tc>
          <w:tcPr>
            <w:tcW w:w="0" w:type="auto"/>
          </w:tcPr>
          <w:p w14:paraId="197315B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known or reference value where one exists, blank otherwise</w:t>
            </w:r>
          </w:p>
        </w:tc>
      </w:tr>
      <w:tr w:rsidR="00DB1607" w:rsidRPr="00B95EB3" w14:paraId="1129E438" w14:textId="77777777">
        <w:tc>
          <w:tcPr>
            <w:tcW w:w="0" w:type="auto"/>
          </w:tcPr>
          <w:p w14:paraId="73DA6A6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Validity</w:t>
            </w:r>
          </w:p>
        </w:tc>
        <w:tc>
          <w:tcPr>
            <w:tcW w:w="0" w:type="auto"/>
          </w:tcPr>
          <w:p w14:paraId="1D318E3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Whether the reading passed the device-side checks and the server’s validation gate</w:t>
            </w:r>
          </w:p>
        </w:tc>
      </w:tr>
      <w:tr w:rsidR="00DB1607" w:rsidRPr="00B95EB3" w14:paraId="324B23E9" w14:textId="77777777">
        <w:tc>
          <w:tcPr>
            <w:tcW w:w="0" w:type="auto"/>
          </w:tcPr>
          <w:p w14:paraId="0F25051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Pack voltage</w:t>
            </w:r>
          </w:p>
        </w:tc>
        <w:tc>
          <w:tcPr>
            <w:tcW w:w="0" w:type="auto"/>
          </w:tcPr>
          <w:p w14:paraId="1A405D6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Battery voltage at the time of the reading, where measured</w:t>
            </w:r>
          </w:p>
        </w:tc>
      </w:tr>
      <w:tr w:rsidR="00DB1607" w:rsidRPr="00B95EB3" w14:paraId="691291E3" w14:textId="77777777">
        <w:tc>
          <w:tcPr>
            <w:tcW w:w="0" w:type="auto"/>
          </w:tcPr>
          <w:p w14:paraId="07AD7B0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Condition note</w:t>
            </w:r>
          </w:p>
        </w:tc>
        <w:tc>
          <w:tcPr>
            <w:tcW w:w="0" w:type="auto"/>
          </w:tcPr>
          <w:p w14:paraId="2555D67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Environmental or setup condition, such as the buffer used, lighting or weather</w:t>
            </w:r>
          </w:p>
        </w:tc>
      </w:tr>
    </w:tbl>
    <w:p w14:paraId="0873A3CF"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Each record gets its test identifier when it is created, which links the input condition, device state and reference value without relying on later reconstruction.</w:t>
      </w:r>
    </w:p>
    <w:p w14:paraId="575FF6B8" w14:textId="77777777" w:rsidR="00DB1607" w:rsidRPr="00B95EB3" w:rsidRDefault="00000000">
      <w:pPr>
        <w:pStyle w:val="Heading2"/>
        <w:rPr>
          <w:rFonts w:asciiTheme="majorHAnsi" w:hAnsiTheme="majorHAnsi" w:cstheme="majorHAnsi"/>
        </w:rPr>
      </w:pPr>
      <w:bookmarkStart w:id="200" w:name="iterative-development-and-change-control"/>
      <w:bookmarkStart w:id="201" w:name="_Toc241565759"/>
      <w:bookmarkEnd w:id="198"/>
      <w:r w:rsidRPr="00B95EB3">
        <w:rPr>
          <w:rFonts w:asciiTheme="majorHAnsi" w:hAnsiTheme="majorHAnsi" w:cstheme="majorHAnsi"/>
        </w:rPr>
        <w:t>4.8 Iterative Development and Change Control</w:t>
      </w:r>
      <w:bookmarkEnd w:id="201"/>
    </w:p>
    <w:p w14:paraId="1788C55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 hardware or firmware change returns the affected subsystem to Tier 1. It can re-enter the outdoor and integration tiers once the bench checks pass. This rule applies even when a change appears unrelated to the failed check, since shared supplies, pins and timing can create side effects. The change of pH front end (Section 3.2.5) is an example: it altered the supply arrangement for every sensor, so all channels returned to Tier 1.</w:t>
      </w:r>
    </w:p>
    <w:p w14:paraId="7508566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Changes are recorded as they are made, with the date, what changed, why and which test prompted it. The repository’s commit history serves as this record for firmware and software, and the automated tests in Chapter 5 are re-run after every change to the server code.</w:t>
      </w:r>
    </w:p>
    <w:p w14:paraId="5BE8850A" w14:textId="77777777" w:rsidR="00DB1607" w:rsidRPr="00B95EB3" w:rsidRDefault="00000000">
      <w:pPr>
        <w:pStyle w:val="Heading2"/>
        <w:rPr>
          <w:rFonts w:asciiTheme="majorHAnsi" w:hAnsiTheme="majorHAnsi" w:cstheme="majorHAnsi"/>
        </w:rPr>
      </w:pPr>
      <w:bookmarkStart w:id="202" w:name="test-risks-and-mitigations"/>
      <w:bookmarkStart w:id="203" w:name="_Toc241565760"/>
      <w:bookmarkEnd w:id="200"/>
      <w:r w:rsidRPr="00B95EB3">
        <w:rPr>
          <w:rFonts w:asciiTheme="majorHAnsi" w:hAnsiTheme="majorHAnsi" w:cstheme="majorHAnsi"/>
        </w:rPr>
        <w:t>4.9 Test Risks and Mitigations</w:t>
      </w:r>
      <w:bookmarkEnd w:id="203"/>
    </w:p>
    <w:p w14:paraId="0244AAC7"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4.7. Test risks and how each is managed.</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898"/>
        <w:gridCol w:w="2703"/>
        <w:gridCol w:w="4585"/>
      </w:tblGrid>
      <w:tr w:rsidR="00DB1607" w:rsidRPr="00B95EB3" w14:paraId="1C900042"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1F58351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Risk</w:t>
            </w:r>
          </w:p>
        </w:tc>
        <w:tc>
          <w:tcPr>
            <w:tcW w:w="0" w:type="auto"/>
            <w:shd w:val="clear" w:color="auto" w:fill="EDEFF2"/>
          </w:tcPr>
          <w:p w14:paraId="15FA627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Effect if it happens</w:t>
            </w:r>
          </w:p>
        </w:tc>
        <w:tc>
          <w:tcPr>
            <w:tcW w:w="0" w:type="auto"/>
            <w:shd w:val="clear" w:color="auto" w:fill="EDEFF2"/>
          </w:tcPr>
          <w:p w14:paraId="419F6FC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Mitigation</w:t>
            </w:r>
          </w:p>
        </w:tc>
      </w:tr>
      <w:tr w:rsidR="00DB1607" w:rsidRPr="00B95EB3" w14:paraId="6A36E5FD" w14:textId="77777777">
        <w:tc>
          <w:tcPr>
            <w:tcW w:w="0" w:type="auto"/>
          </w:tcPr>
          <w:p w14:paraId="5B66AB1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probe fails or degrades</w:t>
            </w:r>
          </w:p>
        </w:tc>
        <w:tc>
          <w:tcPr>
            <w:tcW w:w="0" w:type="auto"/>
          </w:tcPr>
          <w:p w14:paraId="0CBE2CE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Loss of the most expensive sensor and of three derived quantities</w:t>
            </w:r>
          </w:p>
        </w:tc>
        <w:tc>
          <w:tcPr>
            <w:tcW w:w="0" w:type="auto"/>
          </w:tcPr>
          <w:p w14:paraId="76CE7A4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Keep the probe wet and stored correctly. Test in a beaker before the pond. Order a spare early</w:t>
            </w:r>
          </w:p>
        </w:tc>
      </w:tr>
      <w:tr w:rsidR="00DB1607" w:rsidRPr="00B95EB3" w14:paraId="28BB002F" w14:textId="77777777">
        <w:tc>
          <w:tcPr>
            <w:tcW w:w="0" w:type="auto"/>
          </w:tcPr>
          <w:p w14:paraId="57220B3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Water enters the enclosure</w:t>
            </w:r>
          </w:p>
        </w:tc>
        <w:tc>
          <w:tcPr>
            <w:tcW w:w="0" w:type="auto"/>
          </w:tcPr>
          <w:p w14:paraId="501594A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Loss of several components at once</w:t>
            </w:r>
          </w:p>
        </w:tc>
        <w:tc>
          <w:tcPr>
            <w:tcW w:w="0" w:type="auto"/>
          </w:tcPr>
          <w:p w14:paraId="66F38ED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Seal test with no electronics inside. Downward-facing connectors and drip loops. Check the enclosure before each outdoor tier</w:t>
            </w:r>
          </w:p>
        </w:tc>
      </w:tr>
      <w:tr w:rsidR="00DB1607" w:rsidRPr="00B95EB3" w14:paraId="109F2617" w14:textId="77777777">
        <w:tc>
          <w:tcPr>
            <w:tcW w:w="0" w:type="auto"/>
          </w:tcPr>
          <w:p w14:paraId="2902C22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Pack over-discharge</w:t>
            </w:r>
          </w:p>
        </w:tc>
        <w:tc>
          <w:tcPr>
            <w:tcW w:w="0" w:type="auto"/>
          </w:tcPr>
          <w:p w14:paraId="69DEF2A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Cell damage and an unreliable pack for later tests</w:t>
            </w:r>
          </w:p>
        </w:tc>
        <w:tc>
          <w:tcPr>
            <w:tcW w:w="0" w:type="auto"/>
          </w:tcPr>
          <w:p w14:paraId="29111D5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Stop the endurance run when the regulator loses regulation. Never leave a partly assembled circuit on the pack</w:t>
            </w:r>
          </w:p>
        </w:tc>
      </w:tr>
      <w:tr w:rsidR="00DB1607" w:rsidRPr="00B95EB3" w14:paraId="7E67BE47" w14:textId="77777777">
        <w:tc>
          <w:tcPr>
            <w:tcW w:w="0" w:type="auto"/>
          </w:tcPr>
          <w:p w14:paraId="4484FC8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Weather does not cooperate</w:t>
            </w:r>
          </w:p>
        </w:tc>
        <w:tc>
          <w:tcPr>
            <w:tcW w:w="0" w:type="auto"/>
          </w:tcPr>
          <w:p w14:paraId="3CD8750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planned observation is not possible in the time available</w:t>
            </w:r>
          </w:p>
        </w:tc>
        <w:tc>
          <w:tcPr>
            <w:tcW w:w="0" w:type="auto"/>
          </w:tcPr>
          <w:p w14:paraId="570F3B6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Treat weather-dependent observations as opportunistic. No acceptance decision depends on a specific weather event</w:t>
            </w:r>
          </w:p>
        </w:tc>
      </w:tr>
      <w:tr w:rsidR="00DB1607" w:rsidRPr="00B95EB3" w14:paraId="78FA8DB7" w14:textId="77777777">
        <w:tc>
          <w:tcPr>
            <w:tcW w:w="0" w:type="auto"/>
          </w:tcPr>
          <w:p w14:paraId="6CFBA96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fault appears only during integration</w:t>
            </w:r>
          </w:p>
        </w:tc>
        <w:tc>
          <w:tcPr>
            <w:tcW w:w="0" w:type="auto"/>
          </w:tcPr>
          <w:p w14:paraId="0D9E6E6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Slow diagnosis late in the project</w:t>
            </w:r>
          </w:p>
        </w:tc>
        <w:tc>
          <w:tcPr>
            <w:tcW w:w="0" w:type="auto"/>
          </w:tcPr>
          <w:p w14:paraId="11FED9E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Strict tier order so each part is already known to work. Independent node schedules so faults stay isolated</w:t>
            </w:r>
          </w:p>
        </w:tc>
      </w:tr>
      <w:tr w:rsidR="00DB1607" w:rsidRPr="00B95EB3" w14:paraId="23CED5E5" w14:textId="77777777">
        <w:tc>
          <w:tcPr>
            <w:tcW w:w="0" w:type="auto"/>
          </w:tcPr>
          <w:p w14:paraId="3F1BB00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Time runs short for the endurance run</w:t>
            </w:r>
          </w:p>
        </w:tc>
        <w:tc>
          <w:tcPr>
            <w:tcW w:w="0" w:type="auto"/>
          </w:tcPr>
          <w:p w14:paraId="243CAA7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defensible battery life figure</w:t>
            </w:r>
          </w:p>
        </w:tc>
        <w:tc>
          <w:tcPr>
            <w:tcW w:w="0" w:type="auto"/>
          </w:tcPr>
          <w:p w14:paraId="4664CB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Start the indoor endurance session as early as the assembled node allows, since it is the longest run and cannot be shortened</w:t>
            </w:r>
          </w:p>
        </w:tc>
      </w:tr>
      <w:tr w:rsidR="00DB1607" w:rsidRPr="00B95EB3" w14:paraId="5F5DBD4D" w14:textId="77777777">
        <w:tc>
          <w:tcPr>
            <w:tcW w:w="0" w:type="auto"/>
          </w:tcPr>
          <w:p w14:paraId="50F064B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Digital twin unreachable in the field</w:t>
            </w:r>
          </w:p>
        </w:tc>
        <w:tc>
          <w:tcPr>
            <w:tcW w:w="0" w:type="auto"/>
          </w:tcPr>
          <w:p w14:paraId="3153C47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model outputs during the outdoor session</w:t>
            </w:r>
          </w:p>
        </w:tc>
        <w:tc>
          <w:tcPr>
            <w:tcW w:w="0" w:type="auto"/>
          </w:tcPr>
          <w:p w14:paraId="75A53E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Keep the phone on the twin’s network, or host the twin for the session</w:t>
            </w:r>
          </w:p>
        </w:tc>
      </w:tr>
    </w:tbl>
    <w:p w14:paraId="2A342C95" w14:textId="77777777" w:rsidR="00DB1607" w:rsidRPr="00B95EB3" w:rsidRDefault="00000000">
      <w:pPr>
        <w:pStyle w:val="Heading1"/>
        <w:rPr>
          <w:rFonts w:asciiTheme="majorHAnsi" w:hAnsiTheme="majorHAnsi" w:cstheme="majorHAnsi"/>
        </w:rPr>
      </w:pPr>
      <w:bookmarkStart w:id="204" w:name="X56c9ff0b49de88ae4f7daf67a35adbf1406b1d3"/>
      <w:bookmarkStart w:id="205" w:name="_Toc241565761"/>
      <w:bookmarkEnd w:id="151"/>
      <w:bookmarkEnd w:id="202"/>
      <w:r w:rsidRPr="00B95EB3">
        <w:rPr>
          <w:rFonts w:asciiTheme="majorHAnsi" w:hAnsiTheme="majorHAnsi" w:cstheme="majorHAnsi"/>
        </w:rPr>
        <w:t>Chapter 5: Software Implementation and Verification</w:t>
      </w:r>
      <w:bookmarkEnd w:id="205"/>
    </w:p>
    <w:p w14:paraId="2E9F226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chapter describes how the software was built and how it was checked. Chapter 3 gave the design and the reasons for it. Here the focus is on implementation decisions that affect correctness, on a three-round refactoring pass carried out over the whole codebase, and on the automated tests that now verify the firmware logic, the digital twin and the contract between the server and the mobile application.</w:t>
      </w:r>
    </w:p>
    <w:p w14:paraId="29F78DD4" w14:textId="77777777" w:rsidR="00DB1607" w:rsidRPr="00B95EB3" w:rsidRDefault="00000000">
      <w:pPr>
        <w:pStyle w:val="Heading2"/>
        <w:rPr>
          <w:rFonts w:asciiTheme="majorHAnsi" w:hAnsiTheme="majorHAnsi" w:cstheme="majorHAnsi"/>
        </w:rPr>
      </w:pPr>
      <w:bookmarkStart w:id="206" w:name="repository-and-development-approach"/>
      <w:bookmarkStart w:id="207" w:name="_Toc241565762"/>
      <w:r w:rsidRPr="00B95EB3">
        <w:rPr>
          <w:rFonts w:asciiTheme="majorHAnsi" w:hAnsiTheme="majorHAnsi" w:cstheme="majorHAnsi"/>
        </w:rPr>
        <w:t>5.1 Repository and Development Approach</w:t>
      </w:r>
      <w:bookmarkEnd w:id="207"/>
    </w:p>
    <w:p w14:paraId="1908D1A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All code is kept in one repository with a folder per component: embedded firmware, the backend services (the digital twin, the camera service and the NEA data retrieval), the Flutter application, the historical NEA analysis and a scraper that builds the species database used by the application’s care guide. Keeping everything together means a change that crosses a boundary, such as renaming a field the application reads, can be made and tested in one commit.</w:t>
      </w:r>
    </w:p>
    <w:p w14:paraId="025F28F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system grew feature by feature over about three months, and by late September 2026 each component worked but carried duplicated logic and some untested paths. A refactoring pass was then made in a separate working folder, component by component, in three rounds each. Each round looked for duplicated logic, dead code, inefficient work and untested behaviour, made the changes, and added tests for anything it touched. The refactored code keeps the original behaviour, wiring and interfaces unless a change is stated. Working in a separate folder kept the original, known-working code available for comparison while the refactored firmware is flashed and checked against it.</w:t>
      </w:r>
    </w:p>
    <w:p w14:paraId="17B361E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testing approach was shaped by what could run without hardware. Firmware logic that needs no hardware, such as the TDS curve, the pH fit or the DS18B20 checks, was moved out of the Arduino sketch into plain C++ headers that compile and run on an ordinary computer. The digital twin’s tests stub out Supabase with an in-memory fake, so they run without network access or credentials. This lets most of the logic be checked in seconds after every change, and leaves the bench tests in Chapter 4 to cover what only hardware can show.</w:t>
      </w:r>
    </w:p>
    <w:p w14:paraId="57BF8A0D" w14:textId="77777777" w:rsidR="00DB1607" w:rsidRPr="00B95EB3" w:rsidRDefault="00000000">
      <w:pPr>
        <w:pStyle w:val="Heading2"/>
        <w:rPr>
          <w:rFonts w:asciiTheme="majorHAnsi" w:hAnsiTheme="majorHAnsi" w:cstheme="majorHAnsi"/>
        </w:rPr>
      </w:pPr>
      <w:bookmarkStart w:id="208" w:name="sensor-node-firmware"/>
      <w:bookmarkStart w:id="209" w:name="_Toc241565763"/>
      <w:bookmarkEnd w:id="206"/>
      <w:r w:rsidRPr="00B95EB3">
        <w:rPr>
          <w:rFonts w:asciiTheme="majorHAnsi" w:hAnsiTheme="majorHAnsi" w:cstheme="majorHAnsi"/>
        </w:rPr>
        <w:t>5.2 Sensor Node Firmware</w:t>
      </w:r>
      <w:bookmarkEnd w:id="209"/>
    </w:p>
    <w:p w14:paraId="6A1FE8DD" w14:textId="77777777" w:rsidR="00DB1607" w:rsidRPr="00B95EB3" w:rsidRDefault="00000000">
      <w:pPr>
        <w:pStyle w:val="Heading3"/>
        <w:rPr>
          <w:rFonts w:asciiTheme="majorHAnsi" w:hAnsiTheme="majorHAnsi" w:cstheme="majorHAnsi"/>
        </w:rPr>
      </w:pPr>
      <w:bookmarkStart w:id="210" w:name="structure-1"/>
      <w:bookmarkStart w:id="211" w:name="_Toc241565764"/>
      <w:r w:rsidRPr="00B95EB3">
        <w:rPr>
          <w:rFonts w:asciiTheme="majorHAnsi" w:hAnsiTheme="majorHAnsi" w:cstheme="majorHAnsi"/>
        </w:rPr>
        <w:t>5.2.1 Structure</w:t>
      </w:r>
      <w:bookmarkEnd w:id="211"/>
    </w:p>
    <w:p w14:paraId="653565D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sensor node firmware has three parts: the wake cycle described in Section 3.4.2, the service mode described in Section 3.4.4, and six small libraries holding the logic that does not need hardware (Table 5.1). The sketch keeps only what touches the hardware directly: pin control, bus transactions, timing and non-volatile storage.</w:t>
      </w:r>
    </w:p>
    <w:p w14:paraId="4C8FBC3F"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5.1. Firmware libraries extracted from the sensor sketch.</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359"/>
        <w:gridCol w:w="4163"/>
        <w:gridCol w:w="3664"/>
      </w:tblGrid>
      <w:tr w:rsidR="00DB1607" w:rsidRPr="00B95EB3" w14:paraId="216D4892"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413595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Library</w:t>
            </w:r>
          </w:p>
        </w:tc>
        <w:tc>
          <w:tcPr>
            <w:tcW w:w="0" w:type="auto"/>
            <w:shd w:val="clear" w:color="auto" w:fill="EDEFF2"/>
          </w:tcPr>
          <w:p w14:paraId="3FA2123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Contents</w:t>
            </w:r>
          </w:p>
        </w:tc>
        <w:tc>
          <w:tcPr>
            <w:tcW w:w="0" w:type="auto"/>
            <w:shd w:val="clear" w:color="auto" w:fill="EDEFF2"/>
          </w:tcPr>
          <w:p w14:paraId="47A1B36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Reason for extraction</w:t>
            </w:r>
          </w:p>
        </w:tc>
      </w:tr>
      <w:tr w:rsidR="00DB1607" w:rsidRPr="00B95EB3" w14:paraId="2573474E" w14:textId="77777777">
        <w:tc>
          <w:tcPr>
            <w:tcW w:w="0" w:type="auto"/>
          </w:tcPr>
          <w:p w14:paraId="7885D9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median_filter</w:t>
            </w:r>
          </w:p>
        </w:tc>
        <w:tc>
          <w:tcPr>
            <w:tcW w:w="0" w:type="auto"/>
          </w:tcPr>
          <w:p w14:paraId="41E514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Median of a sample buffer</w:t>
            </w:r>
          </w:p>
        </w:tc>
        <w:tc>
          <w:tcPr>
            <w:tcW w:w="0" w:type="auto"/>
          </w:tcPr>
          <w:p w14:paraId="0C4A9CE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Shared by the TDS and pH reads</w:t>
            </w:r>
          </w:p>
        </w:tc>
      </w:tr>
      <w:tr w:rsidR="00DB1607" w:rsidRPr="00B95EB3" w14:paraId="66CFFED7" w14:textId="77777777">
        <w:tc>
          <w:tcPr>
            <w:tcW w:w="0" w:type="auto"/>
          </w:tcPr>
          <w:p w14:paraId="528343F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tds_sensor</w:t>
            </w:r>
          </w:p>
        </w:tc>
        <w:tc>
          <w:tcPr>
            <w:tcW w:w="0" w:type="auto"/>
          </w:tcPr>
          <w:p w14:paraId="10D24EC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Millivolt-to-TDS curve, temperature compensation, calibration factor</w:t>
            </w:r>
          </w:p>
        </w:tc>
        <w:tc>
          <w:tcPr>
            <w:tcW w:w="0" w:type="auto"/>
          </w:tcPr>
          <w:p w14:paraId="6F2483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same formula had been copied into two sketches</w:t>
            </w:r>
          </w:p>
        </w:tc>
      </w:tr>
      <w:tr w:rsidR="00DB1607" w:rsidRPr="00B95EB3" w14:paraId="08025145" w14:textId="77777777">
        <w:tc>
          <w:tcPr>
            <w:tcW w:w="0" w:type="auto"/>
          </w:tcPr>
          <w:p w14:paraId="547074B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ph_sensor</w:t>
            </w:r>
          </w:p>
        </w:tc>
        <w:tc>
          <w:tcPr>
            <w:tcW w:w="0" w:type="auto"/>
          </w:tcPr>
          <w:p w14:paraId="793A7EE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Temperature table for buffers, least-squares fit, Nernst slope scaling</w:t>
            </w:r>
          </w:p>
        </w:tc>
        <w:tc>
          <w:tcPr>
            <w:tcW w:w="0" w:type="auto"/>
          </w:tcPr>
          <w:p w14:paraId="542419E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Calibration errors are silent in use, so this needs its own tests</w:t>
            </w:r>
          </w:p>
        </w:tc>
      </w:tr>
      <w:tr w:rsidR="00DB1607" w:rsidRPr="00B95EB3" w14:paraId="4B6F4C19" w14:textId="77777777">
        <w:tc>
          <w:tcPr>
            <w:tcW w:w="0" w:type="auto"/>
          </w:tcPr>
          <w:p w14:paraId="5BF466D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ds18b20_parse</w:t>
            </w:r>
          </w:p>
        </w:tc>
        <w:tc>
          <w:tcPr>
            <w:tcW w:w="0" w:type="auto"/>
          </w:tcPr>
          <w:p w14:paraId="4A19DE0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CRC check, configuration check, 85 °C power-on value</w:t>
            </w:r>
          </w:p>
        </w:tc>
        <w:tc>
          <w:tcPr>
            <w:tcW w:w="0" w:type="auto"/>
          </w:tcPr>
          <w:p w14:paraId="5D66CA6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Duplicated between two sketches</w:t>
            </w:r>
          </w:p>
        </w:tc>
      </w:tr>
      <w:tr w:rsidR="00DB1607" w:rsidRPr="00B95EB3" w14:paraId="7BBA3EF4" w14:textId="77777777">
        <w:tc>
          <w:tcPr>
            <w:tcW w:w="0" w:type="auto"/>
          </w:tcPr>
          <w:p w14:paraId="07C738E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tsl2591_lux</w:t>
            </w:r>
          </w:p>
        </w:tc>
        <w:tc>
          <w:tcPr>
            <w:tcW w:w="0" w:type="auto"/>
          </w:tcPr>
          <w:p w14:paraId="00DE6C8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Gain decision and lux formula</w:t>
            </w:r>
          </w:p>
        </w:tc>
        <w:tc>
          <w:tcPr>
            <w:tcW w:w="0" w:type="auto"/>
          </w:tcPr>
          <w:p w14:paraId="6FF7426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Gain stepping is easy to get wrong at the range ends</w:t>
            </w:r>
          </w:p>
        </w:tc>
      </w:tr>
      <w:tr w:rsidR="00DB1607" w:rsidRPr="00B95EB3" w14:paraId="30561F03" w14:textId="77777777">
        <w:tc>
          <w:tcPr>
            <w:tcW w:w="0" w:type="auto"/>
          </w:tcPr>
          <w:p w14:paraId="330E198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adaptive_settle</w:t>
            </w:r>
          </w:p>
        </w:tc>
        <w:tc>
          <w:tcPr>
            <w:tcW w:w="0" w:type="auto"/>
          </w:tcPr>
          <w:p w14:paraId="3EF6A98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Settling tracker for the pH read (Section 3.2.5)</w:t>
            </w:r>
          </w:p>
        </w:tc>
        <w:tc>
          <w:tcPr>
            <w:tcW w:w="0" w:type="auto"/>
          </w:tcPr>
          <w:p w14:paraId="17D3B86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New in the refactor</w:t>
            </w:r>
          </w:p>
        </w:tc>
      </w:tr>
    </w:tbl>
    <w:p w14:paraId="72F07687" w14:textId="77777777" w:rsidR="00DB1607" w:rsidRPr="00B95EB3" w:rsidRDefault="00000000">
      <w:pPr>
        <w:pStyle w:val="Heading3"/>
        <w:rPr>
          <w:rFonts w:asciiTheme="majorHAnsi" w:hAnsiTheme="majorHAnsi" w:cstheme="majorHAnsi"/>
        </w:rPr>
      </w:pPr>
      <w:bookmarkStart w:id="212" w:name="changes-made-in-the-refactor"/>
      <w:bookmarkStart w:id="213" w:name="_Toc241565765"/>
      <w:bookmarkEnd w:id="210"/>
      <w:r w:rsidRPr="00B95EB3">
        <w:rPr>
          <w:rFonts w:asciiTheme="majorHAnsi" w:hAnsiTheme="majorHAnsi" w:cstheme="majorHAnsi"/>
        </w:rPr>
        <w:t>5.2.2 Changes Made in the Refactor</w:t>
      </w:r>
      <w:bookmarkEnd w:id="213"/>
    </w:p>
    <w:p w14:paraId="0DFFFAF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Most firmware changes removed duplication. The TDS formula and the DS18B20 scratchpad checks each existed in two sketches and now exist once. The one behavioural change is the adaptive pH settle, which replaces the fixed 5 s wait with a poll that stops once three readings agree within 3 mV, keeping 5 s as the upper limit. The worst case is unchanged, so this cannot make a reading worse than before, while the typical wake should be shorter. The tolerance is a starting value to be tuned from the settle log (Section 4.4.2).</w:t>
      </w:r>
    </w:p>
    <w:p w14:paraId="304C0BE2"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refactor also produced a networked version of the sensor node. The main sketch had the careful sensing sequence but only printed its results to the serial port, while a separate test sketch uploaded to Supabase but never slept, had no Wi-Fi timeout and sent a fixed placeholder instead of a real light reading. The networked version combines the two: the refactored sensing sequence, the camera’s bounded Wi-Fi retry and backoff logic (extracted into two further headers), and a single batched insert. It also leaves a failed temperature reading out of the upload instead of sending the compensation fallback. This version has been reviewed but not yet compiled for the ESP32. It is to be flashed and checked against the original sketch, cycle by cycle, before it replaces it.</w:t>
      </w:r>
    </w:p>
    <w:p w14:paraId="7070A661" w14:textId="77777777" w:rsidR="00DB1607" w:rsidRPr="00B95EB3" w:rsidRDefault="00000000">
      <w:pPr>
        <w:pStyle w:val="Heading3"/>
        <w:rPr>
          <w:rFonts w:asciiTheme="majorHAnsi" w:hAnsiTheme="majorHAnsi" w:cstheme="majorHAnsi"/>
        </w:rPr>
      </w:pPr>
      <w:bookmarkStart w:id="214" w:name="verification"/>
      <w:bookmarkStart w:id="215" w:name="_Toc241565766"/>
      <w:bookmarkEnd w:id="212"/>
      <w:r w:rsidRPr="00B95EB3">
        <w:rPr>
          <w:rFonts w:asciiTheme="majorHAnsi" w:hAnsiTheme="majorHAnsi" w:cstheme="majorHAnsi"/>
        </w:rPr>
        <w:t>5.2.3 Verification</w:t>
      </w:r>
      <w:bookmarkEnd w:id="215"/>
    </w:p>
    <w:p w14:paraId="2CABC9C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six sensing libraries and the two Wi-Fi headers are covered by a host test program with 66 checks. Table 5.2 lists what each group tests, and all 66 checks pass.</w:t>
      </w:r>
    </w:p>
    <w:p w14:paraId="5569B355"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5.2. Firmware host tests.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091"/>
        <w:gridCol w:w="8095"/>
      </w:tblGrid>
      <w:tr w:rsidR="00DB1607" w:rsidRPr="00B95EB3" w14:paraId="47E0DBFF"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5311B95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Test group</w:t>
            </w:r>
          </w:p>
        </w:tc>
        <w:tc>
          <w:tcPr>
            <w:tcW w:w="0" w:type="auto"/>
            <w:shd w:val="clear" w:color="auto" w:fill="EDEFF2"/>
          </w:tcPr>
          <w:p w14:paraId="6A011DC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What is checked</w:t>
            </w:r>
          </w:p>
        </w:tc>
      </w:tr>
      <w:tr w:rsidR="00DB1607" w:rsidRPr="00B95EB3" w14:paraId="7AF488D2" w14:textId="77777777">
        <w:tc>
          <w:tcPr>
            <w:tcW w:w="0" w:type="auto"/>
          </w:tcPr>
          <w:p w14:paraId="1864AB0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Median filter</w:t>
            </w:r>
          </w:p>
        </w:tc>
        <w:tc>
          <w:tcPr>
            <w:tcW w:w="0" w:type="auto"/>
          </w:tcPr>
          <w:p w14:paraId="6901891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Odd and even lengths, unsorted input, repeated values, and the upper-median convention for even lengths</w:t>
            </w:r>
          </w:p>
        </w:tc>
      </w:tr>
      <w:tr w:rsidR="00DB1607" w:rsidRPr="00B95EB3" w14:paraId="44173049" w14:textId="77777777">
        <w:tc>
          <w:tcPr>
            <w:tcW w:w="0" w:type="auto"/>
          </w:tcPr>
          <w:p w14:paraId="1231E83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TDS</w:t>
            </w:r>
          </w:p>
        </w:tc>
        <w:tc>
          <w:tcPr>
            <w:tcW w:w="0" w:type="auto"/>
          </w:tcPr>
          <w:p w14:paraId="1FA6264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Zero input, a hand-calculated reference point, compensation direction above and below 25 °C, calibration factor scaling, conversion to conductivity</w:t>
            </w:r>
          </w:p>
        </w:tc>
      </w:tr>
      <w:tr w:rsidR="00DB1607" w:rsidRPr="00B95EB3" w14:paraId="186FEBC2" w14:textId="77777777">
        <w:tc>
          <w:tcPr>
            <w:tcW w:w="0" w:type="auto"/>
          </w:tcPr>
          <w:p w14:paraId="48A426B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w:t>
            </w:r>
          </w:p>
        </w:tc>
        <w:tc>
          <w:tcPr>
            <w:tcW w:w="0" w:type="auto"/>
          </w:tcPr>
          <w:p w14:paraId="5C6E8EF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Buffer interpolation between and beyond table temperatures, reproduction of the factory default fit, refitting from two points, rejection with fewer than two points or near-identical voltages</w:t>
            </w:r>
          </w:p>
        </w:tc>
      </w:tr>
      <w:tr w:rsidR="00DB1607" w:rsidRPr="00B95EB3" w14:paraId="262112B1" w14:textId="77777777">
        <w:tc>
          <w:tcPr>
            <w:tcW w:w="0" w:type="auto"/>
          </w:tcPr>
          <w:p w14:paraId="18B42A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DS18B20</w:t>
            </w:r>
          </w:p>
        </w:tc>
        <w:tc>
          <w:tcPr>
            <w:tcW w:w="0" w:type="auto"/>
          </w:tcPr>
          <w:p w14:paraId="52C68D2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CRC against hand-worked values, a valid reading, a corrupted CRC, an invalid configuration byte and the 85 °C power-on value, with no temperature returned on any error</w:t>
            </w:r>
          </w:p>
        </w:tc>
      </w:tr>
      <w:tr w:rsidR="00DB1607" w:rsidRPr="00B95EB3" w14:paraId="2D79E941" w14:textId="77777777">
        <w:tc>
          <w:tcPr>
            <w:tcW w:w="0" w:type="auto"/>
          </w:tcPr>
          <w:p w14:paraId="5DD6D2C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TSL2591</w:t>
            </w:r>
          </w:p>
        </w:tc>
        <w:tc>
          <w:tcPr>
            <w:tcW w:w="0" w:type="auto"/>
          </w:tcPr>
          <w:p w14:paraId="1560611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Lowering gain on saturation, raising it in the dark, no step past either end, the lux formula at zero and typical counts</w:t>
            </w:r>
          </w:p>
        </w:tc>
      </w:tr>
      <w:tr w:rsidR="00DB1607" w:rsidRPr="00B95EB3" w14:paraId="1D1B9D87" w14:textId="77777777">
        <w:tc>
          <w:tcPr>
            <w:tcW w:w="0" w:type="auto"/>
          </w:tcPr>
          <w:p w14:paraId="38F62F0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Sleep backoff</w:t>
            </w:r>
          </w:p>
        </w:tc>
        <w:tc>
          <w:tcPr>
            <w:tcW w:w="0" w:type="auto"/>
          </w:tcPr>
          <w:p w14:paraId="577776F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5, 15 and 30 minute sequence and interval clamping</w:t>
            </w:r>
          </w:p>
        </w:tc>
      </w:tr>
      <w:tr w:rsidR="00DB1607" w:rsidRPr="00B95EB3" w14:paraId="590E5424" w14:textId="77777777">
        <w:tc>
          <w:tcPr>
            <w:tcW w:w="0" w:type="auto"/>
          </w:tcPr>
          <w:p w14:paraId="4776F59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Adaptive settle</w:t>
            </w:r>
          </w:p>
        </w:tc>
        <w:tc>
          <w:tcPr>
            <w:tcW w:w="0" w:type="auto"/>
          </w:tcPr>
          <w:p w14:paraId="39B7BE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Acceptance on agreement, rejection on spread, timeout at the upper limit</w:t>
            </w:r>
          </w:p>
        </w:tc>
      </w:tr>
      <w:tr w:rsidR="00DB1607" w:rsidRPr="00B95EB3" w14:paraId="0B47FB92" w14:textId="77777777">
        <w:tc>
          <w:tcPr>
            <w:tcW w:w="0" w:type="auto"/>
          </w:tcPr>
          <w:p w14:paraId="15BED3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Wi-Fi retry</w:t>
            </w:r>
          </w:p>
        </w:tc>
        <w:tc>
          <w:tcPr>
            <w:tcW w:w="0" w:type="auto"/>
          </w:tcPr>
          <w:p w14:paraId="54D505A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Attempt counting and per-attempt timeout</w:t>
            </w:r>
          </w:p>
        </w:tc>
      </w:tr>
    </w:tbl>
    <w:p w14:paraId="638AC037"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These tests check the logic only. The sketches that call them have not been compiled against the ESP32 toolchain in the refactoring environment, so the bench tests in Section 4.4 remain the evidence that the node reads correctly.</w:t>
      </w:r>
    </w:p>
    <w:p w14:paraId="5CFCF650" w14:textId="77777777" w:rsidR="00DB1607" w:rsidRPr="00B95EB3" w:rsidRDefault="00000000">
      <w:pPr>
        <w:pStyle w:val="Heading2"/>
        <w:rPr>
          <w:rFonts w:asciiTheme="majorHAnsi" w:hAnsiTheme="majorHAnsi" w:cstheme="majorHAnsi"/>
        </w:rPr>
      </w:pPr>
      <w:bookmarkStart w:id="216" w:name="camera-firmware-and-analysis-service"/>
      <w:bookmarkStart w:id="217" w:name="_Toc241565767"/>
      <w:bookmarkEnd w:id="208"/>
      <w:bookmarkEnd w:id="214"/>
      <w:r w:rsidRPr="00B95EB3">
        <w:rPr>
          <w:rFonts w:asciiTheme="majorHAnsi" w:hAnsiTheme="majorHAnsi" w:cstheme="majorHAnsi"/>
        </w:rPr>
        <w:t>5.3 Camera Firmware and Analysis Service</w:t>
      </w:r>
      <w:bookmarkEnd w:id="217"/>
    </w:p>
    <w:p w14:paraId="6F825053" w14:textId="77777777" w:rsidR="00DB1607" w:rsidRPr="00B95EB3" w:rsidRDefault="00000000">
      <w:pPr>
        <w:pStyle w:val="Heading3"/>
        <w:rPr>
          <w:rFonts w:asciiTheme="majorHAnsi" w:hAnsiTheme="majorHAnsi" w:cstheme="majorHAnsi"/>
        </w:rPr>
      </w:pPr>
      <w:bookmarkStart w:id="218" w:name="camera-firmware"/>
      <w:bookmarkStart w:id="219" w:name="_Toc241565768"/>
      <w:r w:rsidRPr="00B95EB3">
        <w:rPr>
          <w:rFonts w:asciiTheme="majorHAnsi" w:hAnsiTheme="majorHAnsi" w:cstheme="majorHAnsi"/>
        </w:rPr>
        <w:t>5.3.1 Camera Firmware</w:t>
      </w:r>
      <w:bookmarkEnd w:id="219"/>
    </w:p>
    <w:p w14:paraId="7550644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camera firmware wakes, initialises the camera, captures one frame and switches the camera off before starting Wi-Fi, so the two largest loads never run together. It posts the JPEG to the analysis service over HTTPS with the device token and user identifier in the headers, reads the wake interval from the reply and sleeps. Section 3.7.4 lists its safeguards. Two details came from failures during development. The original fallback slept for 60 s when the server did not reply, which would have drained a battery in hours during a router outage, so it became 30 minutes with a 5, 15 and 30 minute backoff. The original also read the wake interval only from a successful reply, so an error reply that carried an interval was ignored. It now reads the interval from any reply that contains one.</w:t>
      </w:r>
    </w:p>
    <w:p w14:paraId="2823053B" w14:textId="77777777" w:rsidR="00DB1607" w:rsidRPr="00B95EB3" w:rsidRDefault="00000000">
      <w:pPr>
        <w:pStyle w:val="Heading3"/>
        <w:rPr>
          <w:rFonts w:asciiTheme="majorHAnsi" w:hAnsiTheme="majorHAnsi" w:cstheme="majorHAnsi"/>
        </w:rPr>
      </w:pPr>
      <w:bookmarkStart w:id="220" w:name="corrections-to-the-state-machine"/>
      <w:bookmarkStart w:id="221" w:name="_Toc241565769"/>
      <w:bookmarkEnd w:id="218"/>
      <w:r w:rsidRPr="00B95EB3">
        <w:rPr>
          <w:rFonts w:asciiTheme="majorHAnsi" w:hAnsiTheme="majorHAnsi" w:cstheme="majorHAnsi"/>
        </w:rPr>
        <w:t>5.3.2 Corrections to the State Machine</w:t>
      </w:r>
      <w:bookmarkEnd w:id="221"/>
    </w:p>
    <w:p w14:paraId="628C666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A review of the analysis service before hosting found four faults in the camera state machine, each of which would have made the recorded camera series misrepresent the stated design.</w:t>
      </w:r>
    </w:p>
    <w:p w14:paraId="3F413936" w14:textId="77777777" w:rsidR="00DB1607" w:rsidRPr="00B95EB3" w:rsidRDefault="00000000">
      <w:pPr>
        <w:pStyle w:val="Compact"/>
        <w:numPr>
          <w:ilvl w:val="0"/>
          <w:numId w:val="6"/>
        </w:numPr>
        <w:rPr>
          <w:rFonts w:asciiTheme="majorHAnsi" w:hAnsiTheme="majorHAnsi" w:cstheme="majorHAnsi"/>
        </w:rPr>
      </w:pPr>
      <w:r w:rsidRPr="00B95EB3">
        <w:rPr>
          <w:rFonts w:asciiTheme="majorHAnsi" w:hAnsiTheme="majorHAnsi" w:cstheme="majorHAnsi"/>
        </w:rPr>
        <w:t>The obstruction state could never be reported. The code assigned it, but a later branch always overwrote it with the dynamic or base state, because a jump large enough to count as an obstruction is also large enough to count as dynamic. The branches are now exclusive and checked in priority order: obstruction, then dynamic, then base.</w:t>
      </w:r>
    </w:p>
    <w:p w14:paraId="443CA482" w14:textId="77777777" w:rsidR="00DB1607" w:rsidRPr="00B95EB3" w:rsidRDefault="00000000">
      <w:pPr>
        <w:pStyle w:val="Compact"/>
        <w:numPr>
          <w:ilvl w:val="0"/>
          <w:numId w:val="6"/>
        </w:numPr>
        <w:rPr>
          <w:rFonts w:asciiTheme="majorHAnsi" w:hAnsiTheme="majorHAnsi" w:cstheme="majorHAnsi"/>
        </w:rPr>
      </w:pPr>
      <w:r w:rsidRPr="00B95EB3">
        <w:rPr>
          <w:rFonts w:asciiTheme="majorHAnsi" w:hAnsiTheme="majorHAnsi" w:cstheme="majorHAnsi"/>
        </w:rPr>
        <w:t>The state and the smoothed baseline were returned together but stored as one text value, so the next frame could not recover the baseline. They are now stored as a pair, and the reader accepts both the old and the new forms.</w:t>
      </w:r>
    </w:p>
    <w:p w14:paraId="657FEB89" w14:textId="77777777" w:rsidR="00DB1607" w:rsidRPr="00B95EB3" w:rsidRDefault="00000000">
      <w:pPr>
        <w:pStyle w:val="Compact"/>
        <w:numPr>
          <w:ilvl w:val="0"/>
          <w:numId w:val="6"/>
        </w:numPr>
        <w:rPr>
          <w:rFonts w:asciiTheme="majorHAnsi" w:hAnsiTheme="majorHAnsi" w:cstheme="majorHAnsi"/>
        </w:rPr>
      </w:pPr>
      <w:r w:rsidRPr="00B95EB3">
        <w:rPr>
          <w:rFonts w:asciiTheme="majorHAnsi" w:hAnsiTheme="majorHAnsi" w:cstheme="majorHAnsi"/>
        </w:rPr>
        <w:t>The comparison used the previous frame’s raw green ratio as its baseline instead of the smoothed value, which meant the smoothing had no effect. The smoothed value is now recovered from the stored pair.</w:t>
      </w:r>
    </w:p>
    <w:p w14:paraId="777BDE94" w14:textId="77777777" w:rsidR="00DB1607" w:rsidRPr="00B95EB3" w:rsidRDefault="00000000">
      <w:pPr>
        <w:pStyle w:val="Compact"/>
        <w:numPr>
          <w:ilvl w:val="0"/>
          <w:numId w:val="6"/>
        </w:numPr>
        <w:rPr>
          <w:rFonts w:asciiTheme="majorHAnsi" w:hAnsiTheme="majorHAnsi" w:cstheme="majorHAnsi"/>
        </w:rPr>
      </w:pPr>
      <w:r w:rsidRPr="00B95EB3">
        <w:rPr>
          <w:rFonts w:asciiTheme="majorHAnsi" w:hAnsiTheme="majorHAnsi" w:cstheme="majorHAnsi"/>
        </w:rPr>
        <w:t>The obstruction state had no exit, so once entered, the camera stayed on the obstruction schedule indefinitely. It now returns to base when a frame comes back within 0.15 of the baseline.</w:t>
      </w:r>
    </w:p>
    <w:p w14:paraId="6616BE9D"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schedule also contained test intervals of 60 s to 100 s in its active path, and it computed times in the server’s own time zone. The real daylight slots were restored, times are computed in Singapore time, and the test intervals are available only when a test-mode setting is switched on.</w:t>
      </w:r>
    </w:p>
    <w:p w14:paraId="119B67C7" w14:textId="77777777" w:rsidR="00DB1607" w:rsidRPr="00B95EB3" w:rsidRDefault="00000000">
      <w:pPr>
        <w:pStyle w:val="Heading3"/>
        <w:rPr>
          <w:rFonts w:asciiTheme="majorHAnsi" w:hAnsiTheme="majorHAnsi" w:cstheme="majorHAnsi"/>
        </w:rPr>
      </w:pPr>
      <w:bookmarkStart w:id="222" w:name="verification-1"/>
      <w:bookmarkStart w:id="223" w:name="_Toc241565770"/>
      <w:bookmarkEnd w:id="220"/>
      <w:r w:rsidRPr="00B95EB3">
        <w:rPr>
          <w:rFonts w:asciiTheme="majorHAnsi" w:hAnsiTheme="majorHAnsi" w:cstheme="majorHAnsi"/>
        </w:rPr>
        <w:t>5.3.3 Verification</w:t>
      </w:r>
      <w:bookmarkEnd w:id="223"/>
    </w:p>
    <w:p w14:paraId="11E8EF80"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camera service does not yet have an automated test suite in the repository. An earlier upload test script was removed with the old service. The corrections above have therefore not yet been checked by an automated test, and Section 4.4.6 defines the labelled-sequence test that will check them. Adding that sequence as an automated test, with Supabase replaced by an in-memory fake as the digital twin’s tests do, is a straightforward extension and is listed in Section 7.4.</w:t>
      </w:r>
    </w:p>
    <w:p w14:paraId="3038A970" w14:textId="77777777" w:rsidR="00DB1607" w:rsidRPr="00B95EB3" w:rsidRDefault="00000000">
      <w:pPr>
        <w:pStyle w:val="Heading2"/>
        <w:rPr>
          <w:rFonts w:asciiTheme="majorHAnsi" w:hAnsiTheme="majorHAnsi" w:cstheme="majorHAnsi"/>
        </w:rPr>
      </w:pPr>
      <w:bookmarkStart w:id="224" w:name="digital-twin-service-1"/>
      <w:bookmarkStart w:id="225" w:name="_Toc241565771"/>
      <w:bookmarkEnd w:id="216"/>
      <w:bookmarkEnd w:id="222"/>
      <w:r w:rsidRPr="00B95EB3">
        <w:rPr>
          <w:rFonts w:asciiTheme="majorHAnsi" w:hAnsiTheme="majorHAnsi" w:cstheme="majorHAnsi"/>
        </w:rPr>
        <w:t>5.4 Digital Twin Service</w:t>
      </w:r>
      <w:bookmarkEnd w:id="225"/>
    </w:p>
    <w:p w14:paraId="08C90069" w14:textId="77777777" w:rsidR="00DB1607" w:rsidRPr="00B95EB3" w:rsidRDefault="00000000">
      <w:pPr>
        <w:pStyle w:val="Heading3"/>
        <w:rPr>
          <w:rFonts w:asciiTheme="majorHAnsi" w:hAnsiTheme="majorHAnsi" w:cstheme="majorHAnsi"/>
        </w:rPr>
      </w:pPr>
      <w:bookmarkStart w:id="226" w:name="from-client-side-rules-to-a-server-model"/>
      <w:bookmarkStart w:id="227" w:name="_Toc241565772"/>
      <w:r w:rsidRPr="00B95EB3">
        <w:rPr>
          <w:rFonts w:asciiTheme="majorHAnsi" w:hAnsiTheme="majorHAnsi" w:cstheme="majorHAnsi"/>
        </w:rPr>
        <w:t>5.4.1 From Client-Side Rules to a Server Model</w:t>
      </w:r>
      <w:bookmarkEnd w:id="227"/>
    </w:p>
    <w:p w14:paraId="2221840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chemistry rules were first written in Dart inside the mobile application, where each card computed its own assessment from the sensor history. This caused two problems. The logic could not advance while the application was closed, so the modelled nitrogen pools had no way to follow the pond between uses. And the same rules had to be kept identical across several cards. The rules were therefore ported to Python as a server-side engine, with the same rate constants and validation logic, and the application now reads the result. The Python engine is the single source of the chemistry rules. The evaporation and algae engines were written on the server from the start.</w:t>
      </w:r>
    </w:p>
    <w:p w14:paraId="7AD1D541" w14:textId="77777777" w:rsidR="00DB1607" w:rsidRPr="00B95EB3" w:rsidRDefault="00000000">
      <w:pPr>
        <w:pStyle w:val="Heading3"/>
        <w:rPr>
          <w:rFonts w:asciiTheme="majorHAnsi" w:hAnsiTheme="majorHAnsi" w:cstheme="majorHAnsi"/>
        </w:rPr>
      </w:pPr>
      <w:bookmarkStart w:id="228" w:name="validation-gate"/>
      <w:bookmarkStart w:id="229" w:name="_Toc241565773"/>
      <w:bookmarkEnd w:id="226"/>
      <w:r w:rsidRPr="00B95EB3">
        <w:rPr>
          <w:rFonts w:asciiTheme="majorHAnsi" w:hAnsiTheme="majorHAnsi" w:cstheme="majorHAnsi"/>
        </w:rPr>
        <w:t>5.4.2 Validation Gate</w:t>
      </w:r>
      <w:bookmarkEnd w:id="229"/>
    </w:p>
    <w:p w14:paraId="5EEF15F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Every sensor sample passes through a validation gate before any engine uses it (Section 3.9.3). Table 5.3 lists the rules. Each rejected or flagged value is replaced by the last trusted value for that channel and carries a reason that reaches the application as a sensor warning.</w:t>
      </w:r>
    </w:p>
    <w:p w14:paraId="152AD8F0"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5.3. Validation gate rules. The rate check is skipped when a water change or top-up was logged within six hours, and every channel is flagged as possibly stalled after four identical readings.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271"/>
        <w:gridCol w:w="1514"/>
        <w:gridCol w:w="1683"/>
        <w:gridCol w:w="4718"/>
      </w:tblGrid>
      <w:tr w:rsidR="00DB1607" w:rsidRPr="00B95EB3" w14:paraId="55A18B56"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27D11CB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Channel</w:t>
            </w:r>
          </w:p>
        </w:tc>
        <w:tc>
          <w:tcPr>
            <w:tcW w:w="0" w:type="auto"/>
            <w:shd w:val="clear" w:color="auto" w:fill="EDEFF2"/>
          </w:tcPr>
          <w:p w14:paraId="1C488FA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Plausible range</w:t>
            </w:r>
          </w:p>
        </w:tc>
        <w:tc>
          <w:tcPr>
            <w:tcW w:w="0" w:type="auto"/>
            <w:shd w:val="clear" w:color="auto" w:fill="EDEFF2"/>
          </w:tcPr>
          <w:p w14:paraId="26BB98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Maximum rate</w:t>
            </w:r>
          </w:p>
        </w:tc>
        <w:tc>
          <w:tcPr>
            <w:tcW w:w="0" w:type="auto"/>
            <w:shd w:val="clear" w:color="auto" w:fill="EDEFF2"/>
          </w:tcPr>
          <w:p w14:paraId="05E8F8E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Extra rule</w:t>
            </w:r>
          </w:p>
        </w:tc>
      </w:tr>
      <w:tr w:rsidR="00DB1607" w:rsidRPr="00B95EB3" w14:paraId="11CDF800" w14:textId="77777777">
        <w:tc>
          <w:tcPr>
            <w:tcW w:w="0" w:type="auto"/>
          </w:tcPr>
          <w:p w14:paraId="316B3EC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w:t>
            </w:r>
          </w:p>
        </w:tc>
        <w:tc>
          <w:tcPr>
            <w:tcW w:w="0" w:type="auto"/>
          </w:tcPr>
          <w:p w14:paraId="7A543EA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4.0 to 10.0</w:t>
            </w:r>
          </w:p>
        </w:tc>
        <w:tc>
          <w:tcPr>
            <w:tcW w:w="0" w:type="auto"/>
          </w:tcPr>
          <w:p w14:paraId="0CF41E6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1.0 pH per hour</w:t>
            </w:r>
          </w:p>
        </w:tc>
        <w:tc>
          <w:tcPr>
            <w:tcW w:w="0" w:type="auto"/>
          </w:tcPr>
          <w:p w14:paraId="0C40176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r>
      <w:tr w:rsidR="00DB1607" w:rsidRPr="00B95EB3" w14:paraId="52CBA433" w14:textId="77777777">
        <w:tc>
          <w:tcPr>
            <w:tcW w:w="0" w:type="auto"/>
          </w:tcPr>
          <w:p w14:paraId="25AFD2F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Temperature</w:t>
            </w:r>
          </w:p>
        </w:tc>
        <w:tc>
          <w:tcPr>
            <w:tcW w:w="0" w:type="auto"/>
          </w:tcPr>
          <w:p w14:paraId="653D4C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°C to 45 °C</w:t>
            </w:r>
          </w:p>
        </w:tc>
        <w:tc>
          <w:tcPr>
            <w:tcW w:w="0" w:type="auto"/>
          </w:tcPr>
          <w:p w14:paraId="7B9BBEB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°C per hour</w:t>
            </w:r>
          </w:p>
        </w:tc>
        <w:tc>
          <w:tcPr>
            <w:tcW w:w="0" w:type="auto"/>
          </w:tcPr>
          <w:p w14:paraId="20F0D94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r>
      <w:tr w:rsidR="00DB1607" w:rsidRPr="00B95EB3" w14:paraId="7B5EFEC9" w14:textId="77777777">
        <w:tc>
          <w:tcPr>
            <w:tcW w:w="0" w:type="auto"/>
          </w:tcPr>
          <w:p w14:paraId="69670F9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TDS</w:t>
            </w:r>
          </w:p>
        </w:tc>
        <w:tc>
          <w:tcPr>
            <w:tcW w:w="0" w:type="auto"/>
          </w:tcPr>
          <w:p w14:paraId="31CE169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 to 3000 ppm</w:t>
            </w:r>
          </w:p>
        </w:tc>
        <w:tc>
          <w:tcPr>
            <w:tcW w:w="0" w:type="auto"/>
          </w:tcPr>
          <w:p w14:paraId="4A4610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150 ppm per hour</w:t>
            </w:r>
          </w:p>
        </w:tc>
        <w:tc>
          <w:tcPr>
            <w:tcW w:w="0" w:type="auto"/>
          </w:tcPr>
          <w:p w14:paraId="7CFC6F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Below 5 ppm the probe is taken to be out of the water</w:t>
            </w:r>
          </w:p>
        </w:tc>
      </w:tr>
      <w:tr w:rsidR="00DB1607" w:rsidRPr="00B95EB3" w14:paraId="38AD8DED" w14:textId="77777777">
        <w:tc>
          <w:tcPr>
            <w:tcW w:w="0" w:type="auto"/>
          </w:tcPr>
          <w:p w14:paraId="066152A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Light</w:t>
            </w:r>
          </w:p>
        </w:tc>
        <w:tc>
          <w:tcPr>
            <w:tcW w:w="0" w:type="auto"/>
          </w:tcPr>
          <w:p w14:paraId="5EAC2D8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 to 150,000 lux</w:t>
            </w:r>
          </w:p>
        </w:tc>
        <w:tc>
          <w:tcPr>
            <w:tcW w:w="0" w:type="auto"/>
          </w:tcPr>
          <w:p w14:paraId="0E5B66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No rate check</w:t>
            </w:r>
          </w:p>
        </w:tc>
        <w:tc>
          <w:tcPr>
            <w:tcW w:w="0" w:type="auto"/>
          </w:tcPr>
          <w:p w14:paraId="637C755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Light changes legitimately in seconds</w:t>
            </w:r>
          </w:p>
        </w:tc>
      </w:tr>
    </w:tbl>
    <w:p w14:paraId="752A8D58"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rate limit is what connects owner events to sensor validation. A 20 % water change can move TDS by tens of ppm within an hour, which would otherwise look like drift. Checking for a logged volume event within six hours lets the gate accept a real step while still rejecting an unexplained one.</w:t>
      </w:r>
    </w:p>
    <w:p w14:paraId="7C7D5769" w14:textId="77777777" w:rsidR="00DB1607" w:rsidRPr="00B95EB3" w:rsidRDefault="00000000">
      <w:pPr>
        <w:pStyle w:val="Heading3"/>
        <w:rPr>
          <w:rFonts w:asciiTheme="majorHAnsi" w:hAnsiTheme="majorHAnsi" w:cstheme="majorHAnsi"/>
        </w:rPr>
      </w:pPr>
      <w:bookmarkStart w:id="230" w:name="one-aggregate-one-lock-one-snapshot"/>
      <w:bookmarkStart w:id="231" w:name="_Toc241565774"/>
      <w:bookmarkEnd w:id="228"/>
      <w:r w:rsidRPr="00B95EB3">
        <w:rPr>
          <w:rFonts w:asciiTheme="majorHAnsi" w:hAnsiTheme="majorHAnsi" w:cstheme="majorHAnsi"/>
        </w:rPr>
        <w:t>5.4.3 One Aggregate, One Lock, One Snapshot</w:t>
      </w:r>
      <w:bookmarkEnd w:id="231"/>
    </w:p>
    <w:p w14:paraId="6F8F4D74"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Section 3.9.1 explained why the three engines live in one pond twin object. In the implementation, every change goes through one registry function that takes the pond’s lock, loads the twin (restoring it from its Supabase snapshot if it is not in memory), applies the change, saves the new snapshot and releases the lock. The event endpoints and the poller both use this function, so there is exactly one path by which state can change. Snapshots carry a version and a separate section per engine. Snapshots from before the three engines were combined held only the chemistry engine; the loader recognises this older form and wraps it, so no pond lost its accumulated state when the structure changed.</w:t>
      </w:r>
    </w:p>
    <w:p w14:paraId="679B5426" w14:textId="77777777" w:rsidR="00DB1607" w:rsidRPr="00B95EB3" w:rsidRDefault="00000000">
      <w:pPr>
        <w:pStyle w:val="Heading3"/>
        <w:rPr>
          <w:rFonts w:asciiTheme="majorHAnsi" w:hAnsiTheme="majorHAnsi" w:cstheme="majorHAnsi"/>
        </w:rPr>
      </w:pPr>
      <w:bookmarkStart w:id="232" w:name="forward-projection"/>
      <w:bookmarkStart w:id="233" w:name="_Toc241565775"/>
      <w:bookmarkEnd w:id="230"/>
      <w:r w:rsidRPr="00B95EB3">
        <w:rPr>
          <w:rFonts w:asciiTheme="majorHAnsi" w:hAnsiTheme="majorHAnsi" w:cstheme="majorHAnsi"/>
        </w:rPr>
        <w:t>5.4.4 Forward Projection</w:t>
      </w:r>
      <w:bookmarkEnd w:id="233"/>
    </w:p>
    <w:p w14:paraId="4CF81D2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Each engine can project forward day by day under the NEA four-day outlook. The chemistry projection assumes the pond’s average daily feed over its recent feeding history, and reports the first day each risk level is reached. Beyond the four-day outlook it uses the pond’s own recent daily sensor averages as the assumed conditions. Two implementation choices keep projections consistent with the live status. The chemistry engine’s time step is a single function used both for real elapsed time and for simulated days, so a forecast day and a real day behave identically under the same conditions. And the risk thresholds are shared constants used by both the live assessment and the projection, so “first day at watch level” means the same thing as the current watch status. Projections run on copies of the engine state and never change it, so a read-only request cannot corrupt a pond’s state.</w:t>
      </w:r>
    </w:p>
    <w:p w14:paraId="65826755" w14:textId="77777777" w:rsidR="00DB1607" w:rsidRPr="00B95EB3" w:rsidRDefault="00000000">
      <w:pPr>
        <w:pStyle w:val="Heading3"/>
        <w:rPr>
          <w:rFonts w:asciiTheme="majorHAnsi" w:hAnsiTheme="majorHAnsi" w:cstheme="majorHAnsi"/>
        </w:rPr>
      </w:pPr>
      <w:bookmarkStart w:id="234" w:name="grounding-the-algae-model"/>
      <w:bookmarkStart w:id="235" w:name="_Toc241565776"/>
      <w:bookmarkEnd w:id="232"/>
      <w:r w:rsidRPr="00B95EB3">
        <w:rPr>
          <w:rFonts w:asciiTheme="majorHAnsi" w:hAnsiTheme="majorHAnsi" w:cstheme="majorHAnsi"/>
        </w:rPr>
        <w:t>5.4.5 Grounding the Algae Model</w:t>
      </w:r>
      <w:bookmarkEnd w:id="235"/>
    </w:p>
    <w:p w14:paraId="56C31AB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algae engine combines three kinds of evidence with different reliability. The model fills the hours between camera frames. Each new camera frame pulls the modelled level toward the measurement with a weight of 0.7, so the measurement dominates without a single noisy frame replacing the model outright. An owner’s rating of a frame (none, minor, moderate, severe, or blocked view) pulls with a weight of 0.85, above the camera, because a person looking at the pond is not fooled by glare or a leaf on the lens.</w:t>
      </w:r>
    </w:p>
    <w:p w14:paraId="15E5D65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Ratings do more than correct the current level. With at least two ratings in each class, the engine places the watch threshold between the minor and moderate ratings and the action threshold between moderate and severe, so the thresholds follow what this owner considers minor or severe in this camera’s view. Until then it uses absolute thresholds of 0.25 and 0.40. A rating of “blocked view” removes nearby frames from the growth fit. The frames an owner rates as clear are also used to detect camera drift: if their green ratio in the later half of the history is at least 1.4 times the earlier half, the engine reports possible drift, and at 2.0 times it reports suspected drift, with a suggestion to clean the lens. The engine reports drift instead of correcting for it silently, because the right response to a fouled lens is to clean it. A rating can be undone, which restores the thresholds and history exactly as they were.</w:t>
      </w:r>
    </w:p>
    <w:p w14:paraId="2D5BE5D3"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Figure 5.2b shows the rating screen. It marks each class that still needs ratings, so the owner can see what the calibration is waiting for.</w:t>
      </w:r>
    </w:p>
    <w:p w14:paraId="398CA7EB" w14:textId="77777777" w:rsidR="00DB1607" w:rsidRPr="00B95EB3" w:rsidRDefault="00000000">
      <w:pPr>
        <w:pStyle w:val="Heading3"/>
        <w:rPr>
          <w:rFonts w:asciiTheme="majorHAnsi" w:hAnsiTheme="majorHAnsi" w:cstheme="majorHAnsi"/>
        </w:rPr>
      </w:pPr>
      <w:bookmarkStart w:id="236" w:name="faults-found-and-fixed-in-the-refactor"/>
      <w:bookmarkStart w:id="237" w:name="_Toc241565777"/>
      <w:bookmarkEnd w:id="234"/>
      <w:r w:rsidRPr="00B95EB3">
        <w:rPr>
          <w:rFonts w:asciiTheme="majorHAnsi" w:hAnsiTheme="majorHAnsi" w:cstheme="majorHAnsi"/>
        </w:rPr>
        <w:t>5.4.6 Faults Found and Fixed in the Refactor</w:t>
      </w:r>
      <w:bookmarkEnd w:id="237"/>
    </w:p>
    <w:p w14:paraId="6412BB29"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refactor rounds on the digital twin found two faults that the existing tests could not have caught.</w:t>
      </w:r>
    </w:p>
    <w:p w14:paraId="3DA2F71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chemistry engine kept a record per day of trusted pH, light and TDS readings, used for the buffering and TDS trends, and never removed old days. On a long-running service this grows without limit. A 30-day retention limit was added. While adding it, a second fault appeared: day keys were built as text without zero padding, so “2026-10-5” sorted before “2026-9-1”, and a pruning rule based on comparing keys would have deleted the wrong days around month boundaries. The pruning now compares real dates. A dedicated test covers both the retention limit and the month-boundary case.</w:t>
      </w:r>
    </w:p>
    <w:p w14:paraId="2FEE66C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algae engine parsed the full camera history twice per poll, once to assimilate new frames and once to refit the growth rate. The parsed history is now cached between the two steps, with a test confirming that the cached copy always matches a fresh parse.</w:t>
      </w:r>
    </w:p>
    <w:p w14:paraId="67EAB5D0" w14:textId="77777777" w:rsidR="00DB1607" w:rsidRPr="00B95EB3" w:rsidRDefault="00000000">
      <w:pPr>
        <w:pStyle w:val="Heading2"/>
        <w:rPr>
          <w:rFonts w:asciiTheme="majorHAnsi" w:hAnsiTheme="majorHAnsi" w:cstheme="majorHAnsi"/>
        </w:rPr>
      </w:pPr>
      <w:bookmarkStart w:id="238" w:name="X10fb94826ca9adc5b241bb60f3188a376c9fc7e"/>
      <w:bookmarkStart w:id="239" w:name="_Toc241565778"/>
      <w:bookmarkEnd w:id="224"/>
      <w:bookmarkEnd w:id="236"/>
      <w:r w:rsidRPr="00B95EB3">
        <w:rPr>
          <w:rFonts w:asciiTheme="majorHAnsi" w:hAnsiTheme="majorHAnsi" w:cstheme="majorHAnsi"/>
        </w:rPr>
        <w:t>5.5 Data Pipeline and the Server–Client Contract</w:t>
      </w:r>
      <w:bookmarkEnd w:id="239"/>
    </w:p>
    <w:p w14:paraId="324DE99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NEA observations and forecasts reach Supabase through a retrieval service that calls the data.gov.sg real-time API. The poller and the application both read them through the bundled dashboard function, which also carries the latest sensor values (Section 3.8). A shared module converts the NEA forecast into model inputs: the two-hour nowcast text, falling back to the four-day outlook, gives the rain context, and the outlook’s temperature, humidity and wind bands give each forecast day’s conditions, with wind converted from knots to metres per second for the Penman formula. Keeping this conversion in one module means the poller’s rain decision and the forecast endpoint’s cannot drift apart.</w:t>
      </w:r>
    </w:p>
    <w:p w14:paraId="7208324E"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main risk at the boundary between server and client is a field name. In Dart, reading a key that the server does not send returns null rather than raising an error, so a typing mistake shows up only as a blank or default value on screen. A contract test was written for this case. It extracts every key the Dart models read from the JSON, generates real responses from the Python engines, and checks that each key is present and has one of the values the Dart code handles. The test runs without a Dart compiler, which was not available in the refactoring environment.</w:t>
      </w:r>
    </w:p>
    <w:p w14:paraId="3F7EC75B" w14:textId="77777777" w:rsidR="00DB1607" w:rsidRPr="00B95EB3" w:rsidRDefault="00000000">
      <w:pPr>
        <w:pStyle w:val="Heading2"/>
        <w:rPr>
          <w:rFonts w:asciiTheme="majorHAnsi" w:hAnsiTheme="majorHAnsi" w:cstheme="majorHAnsi"/>
        </w:rPr>
      </w:pPr>
      <w:bookmarkStart w:id="240" w:name="mobile-application"/>
      <w:bookmarkStart w:id="241" w:name="_Toc241565779"/>
      <w:bookmarkEnd w:id="238"/>
      <w:r w:rsidRPr="00B95EB3">
        <w:rPr>
          <w:rFonts w:asciiTheme="majorHAnsi" w:hAnsiTheme="majorHAnsi" w:cstheme="majorHAnsi"/>
        </w:rPr>
        <w:t>5.6 Mobile Application</w:t>
      </w:r>
      <w:bookmarkEnd w:id="241"/>
    </w:p>
    <w:p w14:paraId="7DB2D2FC" w14:textId="77777777" w:rsidR="00DB1607" w:rsidRPr="00B95EB3" w:rsidRDefault="00000000">
      <w:pPr>
        <w:pStyle w:val="Heading3"/>
        <w:rPr>
          <w:rFonts w:asciiTheme="majorHAnsi" w:hAnsiTheme="majorHAnsi" w:cstheme="majorHAnsi"/>
        </w:rPr>
      </w:pPr>
      <w:bookmarkStart w:id="242" w:name="screens"/>
      <w:bookmarkStart w:id="243" w:name="_Toc241565780"/>
      <w:r w:rsidRPr="00B95EB3">
        <w:rPr>
          <w:rFonts w:asciiTheme="majorHAnsi" w:hAnsiTheme="majorHAnsi" w:cstheme="majorHAnsi"/>
        </w:rPr>
        <w:t>5.6.1 Screens</w:t>
      </w:r>
      <w:bookmarkEnd w:id="243"/>
    </w:p>
    <w:p w14:paraId="5055011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dashboard (Figure 5.1a) opens with a weather ribbon showing the current NEA conditions and three outcome cards: temperature and feeding, pH and buffering, and algae and light. Each card leads with the value, gives a status level and a short advisory message, and opens a detail screen. The cards were redesigned in several rounds to lead with the outcome and cut explanatory text, since an owner checking the pond wants the status first.</w:t>
      </w:r>
    </w:p>
    <w:p w14:paraId="6817866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detail screens (Figure 5.2a) show the sensor history over 7 or 30 days with owner events marked on the same timeline, followed by the model’s lookahead cards: the evaporation and feed outlook for temperature, the water buffer status for pH and the algae outlook for light. A placeholder replaces a chart when there is too little data, rather than drawing a line through two points.</w:t>
      </w:r>
    </w:p>
    <w:p w14:paraId="698CF0D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log button opens a sheet with the four event types (Figure 5.1b). Each form asks only for the amount that matters to the model. The application writes the event to the intervention table first and then sends it to the digital twin. The write to Supabase is what the timeline reads, so it is done first and must succeed. Sending the event to the digital twin is treated as best effort, so a slow or unreachable model service does not block saving. The cost of this ordering is discussed in Section 5.8.</w:t>
      </w:r>
    </w:p>
    <w:p w14:paraId="5F0061DD"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Onboarding records the pond’s location, volume and estimated fish biomass, which set the model’s scale and select the weather stations. A species guide gives care parameters for common pond and aquarium species, drawn from a database built by the project’s scraper.</w:t>
      </w:r>
    </w:p>
    <w:p w14:paraId="2CB73B7F" w14:textId="77777777" w:rsidR="00DB1607" w:rsidRPr="00B95EB3" w:rsidRDefault="00000000">
      <w:pPr>
        <w:pStyle w:val="CaptionedFigure"/>
        <w:jc w:val="center"/>
        <w:rPr>
          <w:rFonts w:asciiTheme="majorHAnsi" w:hAnsiTheme="majorHAnsi" w:cstheme="majorHAnsi"/>
        </w:rPr>
      </w:pPr>
      <w:r w:rsidRPr="00B95EB3">
        <w:rPr>
          <w:rFonts w:asciiTheme="majorHAnsi" w:hAnsiTheme="majorHAnsi" w:cstheme="majorHAnsi"/>
          <w:noProof/>
        </w:rPr>
        <w:drawing>
          <wp:inline distT="0" distB="0" distL="0" distR="0" wp14:anchorId="6494DEF8" wp14:editId="3E3ABC4A">
            <wp:extent cx="4868545" cy="5437266"/>
            <wp:effectExtent l="0" t="0" r="0" b="0"/>
            <wp:docPr id="145" name="Picture" descr="Figure 5.1. (a) Dashboard with the NEA weather ribbon and the three outcome cards. (b) Event logging sheet."/>
            <wp:cNvGraphicFramePr/>
            <a:graphic xmlns:a="http://schemas.openxmlformats.org/drawingml/2006/main">
              <a:graphicData uri="http://schemas.openxmlformats.org/drawingml/2006/picture">
                <pic:pic xmlns:pic="http://schemas.openxmlformats.org/drawingml/2006/picture">
                  <pic:nvPicPr>
                    <pic:cNvPr id="146" name="Picture" descr="figs/app_dashboard_log.png"/>
                    <pic:cNvPicPr>
                      <a:picLocks noChangeAspect="1" noChangeArrowheads="1"/>
                    </pic:cNvPicPr>
                  </pic:nvPicPr>
                  <pic:blipFill>
                    <a:blip r:embed="rId8"/>
                    <a:stretch>
                      <a:fillRect/>
                    </a:stretch>
                  </pic:blipFill>
                  <pic:spPr bwMode="auto">
                    <a:xfrm>
                      <a:off x="0" y="0"/>
                      <a:ext cx="4868545" cy="5437266"/>
                    </a:xfrm>
                    <a:prstGeom prst="rect">
                      <a:avLst/>
                    </a:prstGeom>
                    <a:noFill/>
                    <a:ln w="9525">
                      <a:noFill/>
                      <a:headEnd/>
                      <a:tailEnd/>
                    </a:ln>
                  </pic:spPr>
                </pic:pic>
              </a:graphicData>
            </a:graphic>
          </wp:inline>
        </w:drawing>
      </w:r>
    </w:p>
    <w:p w14:paraId="0C72334F" w14:textId="77777777" w:rsidR="00DB1607" w:rsidRPr="00B95EB3" w:rsidRDefault="00000000">
      <w:pPr>
        <w:pStyle w:val="ImageCaption"/>
        <w:rPr>
          <w:rFonts w:asciiTheme="majorHAnsi" w:hAnsiTheme="majorHAnsi" w:cstheme="majorHAnsi"/>
        </w:rPr>
      </w:pPr>
      <w:r w:rsidRPr="00B95EB3">
        <w:rPr>
          <w:rFonts w:asciiTheme="majorHAnsi" w:hAnsiTheme="majorHAnsi" w:cstheme="majorHAnsi"/>
        </w:rPr>
        <w:t>Figure 5.1. (a) Dashboard with the NEA weather ribbon and the three outcome cards. (b) Event logging sheet.</w:t>
      </w:r>
    </w:p>
    <w:p w14:paraId="14270BB5" w14:textId="77777777" w:rsidR="00DB1607" w:rsidRPr="00B95EB3" w:rsidRDefault="00000000">
      <w:pPr>
        <w:pStyle w:val="CaptionedFigure"/>
        <w:jc w:val="center"/>
        <w:rPr>
          <w:rFonts w:asciiTheme="majorHAnsi" w:hAnsiTheme="majorHAnsi" w:cstheme="majorHAnsi"/>
        </w:rPr>
      </w:pPr>
      <w:r w:rsidRPr="00B95EB3">
        <w:rPr>
          <w:rFonts w:asciiTheme="majorHAnsi" w:hAnsiTheme="majorHAnsi" w:cstheme="majorHAnsi"/>
          <w:noProof/>
        </w:rPr>
        <w:drawing>
          <wp:inline distT="0" distB="0" distL="0" distR="0" wp14:anchorId="6E5647CF" wp14:editId="7F0DC3BC">
            <wp:extent cx="4868545" cy="5437266"/>
            <wp:effectExtent l="0" t="0" r="0" b="0"/>
            <wp:docPr id="148" name="Picture" descr="Figure 5.2. (a) Temperature detail screen with the 30-day timeline, event markers and the evaporation and feed outlook. (b) Algae rating card on the latest camera frame, with classes that still need ratings marked."/>
            <wp:cNvGraphicFramePr/>
            <a:graphic xmlns:a="http://schemas.openxmlformats.org/drawingml/2006/main">
              <a:graphicData uri="http://schemas.openxmlformats.org/drawingml/2006/picture">
                <pic:pic xmlns:pic="http://schemas.openxmlformats.org/drawingml/2006/picture">
                  <pic:nvPicPr>
                    <pic:cNvPr id="149" name="Picture" descr="figs/app_detail_rating.png"/>
                    <pic:cNvPicPr>
                      <a:picLocks noChangeAspect="1" noChangeArrowheads="1"/>
                    </pic:cNvPicPr>
                  </pic:nvPicPr>
                  <pic:blipFill>
                    <a:blip r:embed="rId9"/>
                    <a:stretch>
                      <a:fillRect/>
                    </a:stretch>
                  </pic:blipFill>
                  <pic:spPr bwMode="auto">
                    <a:xfrm>
                      <a:off x="0" y="0"/>
                      <a:ext cx="4868545" cy="5437266"/>
                    </a:xfrm>
                    <a:prstGeom prst="rect">
                      <a:avLst/>
                    </a:prstGeom>
                    <a:noFill/>
                    <a:ln w="9525">
                      <a:noFill/>
                      <a:headEnd/>
                      <a:tailEnd/>
                    </a:ln>
                  </pic:spPr>
                </pic:pic>
              </a:graphicData>
            </a:graphic>
          </wp:inline>
        </w:drawing>
      </w:r>
    </w:p>
    <w:p w14:paraId="38F8E676" w14:textId="77777777" w:rsidR="00DB1607" w:rsidRPr="00B95EB3" w:rsidRDefault="00000000">
      <w:pPr>
        <w:pStyle w:val="ImageCaption"/>
        <w:rPr>
          <w:rFonts w:asciiTheme="majorHAnsi" w:hAnsiTheme="majorHAnsi" w:cstheme="majorHAnsi"/>
        </w:rPr>
      </w:pPr>
      <w:r w:rsidRPr="00B95EB3">
        <w:rPr>
          <w:rFonts w:asciiTheme="majorHAnsi" w:hAnsiTheme="majorHAnsi" w:cstheme="majorHAnsi"/>
        </w:rPr>
        <w:t>Figure 5.2. (a) Temperature detail screen with the 30-day timeline, event markers and the evaporation and feed outlook. (b) Algae rating card on the latest camera frame, with classes that still need ratings marked.</w:t>
      </w:r>
    </w:p>
    <w:p w14:paraId="3FAE1030" w14:textId="77777777" w:rsidR="00DB1607" w:rsidRPr="00B95EB3" w:rsidRDefault="00000000">
      <w:pPr>
        <w:pStyle w:val="Heading3"/>
        <w:rPr>
          <w:rFonts w:asciiTheme="majorHAnsi" w:hAnsiTheme="majorHAnsi" w:cstheme="majorHAnsi"/>
        </w:rPr>
      </w:pPr>
      <w:bookmarkStart w:id="244" w:name="changes-made-in-the-refactor-1"/>
      <w:bookmarkStart w:id="245" w:name="_Toc241565781"/>
      <w:bookmarkEnd w:id="242"/>
      <w:r w:rsidRPr="00B95EB3">
        <w:rPr>
          <w:rFonts w:asciiTheme="majorHAnsi" w:hAnsiTheme="majorHAnsi" w:cstheme="majorHAnsi"/>
        </w:rPr>
        <w:t>5.6.2 Changes Made in the Refactor</w:t>
      </w:r>
      <w:bookmarkEnd w:id="245"/>
    </w:p>
    <w:p w14:paraId="13AFDAA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main finding on the application was that the pH card always computed its own full buffer assessment on the phone, even when the digital twin had already produced one. The two could disagree, and the owner had no way to tell which was shown. The card now shows the server’s assessment when it is available and marks it as such, and falls back to the local calculation only when the server does not respond within its timeout (Section 3.12). An earlier round fixed a navigation fault: switching tabs discarded the dashboard’s state, which cancelled its 30-second refresh timer, threw away its cached data and triggered a fresh network fetch each time the owner returned. Keeping each tab’s screen alive in the background fixed this. The same round moved the parsing of the sensor history out of the screen’s build step, where it had run on every redraw, so that it runs once per data refresh.</w:t>
      </w:r>
    </w:p>
    <w:p w14:paraId="5C65057F" w14:textId="77777777" w:rsidR="00DB1607" w:rsidRPr="00B95EB3" w:rsidRDefault="00000000">
      <w:pPr>
        <w:pStyle w:val="Heading3"/>
        <w:rPr>
          <w:rFonts w:asciiTheme="majorHAnsi" w:hAnsiTheme="majorHAnsi" w:cstheme="majorHAnsi"/>
        </w:rPr>
      </w:pPr>
      <w:bookmarkStart w:id="246" w:name="verification-2"/>
      <w:bookmarkStart w:id="247" w:name="_Toc241565782"/>
      <w:bookmarkEnd w:id="244"/>
      <w:r w:rsidRPr="00B95EB3">
        <w:rPr>
          <w:rFonts w:asciiTheme="majorHAnsi" w:hAnsiTheme="majorHAnsi" w:cstheme="majorHAnsi"/>
        </w:rPr>
        <w:t>5.6.3 Verification</w:t>
      </w:r>
      <w:bookmarkEnd w:id="247"/>
    </w:p>
    <w:p w14:paraId="2A90D37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Before the refactor the application had one test file, and it no longer compiled. The refactor added five test files: characterisation tests that fix the current behaviour of the temperature, pH and algae helper rules, widget tests for the pH card’s choice between the server assessment and the local fallback, and a test showing that the dashboard’s state survives a tab switch, which was confirmed to fail on the old code and pass on the fix. The refactor log records all of them passing. They were not re-run for this report because the Flutter toolchain was not available in the environment used for the backend and firmware tests. Writing the characterisation tests also exposed a quirk in the helper rules: the pH helper shifts each day by six hours before grouping, so N calendar days of data give only N − 1 groups that meet its minimum sample count. The contract test in Section 5.5 covers the part of the application most likely to fail silently.</w:t>
      </w:r>
    </w:p>
    <w:p w14:paraId="110E7A5E" w14:textId="77777777" w:rsidR="00DB1607" w:rsidRPr="00B95EB3" w:rsidRDefault="00000000">
      <w:pPr>
        <w:pStyle w:val="Heading2"/>
        <w:rPr>
          <w:rFonts w:asciiTheme="majorHAnsi" w:hAnsiTheme="majorHAnsi" w:cstheme="majorHAnsi"/>
        </w:rPr>
      </w:pPr>
      <w:bookmarkStart w:id="248" w:name="verification-summary"/>
      <w:bookmarkStart w:id="249" w:name="_Toc241565783"/>
      <w:bookmarkEnd w:id="240"/>
      <w:bookmarkEnd w:id="246"/>
      <w:r w:rsidRPr="00B95EB3">
        <w:rPr>
          <w:rFonts w:asciiTheme="majorHAnsi" w:hAnsiTheme="majorHAnsi" w:cstheme="majorHAnsi"/>
        </w:rPr>
        <w:t>5.7 Verification Summary</w:t>
      </w:r>
      <w:bookmarkEnd w:id="249"/>
    </w:p>
    <w:p w14:paraId="737929B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Table 5.4 summarises the automated tests. The backend and firmware suites were run on 28 September 2026 against the refactored code.</w:t>
      </w:r>
    </w:p>
    <w:p w14:paraId="0A42027D"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5.4. Automated verification. The backend suites total 297 checks with none failing.</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1361"/>
        <w:gridCol w:w="5465"/>
        <w:gridCol w:w="1064"/>
        <w:gridCol w:w="1296"/>
      </w:tblGrid>
      <w:tr w:rsidR="00DB1607" w:rsidRPr="00B95EB3" w14:paraId="23B786A6"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2166211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Suite</w:t>
            </w:r>
          </w:p>
        </w:tc>
        <w:tc>
          <w:tcPr>
            <w:tcW w:w="0" w:type="auto"/>
            <w:shd w:val="clear" w:color="auto" w:fill="EDEFF2"/>
          </w:tcPr>
          <w:p w14:paraId="66106B9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Scope</w:t>
            </w:r>
          </w:p>
        </w:tc>
        <w:tc>
          <w:tcPr>
            <w:tcW w:w="0" w:type="auto"/>
            <w:shd w:val="clear" w:color="auto" w:fill="EDEFF2"/>
          </w:tcPr>
          <w:p w14:paraId="1EFC397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Checks</w:t>
            </w:r>
          </w:p>
        </w:tc>
        <w:tc>
          <w:tcPr>
            <w:tcW w:w="0" w:type="auto"/>
            <w:shd w:val="clear" w:color="auto" w:fill="EDEFF2"/>
          </w:tcPr>
          <w:p w14:paraId="4D35CA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Result</w:t>
            </w:r>
          </w:p>
        </w:tc>
      </w:tr>
      <w:tr w:rsidR="00DB1607" w:rsidRPr="00B95EB3" w14:paraId="0AFD0227" w14:textId="77777777">
        <w:tc>
          <w:tcPr>
            <w:tcW w:w="0" w:type="auto"/>
          </w:tcPr>
          <w:p w14:paraId="52B554E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Firmware host tests</w:t>
            </w:r>
          </w:p>
        </w:tc>
        <w:tc>
          <w:tcPr>
            <w:tcW w:w="0" w:type="auto"/>
          </w:tcPr>
          <w:p w14:paraId="1186665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Six sensing libraries and two Wi-Fi headers (Table 5.2)</w:t>
            </w:r>
          </w:p>
        </w:tc>
        <w:tc>
          <w:tcPr>
            <w:tcW w:w="0" w:type="auto"/>
          </w:tcPr>
          <w:p w14:paraId="6C11550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66</w:t>
            </w:r>
          </w:p>
        </w:tc>
        <w:tc>
          <w:tcPr>
            <w:tcW w:w="0" w:type="auto"/>
          </w:tcPr>
          <w:p w14:paraId="6FF7A83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683DFAD6" w14:textId="77777777">
        <w:tc>
          <w:tcPr>
            <w:tcW w:w="0" w:type="auto"/>
          </w:tcPr>
          <w:p w14:paraId="2748404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Pond twin</w:t>
            </w:r>
          </w:p>
        </w:tc>
        <w:tc>
          <w:tcPr>
            <w:tcW w:w="0" w:type="auto"/>
          </w:tcPr>
          <w:p w14:paraId="19D5A5E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 poll advances all three engines; each event resets the right engines; resets survive a snapshot round trip</w:t>
            </w:r>
          </w:p>
        </w:tc>
        <w:tc>
          <w:tcPr>
            <w:tcW w:w="0" w:type="auto"/>
          </w:tcPr>
          <w:p w14:paraId="344B444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61</w:t>
            </w:r>
          </w:p>
        </w:tc>
        <w:tc>
          <w:tcPr>
            <w:tcW w:w="0" w:type="auto"/>
          </w:tcPr>
          <w:p w14:paraId="4687F13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26C7CC04" w14:textId="77777777">
        <w:tc>
          <w:tcPr>
            <w:tcW w:w="0" w:type="auto"/>
          </w:tcPr>
          <w:p w14:paraId="2CCCC97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Poller integration</w:t>
            </w:r>
          </w:p>
        </w:tc>
        <w:tc>
          <w:tcPr>
            <w:tcW w:w="0" w:type="auto"/>
          </w:tcPr>
          <w:p w14:paraId="475ADA3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The real poll cycle and event handlers against an in-memory Supabase, including snapshot persistence and evaluation rows</w:t>
            </w:r>
          </w:p>
        </w:tc>
        <w:tc>
          <w:tcPr>
            <w:tcW w:w="0" w:type="auto"/>
          </w:tcPr>
          <w:p w14:paraId="03732C7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83</w:t>
            </w:r>
          </w:p>
        </w:tc>
        <w:tc>
          <w:tcPr>
            <w:tcW w:w="0" w:type="auto"/>
          </w:tcPr>
          <w:p w14:paraId="747E27B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73940CC1" w14:textId="77777777">
        <w:tc>
          <w:tcPr>
            <w:tcW w:w="0" w:type="auto"/>
          </w:tcPr>
          <w:p w14:paraId="59EA723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New engines</w:t>
            </w:r>
          </w:p>
        </w:tc>
        <w:tc>
          <w:tcPr>
            <w:tcW w:w="0" w:type="auto"/>
          </w:tcPr>
          <w:p w14:paraId="122CB41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Evaporation and algae engines against real camera rows and a real NEA payload</w:t>
            </w:r>
          </w:p>
        </w:tc>
        <w:tc>
          <w:tcPr>
            <w:tcW w:w="0" w:type="auto"/>
          </w:tcPr>
          <w:p w14:paraId="5805F02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49</w:t>
            </w:r>
          </w:p>
        </w:tc>
        <w:tc>
          <w:tcPr>
            <w:tcW w:w="0" w:type="auto"/>
          </w:tcPr>
          <w:p w14:paraId="76DC116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5EFF137C" w14:textId="77777777">
        <w:tc>
          <w:tcPr>
            <w:tcW w:w="0" w:type="auto"/>
          </w:tcPr>
          <w:p w14:paraId="11BA49D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Severity ratings</w:t>
            </w:r>
          </w:p>
        </w:tc>
        <w:tc>
          <w:tcPr>
            <w:tcW w:w="0" w:type="auto"/>
          </w:tcPr>
          <w:p w14:paraId="32AE9A9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Ratings override the camera, calibrate thresholds, detect drift, handle obstruction and undo</w:t>
            </w:r>
          </w:p>
        </w:tc>
        <w:tc>
          <w:tcPr>
            <w:tcW w:w="0" w:type="auto"/>
          </w:tcPr>
          <w:p w14:paraId="6F6D472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63</w:t>
            </w:r>
          </w:p>
        </w:tc>
        <w:tc>
          <w:tcPr>
            <w:tcW w:w="0" w:type="auto"/>
          </w:tcPr>
          <w:p w14:paraId="4E4F9B2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6E744854" w14:textId="77777777">
        <w:tc>
          <w:tcPr>
            <w:tcW w:w="0" w:type="auto"/>
          </w:tcPr>
          <w:p w14:paraId="7A9B555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Contract</w:t>
            </w:r>
          </w:p>
        </w:tc>
        <w:tc>
          <w:tcPr>
            <w:tcW w:w="0" w:type="auto"/>
          </w:tcPr>
          <w:p w14:paraId="3426980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Every key the Dart models read is emitted by the Python engines</w:t>
            </w:r>
          </w:p>
        </w:tc>
        <w:tc>
          <w:tcPr>
            <w:tcW w:w="0" w:type="auto"/>
          </w:tcPr>
          <w:p w14:paraId="47A3AD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25</w:t>
            </w:r>
          </w:p>
        </w:tc>
        <w:tc>
          <w:tcPr>
            <w:tcW w:w="0" w:type="auto"/>
          </w:tcPr>
          <w:p w14:paraId="6D54EF7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3537B393" w14:textId="77777777">
        <w:tc>
          <w:tcPr>
            <w:tcW w:w="0" w:type="auto"/>
          </w:tcPr>
          <w:p w14:paraId="7E07A81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Daily retention</w:t>
            </w:r>
          </w:p>
        </w:tc>
        <w:tc>
          <w:tcPr>
            <w:tcW w:w="0" w:type="auto"/>
          </w:tcPr>
          <w:p w14:paraId="06C851A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30-day limit and the month-boundary key fault</w:t>
            </w:r>
          </w:p>
        </w:tc>
        <w:tc>
          <w:tcPr>
            <w:tcW w:w="0" w:type="auto"/>
          </w:tcPr>
          <w:p w14:paraId="4DF1184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9</w:t>
            </w:r>
          </w:p>
        </w:tc>
        <w:tc>
          <w:tcPr>
            <w:tcW w:w="0" w:type="auto"/>
          </w:tcPr>
          <w:p w14:paraId="353E61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1B2D0FAB" w14:textId="77777777">
        <w:tc>
          <w:tcPr>
            <w:tcW w:w="0" w:type="auto"/>
          </w:tcPr>
          <w:p w14:paraId="34F0DF2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Algae history cache</w:t>
            </w:r>
          </w:p>
        </w:tc>
        <w:tc>
          <w:tcPr>
            <w:tcW w:w="0" w:type="auto"/>
          </w:tcPr>
          <w:p w14:paraId="17AE93D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Cached history matches a fresh parse</w:t>
            </w:r>
          </w:p>
        </w:tc>
        <w:tc>
          <w:tcPr>
            <w:tcW w:w="0" w:type="auto"/>
          </w:tcPr>
          <w:p w14:paraId="1F6A9E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7</w:t>
            </w:r>
          </w:p>
        </w:tc>
        <w:tc>
          <w:tcPr>
            <w:tcW w:w="0" w:type="auto"/>
          </w:tcPr>
          <w:p w14:paraId="585A4C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pass</w:t>
            </w:r>
          </w:p>
        </w:tc>
      </w:tr>
      <w:tr w:rsidR="00DB1607" w:rsidRPr="00B95EB3" w14:paraId="15EDC54C" w14:textId="77777777">
        <w:tc>
          <w:tcPr>
            <w:tcW w:w="0" w:type="auto"/>
          </w:tcPr>
          <w:p w14:paraId="2ABEDEB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Projection check</w:t>
            </w:r>
          </w:p>
        </w:tc>
        <w:tc>
          <w:tcPr>
            <w:tcW w:w="0" w:type="auto"/>
          </w:tcPr>
          <w:p w14:paraId="7773439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Forward projection against realistic scenarios</w:t>
            </w:r>
          </w:p>
        </w:tc>
        <w:tc>
          <w:tcPr>
            <w:tcW w:w="0" w:type="auto"/>
          </w:tcPr>
          <w:p w14:paraId="1BF5A0C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Scenario script</w:t>
            </w:r>
          </w:p>
        </w:tc>
        <w:tc>
          <w:tcPr>
            <w:tcW w:w="0" w:type="auto"/>
          </w:tcPr>
          <w:p w14:paraId="392685F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Pass</w:t>
            </w:r>
          </w:p>
        </w:tc>
      </w:tr>
      <w:tr w:rsidR="00DB1607" w:rsidRPr="00B95EB3" w14:paraId="750F16C4" w14:textId="77777777">
        <w:tc>
          <w:tcPr>
            <w:tcW w:w="0" w:type="auto"/>
          </w:tcPr>
          <w:p w14:paraId="5DB6BE6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Flutter tests</w:t>
            </w:r>
          </w:p>
        </w:tc>
        <w:tc>
          <w:tcPr>
            <w:tcW w:w="0" w:type="auto"/>
          </w:tcPr>
          <w:p w14:paraId="46B3BF2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Helper rules, pH card source choice, tab persistence</w:t>
            </w:r>
          </w:p>
        </w:tc>
        <w:tc>
          <w:tcPr>
            <w:tcW w:w="0" w:type="auto"/>
          </w:tcPr>
          <w:p w14:paraId="78B8079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 files</w:t>
            </w:r>
          </w:p>
        </w:tc>
        <w:tc>
          <w:tcPr>
            <w:tcW w:w="0" w:type="auto"/>
          </w:tcPr>
          <w:p w14:paraId="4707107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Pass, per refactor log</w:t>
            </w:r>
          </w:p>
        </w:tc>
      </w:tr>
    </w:tbl>
    <w:p w14:paraId="5EE95B3B"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 xml:space="preserve">The tests have limits that should be stated alongside the pass counts. They show that the code does what its authors intended. They do not show that the intended behaviour is right for a real pond, which is what the rate constants, thresholds and model structure determine. The chemistry engine’s nitrification rates, the </w:t>
      </w:r>
      <w:r w:rsidRPr="00B95EB3">
        <w:rPr>
          <w:rFonts w:asciiTheme="majorHAnsi" w:hAnsiTheme="majorHAnsi" w:cstheme="majorHAnsi"/>
        </w:rPr>
        <w:lastRenderedPageBreak/>
        <w:t>evaporation shelter factor and the algae growth fallback are all placeholders from literature or judgement until they are calibrated against measurements. The contract test confirms that the keys match, but it does not check how the application displays them. And none of the tests exercises the real Supabase instance, the ESP32 hardware or the hosted camera service, which Chapter 4 covers.</w:t>
      </w:r>
    </w:p>
    <w:p w14:paraId="395DD45B" w14:textId="77777777" w:rsidR="00DB1607" w:rsidRPr="00B95EB3" w:rsidRDefault="00000000">
      <w:pPr>
        <w:pStyle w:val="Heading2"/>
        <w:rPr>
          <w:rFonts w:asciiTheme="majorHAnsi" w:hAnsiTheme="majorHAnsi" w:cstheme="majorHAnsi"/>
        </w:rPr>
      </w:pPr>
      <w:bookmarkStart w:id="250" w:name="known-limitations-of-the-implementation"/>
      <w:bookmarkStart w:id="251" w:name="_Toc241565784"/>
      <w:bookmarkEnd w:id="248"/>
      <w:r w:rsidRPr="00B95EB3">
        <w:rPr>
          <w:rFonts w:asciiTheme="majorHAnsi" w:hAnsiTheme="majorHAnsi" w:cstheme="majorHAnsi"/>
        </w:rPr>
        <w:t>5.8 Known Limitations of the Implementation</w:t>
      </w:r>
      <w:bookmarkEnd w:id="251"/>
    </w:p>
    <w:p w14:paraId="5FA86C7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following limitations are known and are recorded here so that the results in Chapter 6 are read with them in mind. Section 7.4 proposes how each could be addressed.</w:t>
      </w:r>
    </w:p>
    <w:p w14:paraId="5B550C88"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Sensor payload.</w:t>
      </w:r>
      <w:r w:rsidRPr="00B95EB3">
        <w:rPr>
          <w:rFonts w:asciiTheme="majorHAnsi" w:hAnsiTheme="majorHAnsi" w:cstheme="majorHAnsi"/>
        </w:rPr>
        <w:t xml:space="preserve"> Rows carry no device identifier, cycle number or sample time, and a failed light reading is sent as −1 (Section 3.6.2).</w:t>
      </w:r>
    </w:p>
    <w:p w14:paraId="68CEA34E"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Poller resolution.</w:t>
      </w:r>
      <w:r w:rsidRPr="00B95EB3">
        <w:rPr>
          <w:rFonts w:asciiTheme="majorHAnsi" w:hAnsiTheme="majorHAnsi" w:cstheme="majorHAnsi"/>
        </w:rPr>
        <w:t xml:space="preserve"> The poller uses only the latest reading per channel and stamps it with the poll time (Section 3.9.3).</w:t>
      </w:r>
    </w:p>
    <w:p w14:paraId="5A5BE8BC"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Two writes per event.</w:t>
      </w:r>
      <w:r w:rsidRPr="00B95EB3">
        <w:rPr>
          <w:rFonts w:asciiTheme="majorHAnsi" w:hAnsiTheme="majorHAnsi" w:cstheme="majorHAnsi"/>
        </w:rPr>
        <w:t xml:space="preserve"> An event is saved to Supabase and then sent to the digital twin. If the second step fails, the timeline shows the event but the model never applied it, and the digital twin has no step that rebuilds its state from the intervention table to catch up.</w:t>
      </w:r>
    </w:p>
    <w:p w14:paraId="12FC68BD"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Authentication.</w:t>
      </w:r>
      <w:r w:rsidRPr="00B95EB3">
        <w:rPr>
          <w:rFonts w:asciiTheme="majorHAnsi" w:hAnsiTheme="majorHAnsi" w:cstheme="majorHAnsi"/>
        </w:rPr>
        <w:t xml:space="preserve"> The digital twin’s endpoints trust the user identifier in the request (Section 3.9.5).</w:t>
      </w:r>
    </w:p>
    <w:p w14:paraId="784AD879"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Single process.</w:t>
      </w:r>
      <w:r w:rsidRPr="00B95EB3">
        <w:rPr>
          <w:rFonts w:asciiTheme="majorHAnsi" w:hAnsiTheme="majorHAnsi" w:cstheme="majorHAnsi"/>
        </w:rPr>
        <w:t xml:space="preserve"> The per-pond lock protects against races within one process only, so the digital twin must run as a single worker.</w:t>
      </w:r>
    </w:p>
    <w:p w14:paraId="6A5F948A"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Camera schedule.</w:t>
      </w:r>
      <w:r w:rsidRPr="00B95EB3">
        <w:rPr>
          <w:rFonts w:asciiTheme="majorHAnsi" w:hAnsiTheme="majorHAnsi" w:cstheme="majorHAnsi"/>
        </w:rPr>
        <w:t xml:space="preserve"> State changes happen on a single frame, the dynamic state uses one fixed interval, no obstruction alert is sent, and the analysis uses the whole frame (Section 3.7).</w:t>
      </w:r>
    </w:p>
    <w:p w14:paraId="6FD25243"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Client fallback.</w:t>
      </w:r>
      <w:r w:rsidRPr="00B95EB3">
        <w:rPr>
          <w:rFonts w:asciiTheme="majorHAnsi" w:hAnsiTheme="majorHAnsi" w:cstheme="majorHAnsi"/>
        </w:rPr>
        <w:t xml:space="preserve"> The local pH assessment still contains a rule based on a fixed TDS level (Section 3.12).</w:t>
      </w:r>
    </w:p>
    <w:p w14:paraId="72AAD643" w14:textId="77777777" w:rsidR="00DB1607" w:rsidRPr="00B95EB3" w:rsidRDefault="00000000">
      <w:pPr>
        <w:pStyle w:val="Compact"/>
        <w:numPr>
          <w:ilvl w:val="0"/>
          <w:numId w:val="7"/>
        </w:numPr>
        <w:rPr>
          <w:rFonts w:asciiTheme="majorHAnsi" w:hAnsiTheme="majorHAnsi" w:cstheme="majorHAnsi"/>
        </w:rPr>
      </w:pPr>
      <w:r w:rsidRPr="00B95EB3">
        <w:rPr>
          <w:rFonts w:asciiTheme="majorHAnsi" w:hAnsiTheme="majorHAnsi" w:cstheme="majorHAnsi"/>
          <w:b/>
          <w:bCs/>
        </w:rPr>
        <w:t>Credentials in source.</w:t>
      </w:r>
      <w:r w:rsidRPr="00B95EB3">
        <w:rPr>
          <w:rFonts w:asciiTheme="majorHAnsi" w:hAnsiTheme="majorHAnsi" w:cstheme="majorHAnsi"/>
        </w:rPr>
        <w:t xml:space="preserve"> The camera sketch holds its Wi-Fi credentials and device token as constants in the source file, which is committed to the repository. These should be rotated and moved to build-time configuration or the device’s non-volatile storage.</w:t>
      </w:r>
    </w:p>
    <w:p w14:paraId="1EEAC758" w14:textId="77777777" w:rsidR="00DB1607" w:rsidRPr="00B95EB3" w:rsidRDefault="00000000">
      <w:pPr>
        <w:pStyle w:val="Heading1"/>
        <w:rPr>
          <w:rFonts w:asciiTheme="majorHAnsi" w:hAnsiTheme="majorHAnsi" w:cstheme="majorHAnsi"/>
        </w:rPr>
      </w:pPr>
      <w:bookmarkStart w:id="252" w:name="chapter-6-results"/>
      <w:bookmarkStart w:id="253" w:name="_Toc241565785"/>
      <w:bookmarkEnd w:id="204"/>
      <w:bookmarkEnd w:id="250"/>
      <w:r w:rsidRPr="00B95EB3">
        <w:rPr>
          <w:rFonts w:asciiTheme="majorHAnsi" w:hAnsiTheme="majorHAnsi" w:cstheme="majorHAnsi"/>
        </w:rPr>
        <w:lastRenderedPageBreak/>
        <w:t>Chapter 6: Results</w:t>
      </w:r>
      <w:bookmarkEnd w:id="253"/>
    </w:p>
    <w:p w14:paraId="2FEE5050" w14:textId="77777777" w:rsidR="00DB1607" w:rsidRPr="00B95EB3" w:rsidRDefault="00000000">
      <w:pPr>
        <w:pStyle w:val="Heading2"/>
        <w:rPr>
          <w:rFonts w:asciiTheme="majorHAnsi" w:hAnsiTheme="majorHAnsi" w:cstheme="majorHAnsi"/>
        </w:rPr>
      </w:pPr>
      <w:bookmarkStart w:id="254" w:name="status-of-the-results"/>
      <w:bookmarkStart w:id="255" w:name="_Toc241565786"/>
      <w:r w:rsidRPr="00B95EB3">
        <w:rPr>
          <w:rFonts w:asciiTheme="majorHAnsi" w:hAnsiTheme="majorHAnsi" w:cstheme="majorHAnsi"/>
        </w:rPr>
        <w:t>6.1 Status of the Results</w:t>
      </w:r>
      <w:bookmarkEnd w:id="255"/>
    </w:p>
    <w:p w14:paraId="648BE2A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Three bodies of evidence feed this chapter, and they are at different stages. The analysis of historical NEA forecasts against observed weather is complete and is reported in Section 6.2. The automated software verification is complete and is summarised in Section 6.3, with details in Chapter 5. The bench, field and full-system tests defined in Chapter 4 are pending, and Section 6.4 gives the structure in which their results will be reported, so that each result is set against the acceptance limit fixed before testing.</w:t>
      </w:r>
    </w:p>
    <w:p w14:paraId="658224F6" w14:textId="77777777" w:rsidR="00DB1607" w:rsidRPr="00B95EB3" w:rsidRDefault="00000000">
      <w:pPr>
        <w:pStyle w:val="Heading2"/>
        <w:rPr>
          <w:rFonts w:asciiTheme="majorHAnsi" w:hAnsiTheme="majorHAnsi" w:cstheme="majorHAnsi"/>
        </w:rPr>
      </w:pPr>
      <w:bookmarkStart w:id="256" w:name="X7b593b82e1ff196a042dca19fd0c5bd776e21ac"/>
      <w:bookmarkStart w:id="257" w:name="_Toc241565787"/>
      <w:bookmarkEnd w:id="254"/>
      <w:r w:rsidRPr="00B95EB3">
        <w:rPr>
          <w:rFonts w:asciiTheme="majorHAnsi" w:hAnsiTheme="majorHAnsi" w:cstheme="majorHAnsi"/>
        </w:rPr>
        <w:t>6.2 Historical Analysis of NEA Forecasts and Observations</w:t>
      </w:r>
      <w:bookmarkEnd w:id="257"/>
    </w:p>
    <w:p w14:paraId="4CD0CF7A" w14:textId="77777777" w:rsidR="00DB1607" w:rsidRPr="00B95EB3" w:rsidRDefault="00000000">
      <w:pPr>
        <w:pStyle w:val="Heading3"/>
        <w:rPr>
          <w:rFonts w:asciiTheme="majorHAnsi" w:hAnsiTheme="majorHAnsi" w:cstheme="majorHAnsi"/>
        </w:rPr>
      </w:pPr>
      <w:bookmarkStart w:id="258" w:name="purpose-and-data"/>
      <w:bookmarkStart w:id="259" w:name="_Toc241565788"/>
      <w:r w:rsidRPr="00B95EB3">
        <w:rPr>
          <w:rFonts w:asciiTheme="majorHAnsi" w:hAnsiTheme="majorHAnsi" w:cstheme="majorHAnsi"/>
        </w:rPr>
        <w:t>6.2.1 Purpose and Data</w:t>
      </w:r>
      <w:bookmarkEnd w:id="259"/>
    </w:p>
    <w:p w14:paraId="01B45A8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digital twin relies on NEA forecasts for its lookahead, so it is worth knowing, before any pond data exists, how much those forecasts add over what a sensor already reports. This analysis used six years of public data to answer three questions. How large are the rain events a Singapore pond actually receives? How reliable is the forecast wording the system reads? And does the forecast add predictive skill beyond simply measuring the present?</w:t>
      </w:r>
    </w:p>
    <w:p w14:paraId="7F02CE40"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dataset covers 2,302 days from 2 February 2020 to 19 August 2026. Observed rainfall and air temperature come from the NEA stations nearest the pond, in the Woodlands area, aggregated to hourly and daily values. Forecasts come from NEA’s 24-hour forecast, which gives a wording category for each of five regions and four six-hour periods, and from its four-day outlook. Days up to 31 December 2024 were used to set every threshold, and the 2025 to August 2026 period was held out for testing. Thresholds were never adjusted after looking at the held-out period. All analysis steps are in a single notebook in the repository, so the tables below can be reproduced from the raw files.</w:t>
      </w:r>
    </w:p>
    <w:p w14:paraId="29AF7732" w14:textId="77777777" w:rsidR="00DB1607" w:rsidRPr="00B95EB3" w:rsidRDefault="00000000">
      <w:pPr>
        <w:pStyle w:val="Heading3"/>
        <w:rPr>
          <w:rFonts w:asciiTheme="majorHAnsi" w:hAnsiTheme="majorHAnsi" w:cstheme="majorHAnsi"/>
        </w:rPr>
      </w:pPr>
      <w:bookmarkStart w:id="260" w:name="Xa585edba731917e07f1a31e34174991fc041866"/>
      <w:bookmarkStart w:id="261" w:name="_Toc241565789"/>
      <w:bookmarkEnd w:id="258"/>
      <w:r w:rsidRPr="00B95EB3">
        <w:rPr>
          <w:rFonts w:asciiTheme="majorHAnsi" w:hAnsiTheme="majorHAnsi" w:cstheme="majorHAnsi"/>
        </w:rPr>
        <w:t>6.2.2 Rainfall Magnitude and Its Effect on a Pond</w:t>
      </w:r>
      <w:bookmarkEnd w:id="261"/>
    </w:p>
    <w:p w14:paraId="4B7C9301"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Mean rainfall across the record was 7.7 mm per day. Table 6.1 counts the days that reached each threshold.</w:t>
      </w:r>
    </w:p>
    <w:p w14:paraId="05205F0A"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6.1. Daily rainfall frequency at the Woodlands stations, February 2020 to August 2026, and the dilution each amount would cause.</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2066"/>
        <w:gridCol w:w="1823"/>
        <w:gridCol w:w="1751"/>
        <w:gridCol w:w="3546"/>
      </w:tblGrid>
      <w:tr w:rsidR="00DB1607" w:rsidRPr="00B95EB3" w14:paraId="6DF33357"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45EAB5A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Daily rainfall</w:t>
            </w:r>
          </w:p>
        </w:tc>
        <w:tc>
          <w:tcPr>
            <w:tcW w:w="0" w:type="auto"/>
            <w:shd w:val="clear" w:color="auto" w:fill="EDEFF2"/>
          </w:tcPr>
          <w:p w14:paraId="5847E29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Days in record</w:t>
            </w:r>
          </w:p>
        </w:tc>
        <w:tc>
          <w:tcPr>
            <w:tcW w:w="0" w:type="auto"/>
            <w:shd w:val="clear" w:color="auto" w:fill="EDEFF2"/>
          </w:tcPr>
          <w:p w14:paraId="58CDB98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Days per year</w:t>
            </w:r>
          </w:p>
        </w:tc>
        <w:tc>
          <w:tcPr>
            <w:tcW w:w="0" w:type="auto"/>
            <w:shd w:val="clear" w:color="auto" w:fill="EDEFF2"/>
          </w:tcPr>
          <w:p w14:paraId="6752C8E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Dilution of a 1.2 m deep pond</w:t>
            </w:r>
          </w:p>
        </w:tc>
      </w:tr>
      <w:tr w:rsidR="00DB1607" w:rsidRPr="00B95EB3" w14:paraId="7AE7157E" w14:textId="77777777">
        <w:tc>
          <w:tcPr>
            <w:tcW w:w="0" w:type="auto"/>
          </w:tcPr>
          <w:p w14:paraId="26058B7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30 mm or more</w:t>
            </w:r>
          </w:p>
        </w:tc>
        <w:tc>
          <w:tcPr>
            <w:tcW w:w="0" w:type="auto"/>
          </w:tcPr>
          <w:p w14:paraId="3DC5100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169</w:t>
            </w:r>
          </w:p>
        </w:tc>
        <w:tc>
          <w:tcPr>
            <w:tcW w:w="0" w:type="auto"/>
          </w:tcPr>
          <w:p w14:paraId="4C05B42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26.8</w:t>
            </w:r>
          </w:p>
        </w:tc>
        <w:tc>
          <w:tcPr>
            <w:tcW w:w="0" w:type="auto"/>
          </w:tcPr>
          <w:p w14:paraId="11DD894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2.5 %</w:t>
            </w:r>
          </w:p>
        </w:tc>
      </w:tr>
      <w:tr w:rsidR="00DB1607" w:rsidRPr="00B95EB3" w14:paraId="09524C05" w14:textId="77777777">
        <w:tc>
          <w:tcPr>
            <w:tcW w:w="0" w:type="auto"/>
          </w:tcPr>
          <w:p w14:paraId="0E307A4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50 mm or more</w:t>
            </w:r>
          </w:p>
        </w:tc>
        <w:tc>
          <w:tcPr>
            <w:tcW w:w="0" w:type="auto"/>
          </w:tcPr>
          <w:p w14:paraId="74D0119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56</w:t>
            </w:r>
          </w:p>
        </w:tc>
        <w:tc>
          <w:tcPr>
            <w:tcW w:w="0" w:type="auto"/>
          </w:tcPr>
          <w:p w14:paraId="6D3ED9B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8.9</w:t>
            </w:r>
          </w:p>
        </w:tc>
        <w:tc>
          <w:tcPr>
            <w:tcW w:w="0" w:type="auto"/>
          </w:tcPr>
          <w:p w14:paraId="1F332D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4.1 %</w:t>
            </w:r>
          </w:p>
        </w:tc>
      </w:tr>
      <w:tr w:rsidR="00DB1607" w:rsidRPr="00B95EB3" w14:paraId="0724BA9E" w14:textId="77777777">
        <w:tc>
          <w:tcPr>
            <w:tcW w:w="0" w:type="auto"/>
          </w:tcPr>
          <w:p w14:paraId="353B085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100 mm or more</w:t>
            </w:r>
          </w:p>
        </w:tc>
        <w:tc>
          <w:tcPr>
            <w:tcW w:w="0" w:type="auto"/>
          </w:tcPr>
          <w:p w14:paraId="34BB2D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7</w:t>
            </w:r>
          </w:p>
        </w:tc>
        <w:tc>
          <w:tcPr>
            <w:tcW w:w="0" w:type="auto"/>
          </w:tcPr>
          <w:p w14:paraId="0BDE75E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1.1</w:t>
            </w:r>
          </w:p>
        </w:tc>
        <w:tc>
          <w:tcPr>
            <w:tcW w:w="0" w:type="auto"/>
          </w:tcPr>
          <w:p w14:paraId="705EFD3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8.0 %</w:t>
            </w:r>
          </w:p>
        </w:tc>
      </w:tr>
      <w:tr w:rsidR="00DB1607" w:rsidRPr="00B95EB3" w14:paraId="16EABAD3" w14:textId="77777777">
        <w:tc>
          <w:tcPr>
            <w:tcW w:w="0" w:type="auto"/>
          </w:tcPr>
          <w:p w14:paraId="2717E34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150 mm or more</w:t>
            </w:r>
          </w:p>
        </w:tc>
        <w:tc>
          <w:tcPr>
            <w:tcW w:w="0" w:type="auto"/>
          </w:tcPr>
          <w:p w14:paraId="5A7767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2</w:t>
            </w:r>
          </w:p>
        </w:tc>
        <w:tc>
          <w:tcPr>
            <w:tcW w:w="0" w:type="auto"/>
          </w:tcPr>
          <w:p w14:paraId="31DB957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0.3</w:t>
            </w:r>
          </w:p>
        </w:tc>
        <w:tc>
          <w:tcPr>
            <w:tcW w:w="0" w:type="auto"/>
          </w:tcPr>
          <w:p w14:paraId="5002CFC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11.8 %</w:t>
            </w:r>
          </w:p>
        </w:tc>
      </w:tr>
      <w:tr w:rsidR="00DB1607" w:rsidRPr="00B95EB3" w14:paraId="520EC92A" w14:textId="77777777">
        <w:tc>
          <w:tcPr>
            <w:tcW w:w="0" w:type="auto"/>
          </w:tcPr>
          <w:p w14:paraId="460DF1D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Largest day</w:t>
            </w:r>
          </w:p>
        </w:tc>
        <w:tc>
          <w:tcPr>
            <w:tcW w:w="0" w:type="auto"/>
          </w:tcPr>
          <w:p w14:paraId="20039FF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173 mm</w:t>
            </w:r>
          </w:p>
        </w:tc>
        <w:tc>
          <w:tcPr>
            <w:tcW w:w="0" w:type="auto"/>
          </w:tcPr>
          <w:p w14:paraId="461DB9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c>
          <w:tcPr>
            <w:tcW w:w="0" w:type="auto"/>
          </w:tcPr>
          <w:p w14:paraId="7D6CCD5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13.4 %</w:t>
            </w:r>
          </w:p>
        </w:tc>
      </w:tr>
    </w:tbl>
    <w:p w14:paraId="1C483796"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Dilution was calculated as 1 − exp(−</w:t>
      </w:r>
      <w:r w:rsidRPr="00B95EB3">
        <w:rPr>
          <w:rFonts w:asciiTheme="majorHAnsi" w:hAnsiTheme="majorHAnsi" w:cstheme="majorHAnsi"/>
          <w:i/>
          <w:iCs/>
        </w:rPr>
        <w:t>R</w:t>
      </w:r>
      <w:r w:rsidRPr="00B95EB3">
        <w:rPr>
          <w:rFonts w:asciiTheme="majorHAnsi" w:hAnsiTheme="majorHAnsi" w:cstheme="majorHAnsi"/>
        </w:rPr>
        <w:t>/</w:t>
      </w:r>
      <w:r w:rsidRPr="00B95EB3">
        <w:rPr>
          <w:rFonts w:asciiTheme="majorHAnsi" w:hAnsiTheme="majorHAnsi" w:cstheme="majorHAnsi"/>
          <w:i/>
          <w:iCs/>
        </w:rPr>
        <w:t>D</w:t>
      </w:r>
      <w:r w:rsidRPr="00B95EB3">
        <w:rPr>
          <w:rFonts w:asciiTheme="majorHAnsi" w:hAnsiTheme="majorHAnsi" w:cstheme="majorHAnsi"/>
        </w:rPr>
        <w:t xml:space="preserve">), where </w:t>
      </w:r>
      <w:r w:rsidRPr="00B95EB3">
        <w:rPr>
          <w:rFonts w:asciiTheme="majorHAnsi" w:hAnsiTheme="majorHAnsi" w:cstheme="majorHAnsi"/>
          <w:i/>
          <w:iCs/>
        </w:rPr>
        <w:t>R</w:t>
      </w:r>
      <w:r w:rsidRPr="00B95EB3">
        <w:rPr>
          <w:rFonts w:asciiTheme="majorHAnsi" w:hAnsiTheme="majorHAnsi" w:cstheme="majorHAnsi"/>
        </w:rPr>
        <w:t xml:space="preserve"> is the rain depth and </w:t>
      </w:r>
      <w:r w:rsidRPr="00B95EB3">
        <w:rPr>
          <w:rFonts w:asciiTheme="majorHAnsi" w:hAnsiTheme="majorHAnsi" w:cstheme="majorHAnsi"/>
          <w:i/>
          <w:iCs/>
        </w:rPr>
        <w:t>D</w:t>
      </w:r>
      <w:r w:rsidRPr="00B95EB3">
        <w:rPr>
          <w:rFonts w:asciiTheme="majorHAnsi" w:hAnsiTheme="majorHAnsi" w:cstheme="majorHAnsi"/>
        </w:rPr>
        <w:t xml:space="preserve"> the pond depth. Pond surface area does not appear in this expression. A larger pond catches more rain but holds proportionally more water, so </w:t>
      </w:r>
      <w:r w:rsidRPr="00B95EB3">
        <w:rPr>
          <w:rFonts w:asciiTheme="majorHAnsi" w:hAnsiTheme="majorHAnsi" w:cstheme="majorHAnsi"/>
        </w:rPr>
        <w:lastRenderedPageBreak/>
        <w:t>the dilution depends only on depth. For a 1.2 m pond, even the heaviest day in six years diluted the water by about 13 %, which is within the 10 % to 20 % weekly water change that local practitioner guidance recommends as routine (Section 2.4). A 30 mm day, which occurs about every two weeks on average, dilutes by 2.5 %.</w:t>
      </w:r>
    </w:p>
    <w:p w14:paraId="19893B7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result means that, for a pond of normal depth with some carbonate buffering, rain dilution alone rarely approaches the scale of routine maintenance. The risk rises for shallow ponds, since dilution per millimetre of rain roughly doubles when the depth halves, and for poorly buffered ponds, where a small dilution can still move pH. Rain may also harm a pond through what it washes in from surrounding surfaces, which this calculation does not capture.</w:t>
      </w:r>
    </w:p>
    <w:p w14:paraId="40BB83D3" w14:textId="77777777" w:rsidR="00DB1607" w:rsidRPr="00B95EB3" w:rsidRDefault="00000000">
      <w:pPr>
        <w:pStyle w:val="Heading3"/>
        <w:rPr>
          <w:rFonts w:asciiTheme="majorHAnsi" w:hAnsiTheme="majorHAnsi" w:cstheme="majorHAnsi"/>
        </w:rPr>
      </w:pPr>
      <w:bookmarkStart w:id="262" w:name="reliability-of-the-forecast-wording"/>
      <w:bookmarkStart w:id="263" w:name="_Toc241565790"/>
      <w:bookmarkEnd w:id="260"/>
      <w:r w:rsidRPr="00B95EB3">
        <w:rPr>
          <w:rFonts w:asciiTheme="majorHAnsi" w:hAnsiTheme="majorHAnsi" w:cstheme="majorHAnsi"/>
        </w:rPr>
        <w:t>6.2.3 Reliability of the Forecast Wording</w:t>
      </w:r>
      <w:bookmarkEnd w:id="263"/>
    </w:p>
    <w:p w14:paraId="74BCFA95"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24-hour forecast’s most frequent wording was “thundery showers”, on 1,657 of the 2,302 days, or 72 %. A category that appears on almost three days in four carries little information about any particular day. To see whether combinations of wording did better, rules linking forecast wording across regions and periods to observed rain were mined on the training years and re-scored on the held-out period. The best rule for heavy rain, thundery wording across three regions at once, was followed by heavy rain on 11 % of the held-out periods where it fired (89 periods). That is 4.7 times the base rate, so the wording does carry a signal, but nine times in ten the heavy rain did not arrive.</w:t>
      </w:r>
    </w:p>
    <w:p w14:paraId="10E62A8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This result matters for the digital twin. Its rain context reads the nowcast and forecast text and treats “thundery” or “heavy” wording as heavy rain incoming (Section 5.5), which adds two points to the chemistry risk score. Given how often that wording appears, the rain term will be active on most days. Section 7.2 discusses what this implies for the chemistry status.</w:t>
      </w:r>
    </w:p>
    <w:p w14:paraId="68FA5562" w14:textId="77777777" w:rsidR="00DB1607" w:rsidRPr="00B95EB3" w:rsidRDefault="00000000">
      <w:pPr>
        <w:pStyle w:val="Heading3"/>
        <w:rPr>
          <w:rFonts w:asciiTheme="majorHAnsi" w:hAnsiTheme="majorHAnsi" w:cstheme="majorHAnsi"/>
        </w:rPr>
      </w:pPr>
      <w:bookmarkStart w:id="264" w:name="advisory-rules-on-held-out-data"/>
      <w:bookmarkStart w:id="265" w:name="_Toc241565791"/>
      <w:bookmarkEnd w:id="262"/>
      <w:r w:rsidRPr="00B95EB3">
        <w:rPr>
          <w:rFonts w:asciiTheme="majorHAnsi" w:hAnsiTheme="majorHAnsi" w:cstheme="majorHAnsi"/>
        </w:rPr>
        <w:t>6.2.4 Advisory Rules on Held-Out Data</w:t>
      </w:r>
      <w:bookmarkEnd w:id="265"/>
    </w:p>
    <w:p w14:paraId="66AA705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Two rules were built to test the kind of advice the system gives. The pre-emptive heat rule fires when the day is hot (observed maximum air temperature in the top 30 % of training days) and the four-day outlook’s temperature is in its top 25 %, and it predicts a hot next day. The dry-window rule fires when the day’s pooled forecast wording is among the driest 16 % of training days, and it predicts a dry day and a dry next three days. Figure 6.1a compares each rule with the base rate and with each part of the heat rule used alone.</w:t>
      </w:r>
    </w:p>
    <w:p w14:paraId="33A55882" w14:textId="77777777" w:rsidR="00DB1607" w:rsidRPr="00B95EB3" w:rsidRDefault="00000000">
      <w:pPr>
        <w:pStyle w:val="CaptionedFigure"/>
        <w:jc w:val="center"/>
        <w:rPr>
          <w:rFonts w:asciiTheme="majorHAnsi" w:hAnsiTheme="majorHAnsi" w:cstheme="majorHAnsi"/>
        </w:rPr>
      </w:pPr>
      <w:r w:rsidRPr="00B95EB3">
        <w:rPr>
          <w:rFonts w:asciiTheme="majorHAnsi" w:hAnsiTheme="majorHAnsi" w:cstheme="majorHAnsi"/>
          <w:noProof/>
        </w:rPr>
        <w:lastRenderedPageBreak/>
        <w:drawing>
          <wp:inline distT="0" distB="0" distL="0" distR="0" wp14:anchorId="4E1B0718" wp14:editId="7DEC1109">
            <wp:extent cx="5727700" cy="2020707"/>
            <wp:effectExtent l="0" t="0" r="0" b="0"/>
            <wp:docPr id="162" name="Picture" descr="Figure 6.1. (a) Precision of the advisory rules on the held-out period, with 95 % intervals, against the base rate of the predicted outcome. (b) Change in the area under the ROC curve when the NEA outlook is added to a model that already has the observed temperature (hot day rows) or observed rain (rain row), with 95 % block-bootstrap intervals."/>
            <wp:cNvGraphicFramePr/>
            <a:graphic xmlns:a="http://schemas.openxmlformats.org/drawingml/2006/main">
              <a:graphicData uri="http://schemas.openxmlformats.org/drawingml/2006/picture">
                <pic:pic xmlns:pic="http://schemas.openxmlformats.org/drawingml/2006/picture">
                  <pic:nvPicPr>
                    <pic:cNvPr id="163" name="Picture" descr="figs/nea_results.png"/>
                    <pic:cNvPicPr>
                      <a:picLocks noChangeAspect="1" noChangeArrowheads="1"/>
                    </pic:cNvPicPr>
                  </pic:nvPicPr>
                  <pic:blipFill>
                    <a:blip r:embed="rId10"/>
                    <a:stretch>
                      <a:fillRect/>
                    </a:stretch>
                  </pic:blipFill>
                  <pic:spPr bwMode="auto">
                    <a:xfrm>
                      <a:off x="0" y="0"/>
                      <a:ext cx="5727700" cy="2020707"/>
                    </a:xfrm>
                    <a:prstGeom prst="rect">
                      <a:avLst/>
                    </a:prstGeom>
                    <a:noFill/>
                    <a:ln w="9525">
                      <a:noFill/>
                      <a:headEnd/>
                      <a:tailEnd/>
                    </a:ln>
                  </pic:spPr>
                </pic:pic>
              </a:graphicData>
            </a:graphic>
          </wp:inline>
        </w:drawing>
      </w:r>
    </w:p>
    <w:p w14:paraId="694139F5" w14:textId="77777777" w:rsidR="00DB1607" w:rsidRPr="00B95EB3" w:rsidRDefault="00000000">
      <w:pPr>
        <w:pStyle w:val="ImageCaption"/>
        <w:rPr>
          <w:rFonts w:asciiTheme="majorHAnsi" w:hAnsiTheme="majorHAnsi" w:cstheme="majorHAnsi"/>
        </w:rPr>
      </w:pPr>
      <w:r w:rsidRPr="00B95EB3">
        <w:rPr>
          <w:rFonts w:asciiTheme="majorHAnsi" w:hAnsiTheme="majorHAnsi" w:cstheme="majorHAnsi"/>
        </w:rPr>
        <w:t>Figure 6.1. (a) Precision of the advisory rules on the held-out period, with 95 % intervals, against the base rate of the predicted outcome. (b) Change in the area under the ROC curve when the NEA outlook is added to a model that already has the observed temperature (hot day rows) or observed rain (rain row), with 95 % block-bootstrap intervals.</w:t>
      </w:r>
    </w:p>
    <w:p w14:paraId="065957D4"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dry-window rule performed consistently. It fired on 121 held-out days, and 86 % of them were dry against a base rate of 52 %, with an interval of 79 % to 91 %. Its precision on the held-out period matched its training precision of 86 %. A three-day dry window is harder to predict, and the rule’s precision falls to 56 % against a base rate of 34 %. The dry-window rule is useful for scheduling work that rain would undo or complicate, such as a water change or a scrub.</w:t>
      </w:r>
    </w:p>
    <w:p w14:paraId="2C8B221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heat rule’s held-out precision was 90 %, but it fired on only 10 days, and the interval of 60 % to 98 % overlaps that of the hot-today condition alone (81 %, interval 65 % to 91 %). On the held-out data, then, adding the outlook to the heat rule cannot be distinguished from using the day’s own temperature. On the larger training period the combined rule did better than either part alone, with 90 % precision against 78 % for each part, but that is where its thresholds were set, so it is weaker evidence.</w:t>
      </w:r>
    </w:p>
    <w:p w14:paraId="70A82139" w14:textId="77777777" w:rsidR="00DB1607" w:rsidRPr="00B95EB3" w:rsidRDefault="00000000">
      <w:pPr>
        <w:pStyle w:val="Heading3"/>
        <w:rPr>
          <w:rFonts w:asciiTheme="majorHAnsi" w:hAnsiTheme="majorHAnsi" w:cstheme="majorHAnsi"/>
        </w:rPr>
      </w:pPr>
      <w:bookmarkStart w:id="266" w:name="X748e0bde773ccb3aff88bdc484d5613367a0a03"/>
      <w:bookmarkStart w:id="267" w:name="_Toc241565792"/>
      <w:bookmarkEnd w:id="264"/>
      <w:r w:rsidRPr="00B95EB3">
        <w:rPr>
          <w:rFonts w:asciiTheme="majorHAnsi" w:hAnsiTheme="majorHAnsi" w:cstheme="majorHAnsi"/>
        </w:rPr>
        <w:t>6.2.5 Does the Outlook Add Skill over the Thermometer?</w:t>
      </w:r>
      <w:bookmarkEnd w:id="267"/>
    </w:p>
    <w:p w14:paraId="7D0F897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last test asked directly whether the NEA outlook improves prediction once the current temperature is known. Logistic regression models predicted a hot day one, three and five days ahead, first from observed air temperature alone, then with the outlook added. The difference in area under the ROC curve was estimated on the held-out period with a moving-block bootstrap using seven-day blocks, which respects the day-to-day correlation of weather. As a control, the same comparison was made for predicting at least 10 mm of rain the next day.</w:t>
      </w:r>
    </w:p>
    <w:p w14:paraId="581A2499"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Figure 6.1b shows the result. For hot days at all three horizons, the outlook added nothing measurable: the changes were −0.005, 0.000 and −0.003, with intervals spanning zero. The thermometer alone already reached an AUC of about 0.82 at one and three days and 0.75 at five days, because Singapore’s temperature is persistent from day to day. For next-day rain, the outlook added 0.058 (interval 0.023 to 0.097) to a weak baseline of 0.56.</w:t>
      </w:r>
    </w:p>
    <w:p w14:paraId="7DFAF797"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lastRenderedPageBreak/>
        <w:t>This result differs from an earlier exploratory analysis in the project, which suggested the outlook began to help at three to five days. The present test uses observed temperatures, a strict time split and thresholds fixed before testing, so this report relies on it, and the earlier finding is not carried forward.</w:t>
      </w:r>
    </w:p>
    <w:p w14:paraId="1FF95F48" w14:textId="77777777" w:rsidR="00DB1607" w:rsidRPr="00B95EB3" w:rsidRDefault="00000000">
      <w:pPr>
        <w:pStyle w:val="Heading3"/>
        <w:rPr>
          <w:rFonts w:asciiTheme="majorHAnsi" w:hAnsiTheme="majorHAnsi" w:cstheme="majorHAnsi"/>
        </w:rPr>
      </w:pPr>
      <w:bookmarkStart w:id="268" w:name="summary-of-the-historical-findings"/>
      <w:bookmarkStart w:id="269" w:name="_Toc241565793"/>
      <w:bookmarkEnd w:id="266"/>
      <w:r w:rsidRPr="00B95EB3">
        <w:rPr>
          <w:rFonts w:asciiTheme="majorHAnsi" w:hAnsiTheme="majorHAnsi" w:cstheme="majorHAnsi"/>
        </w:rPr>
        <w:t>6.2.6 Summary of the Historical Findings</w:t>
      </w:r>
      <w:bookmarkEnd w:id="269"/>
    </w:p>
    <w:p w14:paraId="3CC917B6" w14:textId="77777777" w:rsidR="00DB1607" w:rsidRPr="00B95EB3" w:rsidRDefault="00000000">
      <w:pPr>
        <w:pStyle w:val="Compact"/>
        <w:numPr>
          <w:ilvl w:val="0"/>
          <w:numId w:val="8"/>
        </w:numPr>
        <w:rPr>
          <w:rFonts w:asciiTheme="majorHAnsi" w:hAnsiTheme="majorHAnsi" w:cstheme="majorHAnsi"/>
        </w:rPr>
      </w:pPr>
      <w:r w:rsidRPr="00B95EB3">
        <w:rPr>
          <w:rFonts w:asciiTheme="majorHAnsi" w:hAnsiTheme="majorHAnsi" w:cstheme="majorHAnsi"/>
        </w:rPr>
        <w:t>Rain dilution for a normally deep pond is small beside routine water changes. Shallow or poorly buffered ponds are the cases where rain matters most.</w:t>
      </w:r>
    </w:p>
    <w:p w14:paraId="099F70B2" w14:textId="77777777" w:rsidR="00DB1607" w:rsidRPr="00B95EB3" w:rsidRDefault="00000000">
      <w:pPr>
        <w:pStyle w:val="Compact"/>
        <w:numPr>
          <w:ilvl w:val="0"/>
          <w:numId w:val="8"/>
        </w:numPr>
        <w:rPr>
          <w:rFonts w:asciiTheme="majorHAnsi" w:hAnsiTheme="majorHAnsi" w:cstheme="majorHAnsi"/>
        </w:rPr>
      </w:pPr>
      <w:r w:rsidRPr="00B95EB3">
        <w:rPr>
          <w:rFonts w:asciiTheme="majorHAnsi" w:hAnsiTheme="majorHAnsi" w:cstheme="majorHAnsi"/>
        </w:rPr>
        <w:t>The forecast’s thundery wording appears on most days and is a weak predictor of heavy rain on any one day, though better than chance.</w:t>
      </w:r>
    </w:p>
    <w:p w14:paraId="44B30C65" w14:textId="77777777" w:rsidR="00DB1607" w:rsidRPr="00B95EB3" w:rsidRDefault="00000000">
      <w:pPr>
        <w:pStyle w:val="Compact"/>
        <w:numPr>
          <w:ilvl w:val="0"/>
          <w:numId w:val="8"/>
        </w:numPr>
        <w:rPr>
          <w:rFonts w:asciiTheme="majorHAnsi" w:hAnsiTheme="majorHAnsi" w:cstheme="majorHAnsi"/>
        </w:rPr>
      </w:pPr>
      <w:r w:rsidRPr="00B95EB3">
        <w:rPr>
          <w:rFonts w:asciiTheme="majorHAnsi" w:hAnsiTheme="majorHAnsi" w:cstheme="majorHAnsi"/>
        </w:rPr>
        <w:t>The forecast is reliable at identifying dry days, which suits advice on when to carry out maintenance.</w:t>
      </w:r>
    </w:p>
    <w:p w14:paraId="23EF4D38" w14:textId="77777777" w:rsidR="00DB1607" w:rsidRPr="00B95EB3" w:rsidRDefault="00000000">
      <w:pPr>
        <w:pStyle w:val="Compact"/>
        <w:numPr>
          <w:ilvl w:val="0"/>
          <w:numId w:val="8"/>
        </w:numPr>
        <w:rPr>
          <w:rFonts w:asciiTheme="majorHAnsi" w:hAnsiTheme="majorHAnsi" w:cstheme="majorHAnsi"/>
        </w:rPr>
      </w:pPr>
      <w:r w:rsidRPr="00B95EB3">
        <w:rPr>
          <w:rFonts w:asciiTheme="majorHAnsi" w:hAnsiTheme="majorHAnsi" w:cstheme="majorHAnsi"/>
        </w:rPr>
        <w:t>For hot days, the NEA outlook adds no measurable skill over the current observed temperature at horizons of one to five days.</w:t>
      </w:r>
    </w:p>
    <w:p w14:paraId="2E721E9C"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These results apply to air temperature and rain at the Woodlands stations. They say nothing yet about the pond’s water temperature, which lags and damps air temperature. The air-to-water offset in the evaporation engine should be fitted from the pond’s own sensor before any heat result is stated in terms of water temperature (Section 4.5.6).</w:t>
      </w:r>
    </w:p>
    <w:p w14:paraId="6B0D022A" w14:textId="77777777" w:rsidR="00DB1607" w:rsidRPr="00B95EB3" w:rsidRDefault="00000000">
      <w:pPr>
        <w:pStyle w:val="Heading2"/>
        <w:rPr>
          <w:rFonts w:asciiTheme="majorHAnsi" w:hAnsiTheme="majorHAnsi" w:cstheme="majorHAnsi"/>
        </w:rPr>
      </w:pPr>
      <w:bookmarkStart w:id="270" w:name="software-verification"/>
      <w:bookmarkStart w:id="271" w:name="_Toc241565794"/>
      <w:bookmarkEnd w:id="256"/>
      <w:bookmarkEnd w:id="268"/>
      <w:r w:rsidRPr="00B95EB3">
        <w:rPr>
          <w:rFonts w:asciiTheme="majorHAnsi" w:hAnsiTheme="majorHAnsi" w:cstheme="majorHAnsi"/>
        </w:rPr>
        <w:t>6.3 Software Verification</w:t>
      </w:r>
      <w:bookmarkEnd w:id="271"/>
    </w:p>
    <w:p w14:paraId="6D18E7A3"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automated tests described in Chapter 5 all pass on the refactored code: 66 firmware logic checks, 297 digital twin checks across eight scripts, and the five Flutter test files per the refactor log (Table 5.4). The contract test confirms that every field the application reads is produced by the server. These results show that the software does what it was designed to do. They do not validate the model parameters, which depend on the measurements in Section 6.4.</w:t>
      </w:r>
    </w:p>
    <w:p w14:paraId="6F7B4515" w14:textId="77777777" w:rsidR="00DB1607" w:rsidRPr="00B95EB3" w:rsidRDefault="00000000">
      <w:pPr>
        <w:pStyle w:val="Heading2"/>
        <w:rPr>
          <w:rFonts w:asciiTheme="majorHAnsi" w:hAnsiTheme="majorHAnsi" w:cstheme="majorHAnsi"/>
        </w:rPr>
      </w:pPr>
      <w:bookmarkStart w:id="272" w:name="bench-field-and-full-system-results"/>
      <w:bookmarkStart w:id="273" w:name="_Toc241565795"/>
      <w:bookmarkEnd w:id="270"/>
      <w:r w:rsidRPr="00B95EB3">
        <w:rPr>
          <w:rFonts w:asciiTheme="majorHAnsi" w:hAnsiTheme="majorHAnsi" w:cstheme="majorHAnsi"/>
        </w:rPr>
        <w:t>6.4 Bench, Field and Full-System Results</w:t>
      </w:r>
      <w:bookmarkEnd w:id="273"/>
    </w:p>
    <w:p w14:paraId="671633FB"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section is completed as the tests in Chapter 4 are run. Each table lists the acceptance limit set in Chapter 4 so that each result is read against a target fixed in advance.</w:t>
      </w:r>
    </w:p>
    <w:p w14:paraId="59D5200A" w14:textId="77777777" w:rsidR="00DB1607" w:rsidRPr="00B95EB3" w:rsidRDefault="00000000">
      <w:pPr>
        <w:pStyle w:val="Heading3"/>
        <w:rPr>
          <w:rFonts w:asciiTheme="majorHAnsi" w:hAnsiTheme="majorHAnsi" w:cstheme="majorHAnsi"/>
        </w:rPr>
      </w:pPr>
      <w:bookmarkStart w:id="274" w:name="tier-1-functional-results"/>
      <w:bookmarkStart w:id="275" w:name="_Toc241565796"/>
      <w:r w:rsidRPr="00B95EB3">
        <w:rPr>
          <w:rFonts w:asciiTheme="majorHAnsi" w:hAnsiTheme="majorHAnsi" w:cstheme="majorHAnsi"/>
        </w:rPr>
        <w:t>6.4.1 Tier 1 Functional Results</w:t>
      </w:r>
      <w:bookmarkEnd w:id="275"/>
    </w:p>
    <w:p w14:paraId="603B0323"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6.2. Tier 1 results.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211"/>
        <w:gridCol w:w="4017"/>
        <w:gridCol w:w="1451"/>
        <w:gridCol w:w="507"/>
      </w:tblGrid>
      <w:tr w:rsidR="00DB1607" w:rsidRPr="00B95EB3" w14:paraId="07F25CD4"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52F437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Test</w:t>
            </w:r>
          </w:p>
        </w:tc>
        <w:tc>
          <w:tcPr>
            <w:tcW w:w="0" w:type="auto"/>
            <w:shd w:val="clear" w:color="auto" w:fill="EDEFF2"/>
          </w:tcPr>
          <w:p w14:paraId="7E131DC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Acceptance limit</w:t>
            </w:r>
          </w:p>
        </w:tc>
        <w:tc>
          <w:tcPr>
            <w:tcW w:w="0" w:type="auto"/>
            <w:shd w:val="clear" w:color="auto" w:fill="EDEFF2"/>
          </w:tcPr>
          <w:p w14:paraId="3E6A0D1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Result</w:t>
            </w:r>
          </w:p>
        </w:tc>
        <w:tc>
          <w:tcPr>
            <w:tcW w:w="0" w:type="auto"/>
            <w:shd w:val="clear" w:color="auto" w:fill="EDEFF2"/>
          </w:tcPr>
          <w:p w14:paraId="0586302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Pass</w:t>
            </w:r>
          </w:p>
        </w:tc>
      </w:tr>
      <w:tr w:rsidR="00DB1607" w:rsidRPr="00B95EB3" w14:paraId="06FAE633" w14:textId="77777777">
        <w:tc>
          <w:tcPr>
            <w:tcW w:w="0" w:type="auto"/>
          </w:tcPr>
          <w:p w14:paraId="77DFF2E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Temperature against reference, 20 °C to 40 °C</w:t>
            </w:r>
          </w:p>
        </w:tc>
        <w:tc>
          <w:tcPr>
            <w:tcW w:w="0" w:type="auto"/>
          </w:tcPr>
          <w:p w14:paraId="65756E9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±0.5 °C</w:t>
            </w:r>
          </w:p>
        </w:tc>
        <w:tc>
          <w:tcPr>
            <w:tcW w:w="0" w:type="auto"/>
          </w:tcPr>
          <w:p w14:paraId="652164F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4D2B08B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5EFE6B53" w14:textId="77777777">
        <w:tc>
          <w:tcPr>
            <w:tcW w:w="0" w:type="auto"/>
          </w:tcPr>
          <w:p w14:paraId="625DD41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buffers after calibration</w:t>
            </w:r>
          </w:p>
        </w:tc>
        <w:tc>
          <w:tcPr>
            <w:tcW w:w="0" w:type="auto"/>
          </w:tcPr>
          <w:p w14:paraId="449E84F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±0.1 pH, repeatable on second pass</w:t>
            </w:r>
          </w:p>
        </w:tc>
        <w:tc>
          <w:tcPr>
            <w:tcW w:w="0" w:type="auto"/>
          </w:tcPr>
          <w:p w14:paraId="105F04C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2847A12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1822357D" w14:textId="77777777">
        <w:tc>
          <w:tcPr>
            <w:tcW w:w="0" w:type="auto"/>
          </w:tcPr>
          <w:p w14:paraId="6168294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settling time</w:t>
            </w:r>
          </w:p>
        </w:tc>
        <w:tc>
          <w:tcPr>
            <w:tcW w:w="0" w:type="auto"/>
          </w:tcPr>
          <w:p w14:paraId="7404E96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Output flat within the 5 s limit, or limit raised</w:t>
            </w:r>
          </w:p>
        </w:tc>
        <w:tc>
          <w:tcPr>
            <w:tcW w:w="0" w:type="auto"/>
          </w:tcPr>
          <w:p w14:paraId="7B7BE9D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5BC7B97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66EBC78D" w14:textId="77777777">
        <w:tc>
          <w:tcPr>
            <w:tcW w:w="0" w:type="auto"/>
          </w:tcPr>
          <w:p w14:paraId="736AC58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pH with TDS probe present and absent</w:t>
            </w:r>
          </w:p>
        </w:tc>
        <w:tc>
          <w:tcPr>
            <w:tcW w:w="0" w:type="auto"/>
          </w:tcPr>
          <w:p w14:paraId="622923C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Mean shift within ±0.1 pH</w:t>
            </w:r>
          </w:p>
        </w:tc>
        <w:tc>
          <w:tcPr>
            <w:tcW w:w="0" w:type="auto"/>
          </w:tcPr>
          <w:p w14:paraId="5F4DC79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45EE6D8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1A1DEABA" w14:textId="77777777">
        <w:tc>
          <w:tcPr>
            <w:tcW w:w="0" w:type="auto"/>
          </w:tcPr>
          <w:p w14:paraId="7E53565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lastRenderedPageBreak/>
              <w:t>TDS second-point check</w:t>
            </w:r>
          </w:p>
        </w:tc>
        <w:tc>
          <w:tcPr>
            <w:tcW w:w="0" w:type="auto"/>
          </w:tcPr>
          <w:p w14:paraId="5E23696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Error within 10 % at the second standard</w:t>
            </w:r>
          </w:p>
        </w:tc>
        <w:tc>
          <w:tcPr>
            <w:tcW w:w="0" w:type="auto"/>
          </w:tcPr>
          <w:p w14:paraId="0F9021C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276CF5C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1D710A94" w14:textId="77777777">
        <w:tc>
          <w:tcPr>
            <w:tcW w:w="0" w:type="auto"/>
          </w:tcPr>
          <w:p w14:paraId="08C298B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Light across four conditions</w:t>
            </w:r>
          </w:p>
        </w:tc>
        <w:tc>
          <w:tcPr>
            <w:tcW w:w="0" w:type="auto"/>
          </w:tcPr>
          <w:p w14:paraId="2C6998B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Conditions separated, no unflagged saturation or false zero</w:t>
            </w:r>
          </w:p>
        </w:tc>
        <w:tc>
          <w:tcPr>
            <w:tcW w:w="0" w:type="auto"/>
          </w:tcPr>
          <w:p w14:paraId="6A13B3F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10EADE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37365ED5" w14:textId="77777777">
        <w:tc>
          <w:tcPr>
            <w:tcW w:w="0" w:type="auto"/>
          </w:tcPr>
          <w:p w14:paraId="14AF8F8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Camera state sequence</w:t>
            </w:r>
          </w:p>
        </w:tc>
        <w:tc>
          <w:tcPr>
            <w:tcW w:w="0" w:type="auto"/>
          </w:tcPr>
          <w:p w14:paraId="2E221DF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States, baseline and intervals match Table 3.8</w:t>
            </w:r>
          </w:p>
        </w:tc>
        <w:tc>
          <w:tcPr>
            <w:tcW w:w="0" w:type="auto"/>
          </w:tcPr>
          <w:p w14:paraId="6DE534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D209D1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56B737EA" w14:textId="77777777">
        <w:tc>
          <w:tcPr>
            <w:tcW w:w="0" w:type="auto"/>
          </w:tcPr>
          <w:p w14:paraId="3BE0DA0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Current in each mode</w:t>
            </w:r>
          </w:p>
        </w:tc>
        <w:tc>
          <w:tcPr>
            <w:tcW w:w="0" w:type="auto"/>
          </w:tcPr>
          <w:p w14:paraId="3C1A52A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Measured values recorded against Table 3.4</w:t>
            </w:r>
          </w:p>
        </w:tc>
        <w:tc>
          <w:tcPr>
            <w:tcW w:w="0" w:type="auto"/>
          </w:tcPr>
          <w:p w14:paraId="58E0DAE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4539D54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60676605" w14:textId="77777777">
        <w:tc>
          <w:tcPr>
            <w:tcW w:w="0" w:type="auto"/>
          </w:tcPr>
          <w:p w14:paraId="4DE8FE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Access point removed during upload</w:t>
            </w:r>
          </w:p>
        </w:tc>
        <w:tc>
          <w:tcPr>
            <w:tcW w:w="0" w:type="auto"/>
          </w:tcPr>
          <w:p w14:paraId="7E6F9D5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Bounded give-up, backoff and recovery</w:t>
            </w:r>
          </w:p>
        </w:tc>
        <w:tc>
          <w:tcPr>
            <w:tcW w:w="0" w:type="auto"/>
          </w:tcPr>
          <w:p w14:paraId="1AF4119D"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2054630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bl>
    <w:p w14:paraId="79C1B849" w14:textId="77777777" w:rsidR="00DB1607" w:rsidRPr="00B95EB3" w:rsidRDefault="00000000">
      <w:pPr>
        <w:pStyle w:val="Heading3"/>
        <w:rPr>
          <w:rFonts w:asciiTheme="majorHAnsi" w:hAnsiTheme="majorHAnsi" w:cstheme="majorHAnsi"/>
        </w:rPr>
      </w:pPr>
      <w:bookmarkStart w:id="276" w:name="tds-context-log-viability"/>
      <w:bookmarkStart w:id="277" w:name="_Toc241565797"/>
      <w:bookmarkEnd w:id="274"/>
      <w:r w:rsidRPr="00B95EB3">
        <w:rPr>
          <w:rFonts w:asciiTheme="majorHAnsi" w:hAnsiTheme="majorHAnsi" w:cstheme="majorHAnsi"/>
        </w:rPr>
        <w:t>6.4.2 TDS Context-Log Viability</w:t>
      </w:r>
      <w:bookmarkEnd w:id="277"/>
    </w:p>
    <w:p w14:paraId="17C7CCFF"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6.3. TDS context-log results.</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002"/>
        <w:gridCol w:w="4131"/>
        <w:gridCol w:w="1546"/>
        <w:gridCol w:w="507"/>
      </w:tblGrid>
      <w:tr w:rsidR="00DB1607" w:rsidRPr="00B95EB3" w14:paraId="1E3E69D0"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67100B8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Test</w:t>
            </w:r>
          </w:p>
        </w:tc>
        <w:tc>
          <w:tcPr>
            <w:tcW w:w="0" w:type="auto"/>
            <w:shd w:val="clear" w:color="auto" w:fill="EDEFF2"/>
          </w:tcPr>
          <w:p w14:paraId="6D964EE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Acceptance limit</w:t>
            </w:r>
          </w:p>
        </w:tc>
        <w:tc>
          <w:tcPr>
            <w:tcW w:w="0" w:type="auto"/>
            <w:shd w:val="clear" w:color="auto" w:fill="EDEFF2"/>
          </w:tcPr>
          <w:p w14:paraId="3A5D8AC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Result</w:t>
            </w:r>
          </w:p>
        </w:tc>
        <w:tc>
          <w:tcPr>
            <w:tcW w:w="0" w:type="auto"/>
            <w:shd w:val="clear" w:color="auto" w:fill="EDEFF2"/>
          </w:tcPr>
          <w:p w14:paraId="31A190D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Pass</w:t>
            </w:r>
          </w:p>
        </w:tc>
      </w:tr>
      <w:tr w:rsidR="00DB1607" w:rsidRPr="00B95EB3" w14:paraId="6377CB38" w14:textId="77777777">
        <w:tc>
          <w:tcPr>
            <w:tcW w:w="0" w:type="auto"/>
          </w:tcPr>
          <w:p w14:paraId="5B6E25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T1 Detection floor</w:t>
            </w:r>
          </w:p>
        </w:tc>
        <w:tc>
          <w:tcPr>
            <w:tcW w:w="0" w:type="auto"/>
          </w:tcPr>
          <w:p w14:paraId="2B8E8C6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Floor defined from 24 h to 48 h log</w:t>
            </w:r>
          </w:p>
        </w:tc>
        <w:tc>
          <w:tcPr>
            <w:tcW w:w="0" w:type="auto"/>
          </w:tcPr>
          <w:p w14:paraId="16AD1A9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9E2F90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r>
      <w:tr w:rsidR="00DB1607" w:rsidRPr="00B95EB3" w14:paraId="34F1AED1" w14:textId="77777777">
        <w:tc>
          <w:tcPr>
            <w:tcW w:w="0" w:type="auto"/>
          </w:tcPr>
          <w:p w14:paraId="05BC091A"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T2 Temperature residual</w:t>
            </w:r>
          </w:p>
        </w:tc>
        <w:tc>
          <w:tcPr>
            <w:tcW w:w="0" w:type="auto"/>
          </w:tcPr>
          <w:p w14:paraId="19B5D13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the T1 floor across the daily swing</w:t>
            </w:r>
          </w:p>
        </w:tc>
        <w:tc>
          <w:tcPr>
            <w:tcW w:w="0" w:type="auto"/>
          </w:tcPr>
          <w:p w14:paraId="6F26CE6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3EC8B5C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626C1F1F" w14:textId="77777777">
        <w:tc>
          <w:tcPr>
            <w:tcW w:w="0" w:type="auto"/>
          </w:tcPr>
          <w:p w14:paraId="36CC4B8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T3 Water change step</w:t>
            </w:r>
          </w:p>
        </w:tc>
        <w:tc>
          <w:tcPr>
            <w:tcW w:w="0" w:type="auto"/>
          </w:tcPr>
          <w:p w14:paraId="5679B44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±20 % of prediction or the T1 floor</w:t>
            </w:r>
          </w:p>
        </w:tc>
        <w:tc>
          <w:tcPr>
            <w:tcW w:w="0" w:type="auto"/>
          </w:tcPr>
          <w:p w14:paraId="16062A3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058F383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5A62382E" w14:textId="77777777">
        <w:tc>
          <w:tcPr>
            <w:tcW w:w="0" w:type="auto"/>
          </w:tcPr>
          <w:p w14:paraId="68F2C83E"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T3 Salt dose step</w:t>
            </w:r>
          </w:p>
        </w:tc>
        <w:tc>
          <w:tcPr>
            <w:tcW w:w="0" w:type="auto"/>
          </w:tcPr>
          <w:p w14:paraId="44F8E68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Within ±20 % of prediction or the T1 floor</w:t>
            </w:r>
          </w:p>
        </w:tc>
        <w:tc>
          <w:tcPr>
            <w:tcW w:w="0" w:type="auto"/>
          </w:tcPr>
          <w:p w14:paraId="1BB0105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4C6F06B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40EC0A5B" w14:textId="77777777">
        <w:tc>
          <w:tcPr>
            <w:tcW w:w="0" w:type="auto"/>
          </w:tcPr>
          <w:p w14:paraId="05122D6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T4 Detection and false flags</w:t>
            </w:r>
          </w:p>
        </w:tc>
        <w:tc>
          <w:tcPr>
            <w:tcW w:w="0" w:type="auto"/>
          </w:tcPr>
          <w:p w14:paraId="2564A97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All events detected, at most one false flag per week</w:t>
            </w:r>
          </w:p>
        </w:tc>
        <w:tc>
          <w:tcPr>
            <w:tcW w:w="0" w:type="auto"/>
          </w:tcPr>
          <w:p w14:paraId="21C5833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3148623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 ]</w:t>
            </w:r>
          </w:p>
        </w:tc>
      </w:tr>
      <w:tr w:rsidR="00DB1607" w:rsidRPr="00B95EB3" w14:paraId="6504AC86" w14:textId="77777777">
        <w:tc>
          <w:tcPr>
            <w:tcW w:w="0" w:type="auto"/>
          </w:tcPr>
          <w:p w14:paraId="3A56180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Feeding visibility (expected negative)</w:t>
            </w:r>
          </w:p>
        </w:tc>
        <w:tc>
          <w:tcPr>
            <w:tcW w:w="0" w:type="auto"/>
          </w:tcPr>
          <w:p w14:paraId="13E3BB2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Daily feeding effect below the T1 floor</w:t>
            </w:r>
          </w:p>
        </w:tc>
        <w:tc>
          <w:tcPr>
            <w:tcW w:w="0" w:type="auto"/>
          </w:tcPr>
          <w:p w14:paraId="228E8F8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[to be completed]</w:t>
            </w:r>
          </w:p>
        </w:tc>
        <w:tc>
          <w:tcPr>
            <w:tcW w:w="0" w:type="auto"/>
          </w:tcPr>
          <w:p w14:paraId="5224B370"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w:t>
            </w:r>
          </w:p>
        </w:tc>
      </w:tr>
    </w:tbl>
    <w:p w14:paraId="7F5B6C8A" w14:textId="77777777" w:rsidR="00DB1607" w:rsidRPr="00B95EB3" w:rsidRDefault="00000000">
      <w:pPr>
        <w:pStyle w:val="Heading3"/>
        <w:rPr>
          <w:rFonts w:asciiTheme="majorHAnsi" w:hAnsiTheme="majorHAnsi" w:cstheme="majorHAnsi"/>
        </w:rPr>
      </w:pPr>
      <w:bookmarkStart w:id="278" w:name="tier-2-field-run"/>
      <w:bookmarkStart w:id="279" w:name="_Toc241565798"/>
      <w:bookmarkEnd w:id="276"/>
      <w:r w:rsidRPr="00B95EB3">
        <w:rPr>
          <w:rFonts w:asciiTheme="majorHAnsi" w:hAnsiTheme="majorHAnsi" w:cstheme="majorHAnsi"/>
        </w:rPr>
        <w:t>6.4.3 Tier 2 Field Run</w:t>
      </w:r>
      <w:bookmarkEnd w:id="279"/>
    </w:p>
    <w:p w14:paraId="715FDE7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[To be completed: achieved duration, completed and missing cycles, reset count, per-channel coverage and spread, the pond temperature and light records against NEA observations, enclosure findings, and the camera’s false trigger and missed change counts. Include the fitted air-to-water temperature offset and its error against persistence (Section 4.5.6).]</w:t>
      </w:r>
    </w:p>
    <w:p w14:paraId="05E78B6D" w14:textId="77777777" w:rsidR="00DB1607" w:rsidRPr="00B95EB3" w:rsidRDefault="00000000">
      <w:pPr>
        <w:pStyle w:val="Heading3"/>
        <w:rPr>
          <w:rFonts w:asciiTheme="majorHAnsi" w:hAnsiTheme="majorHAnsi" w:cstheme="majorHAnsi"/>
        </w:rPr>
      </w:pPr>
      <w:bookmarkStart w:id="280" w:name="tier-3-full-system-results"/>
      <w:bookmarkStart w:id="281" w:name="_Toc241565799"/>
      <w:bookmarkEnd w:id="278"/>
      <w:r w:rsidRPr="00B95EB3">
        <w:rPr>
          <w:rFonts w:asciiTheme="majorHAnsi" w:hAnsiTheme="majorHAnsi" w:cstheme="majorHAnsi"/>
        </w:rPr>
        <w:t>6.4.4 Tier 3 Full-System Results</w:t>
      </w:r>
      <w:bookmarkEnd w:id="281"/>
    </w:p>
    <w:p w14:paraId="1EDC8D9F"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[To be completed: the indoor endurance run’s pack voltage curve, achieved service interval and measured against estimated average current, with the regulator configuration used; and the outdoor integration session’s end-to-end timeline and model response to logged events.]</w:t>
      </w:r>
    </w:p>
    <w:p w14:paraId="0E31C902" w14:textId="77777777" w:rsidR="00DB1607" w:rsidRPr="00B95EB3" w:rsidRDefault="00000000">
      <w:pPr>
        <w:pStyle w:val="Heading1"/>
        <w:rPr>
          <w:rFonts w:asciiTheme="majorHAnsi" w:hAnsiTheme="majorHAnsi" w:cstheme="majorHAnsi"/>
        </w:rPr>
      </w:pPr>
      <w:bookmarkStart w:id="282" w:name="chapter-7-discussion-and-conclusion"/>
      <w:bookmarkStart w:id="283" w:name="_Toc241565800"/>
      <w:bookmarkEnd w:id="252"/>
      <w:bookmarkEnd w:id="272"/>
      <w:bookmarkEnd w:id="280"/>
      <w:r w:rsidRPr="00B95EB3">
        <w:rPr>
          <w:rFonts w:asciiTheme="majorHAnsi" w:hAnsiTheme="majorHAnsi" w:cstheme="majorHAnsi"/>
        </w:rPr>
        <w:lastRenderedPageBreak/>
        <w:t>Chapter 7: Discussion and Conclusion</w:t>
      </w:r>
      <w:bookmarkEnd w:id="283"/>
    </w:p>
    <w:p w14:paraId="26F906B4" w14:textId="77777777" w:rsidR="00DB1607" w:rsidRPr="00B95EB3" w:rsidRDefault="00000000">
      <w:pPr>
        <w:pStyle w:val="Heading2"/>
        <w:rPr>
          <w:rFonts w:asciiTheme="majorHAnsi" w:hAnsiTheme="majorHAnsi" w:cstheme="majorHAnsi"/>
        </w:rPr>
      </w:pPr>
      <w:bookmarkStart w:id="284" w:name="progress-against-the-aims"/>
      <w:bookmarkStart w:id="285" w:name="_Toc241565801"/>
      <w:r w:rsidRPr="00B95EB3">
        <w:rPr>
          <w:rFonts w:asciiTheme="majorHAnsi" w:hAnsiTheme="majorHAnsi" w:cstheme="majorHAnsi"/>
        </w:rPr>
        <w:t>7.1 Progress Against the Aims</w:t>
      </w:r>
      <w:bookmarkEnd w:id="285"/>
    </w:p>
    <w:p w14:paraId="3A82EAFA"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Table 7.1 sets each objective from Section 1.4 against what has been built and what evidence exists for it at the time of writing.</w:t>
      </w:r>
    </w:p>
    <w:p w14:paraId="4B7D4C84" w14:textId="77777777" w:rsidR="00DB1607" w:rsidRPr="00B95EB3" w:rsidRDefault="00000000">
      <w:pPr>
        <w:pStyle w:val="TableCaption"/>
        <w:rPr>
          <w:rFonts w:asciiTheme="majorHAnsi" w:hAnsiTheme="majorHAnsi" w:cstheme="majorHAnsi"/>
        </w:rPr>
      </w:pPr>
      <w:r w:rsidRPr="00B95EB3">
        <w:rPr>
          <w:rFonts w:asciiTheme="majorHAnsi" w:hAnsiTheme="majorHAnsi" w:cstheme="majorHAnsi"/>
        </w:rPr>
        <w:t>Table 7.1. Progress against the objectives in Section 1.4.</w:t>
      </w:r>
    </w:p>
    <w:tbl>
      <w:tblPr>
        <w:tblStyle w:val="Table"/>
        <w:tblW w:w="5000" w:type="pct"/>
        <w:tblBorders>
          <w:top w:val="single" w:sz="8" w:space="0" w:color="808080"/>
          <w:left w:val="nil"/>
          <w:bottom w:val="single" w:sz="8" w:space="0" w:color="808080"/>
          <w:right w:val="nil"/>
          <w:insideH w:val="single" w:sz="4" w:space="0" w:color="808080"/>
          <w:insideV w:val="nil"/>
        </w:tblBorders>
        <w:tblCellMar>
          <w:top w:w="40" w:type="dxa"/>
          <w:left w:w="80" w:type="dxa"/>
          <w:bottom w:w="40" w:type="dxa"/>
          <w:right w:w="80" w:type="dxa"/>
        </w:tblCellMar>
        <w:tblLook w:val="0020" w:firstRow="1" w:lastRow="0" w:firstColumn="0" w:lastColumn="0" w:noHBand="0" w:noVBand="0"/>
      </w:tblPr>
      <w:tblGrid>
        <w:gridCol w:w="3893"/>
        <w:gridCol w:w="3414"/>
        <w:gridCol w:w="1879"/>
      </w:tblGrid>
      <w:tr w:rsidR="00DB1607" w:rsidRPr="00B95EB3" w14:paraId="1001CD6B" w14:textId="77777777" w:rsidTr="00DB16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FF2"/>
          </w:tcPr>
          <w:p w14:paraId="20ED39A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Objective</w:t>
            </w:r>
          </w:p>
        </w:tc>
        <w:tc>
          <w:tcPr>
            <w:tcW w:w="0" w:type="auto"/>
            <w:shd w:val="clear" w:color="auto" w:fill="EDEFF2"/>
          </w:tcPr>
          <w:p w14:paraId="47CA4D8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Status</w:t>
            </w:r>
          </w:p>
        </w:tc>
        <w:tc>
          <w:tcPr>
            <w:tcW w:w="0" w:type="auto"/>
            <w:shd w:val="clear" w:color="auto" w:fill="EDEFF2"/>
          </w:tcPr>
          <w:p w14:paraId="370D304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b/>
                <w:sz w:val="19"/>
              </w:rPr>
              <w:t>Evidence</w:t>
            </w:r>
          </w:p>
        </w:tc>
      </w:tr>
      <w:tr w:rsidR="00DB1607" w:rsidRPr="00B95EB3" w14:paraId="0B99BD4B" w14:textId="77777777">
        <w:tc>
          <w:tcPr>
            <w:tcW w:w="0" w:type="auto"/>
          </w:tcPr>
          <w:p w14:paraId="30322923"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Identify the parameters that matter and which can be sensed affordably</w:t>
            </w:r>
          </w:p>
        </w:tc>
        <w:tc>
          <w:tcPr>
            <w:tcW w:w="0" w:type="auto"/>
          </w:tcPr>
          <w:p w14:paraId="0F60DE1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Complete</w:t>
            </w:r>
          </w:p>
        </w:tc>
        <w:tc>
          <w:tcPr>
            <w:tcW w:w="0" w:type="auto"/>
          </w:tcPr>
          <w:p w14:paraId="1234B89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2</w:t>
            </w:r>
          </w:p>
        </w:tc>
      </w:tr>
      <w:tr w:rsidR="00DB1607" w:rsidRPr="00B95EB3" w14:paraId="6F09EA3D" w14:textId="77777777">
        <w:tc>
          <w:tcPr>
            <w:tcW w:w="0" w:type="auto"/>
          </w:tcPr>
          <w:p w14:paraId="23FF8A3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Build sensor hardware for temperature, pH and TDS, with a camera subsystem</w:t>
            </w:r>
          </w:p>
        </w:tc>
        <w:tc>
          <w:tcPr>
            <w:tcW w:w="0" w:type="auto"/>
          </w:tcPr>
          <w:p w14:paraId="1D661AA7"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Built. Networked firmware awaiting flash and bench tests</w:t>
            </w:r>
          </w:p>
        </w:tc>
        <w:tc>
          <w:tcPr>
            <w:tcW w:w="0" w:type="auto"/>
          </w:tcPr>
          <w:p w14:paraId="711934C2"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3, Section 5.2, Tier 1 pending</w:t>
            </w:r>
          </w:p>
        </w:tc>
      </w:tr>
      <w:tr w:rsidR="00DB1607" w:rsidRPr="00B95EB3" w14:paraId="6BBDC797" w14:textId="77777777">
        <w:tc>
          <w:tcPr>
            <w:tcW w:w="0" w:type="auto"/>
          </w:tcPr>
          <w:p w14:paraId="6A6C186C"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Build a data pipeline combining sensor, camera and NEA data</w:t>
            </w:r>
          </w:p>
        </w:tc>
        <w:tc>
          <w:tcPr>
            <w:tcW w:w="0" w:type="auto"/>
          </w:tcPr>
          <w:p w14:paraId="4FF1E79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Built and in use</w:t>
            </w:r>
          </w:p>
        </w:tc>
        <w:tc>
          <w:tcPr>
            <w:tcW w:w="0" w:type="auto"/>
          </w:tcPr>
          <w:p w14:paraId="0E4E451B"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Sections 3.6 to 3.8, Section 5.5</w:t>
            </w:r>
          </w:p>
        </w:tc>
      </w:tr>
      <w:tr w:rsidR="00DB1607" w:rsidRPr="00B95EB3" w14:paraId="5663F66C" w14:textId="77777777">
        <w:tc>
          <w:tcPr>
            <w:tcW w:w="0" w:type="auto"/>
          </w:tcPr>
          <w:p w14:paraId="6A9EE131"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Build a digital twin estimating ammonia, nitrate, algal risk and evaporation ahead of time</w:t>
            </w:r>
          </w:p>
        </w:tc>
        <w:tc>
          <w:tcPr>
            <w:tcW w:w="0" w:type="auto"/>
          </w:tcPr>
          <w:p w14:paraId="6C32000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Built and verified in software. Parameters not yet calibrated</w:t>
            </w:r>
          </w:p>
        </w:tc>
        <w:tc>
          <w:tcPr>
            <w:tcW w:w="0" w:type="auto"/>
          </w:tcPr>
          <w:p w14:paraId="5537BD3F"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 3.9, Sections 5.4 and 5.7</w:t>
            </w:r>
          </w:p>
        </w:tc>
      </w:tr>
      <w:tr w:rsidR="00DB1607" w:rsidRPr="00B95EB3" w14:paraId="11DC68D6" w14:textId="77777777">
        <w:tc>
          <w:tcPr>
            <w:tcW w:w="0" w:type="auto"/>
          </w:tcPr>
          <w:p w14:paraId="53F17396"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Deliver risk information through a mobile application with alerts</w:t>
            </w:r>
          </w:p>
        </w:tc>
        <w:tc>
          <w:tcPr>
            <w:tcW w:w="0" w:type="auto"/>
          </w:tcPr>
          <w:p w14:paraId="70EC1FF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Built, with in-app status alerts. No push notifications</w:t>
            </w:r>
          </w:p>
        </w:tc>
        <w:tc>
          <w:tcPr>
            <w:tcW w:w="0" w:type="auto"/>
          </w:tcPr>
          <w:p w14:paraId="2D939589"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Section 5.6</w:t>
            </w:r>
          </w:p>
        </w:tc>
      </w:tr>
      <w:tr w:rsidR="00DB1607" w:rsidRPr="00B95EB3" w14:paraId="47464D1F" w14:textId="77777777">
        <w:tc>
          <w:tcPr>
            <w:tcW w:w="0" w:type="auto"/>
          </w:tcPr>
          <w:p w14:paraId="4FAE98D5"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Evaluate the system honestly and document its limitations</w:t>
            </w:r>
          </w:p>
        </w:tc>
        <w:tc>
          <w:tcPr>
            <w:tcW w:w="0" w:type="auto"/>
          </w:tcPr>
          <w:p w14:paraId="7829FAF8"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Historical forecast analysis complete. Hardware and field evaluation pending</w:t>
            </w:r>
          </w:p>
        </w:tc>
        <w:tc>
          <w:tcPr>
            <w:tcW w:w="0" w:type="auto"/>
          </w:tcPr>
          <w:p w14:paraId="7D8DE2E4" w14:textId="77777777" w:rsidR="00DB1607" w:rsidRPr="00B95EB3" w:rsidRDefault="00000000">
            <w:pPr>
              <w:pStyle w:val="Compact"/>
              <w:spacing w:before="20" w:after="20" w:line="264" w:lineRule="auto"/>
              <w:jc w:val="left"/>
              <w:rPr>
                <w:rFonts w:asciiTheme="majorHAnsi" w:hAnsiTheme="majorHAnsi" w:cstheme="majorHAnsi"/>
              </w:rPr>
            </w:pPr>
            <w:r w:rsidRPr="00B95EB3">
              <w:rPr>
                <w:rFonts w:asciiTheme="majorHAnsi" w:hAnsiTheme="majorHAnsi" w:cstheme="majorHAnsi"/>
                <w:sz w:val="19"/>
              </w:rPr>
              <w:t>Chapter 6, Section 7.3</w:t>
            </w:r>
          </w:p>
        </w:tc>
      </w:tr>
    </w:tbl>
    <w:p w14:paraId="6F0987AF" w14:textId="77777777" w:rsidR="00DB1607" w:rsidRPr="00B95EB3" w:rsidRDefault="00000000">
      <w:pPr>
        <w:pStyle w:val="BodyText"/>
        <w:spacing w:before="200"/>
        <w:rPr>
          <w:rFonts w:asciiTheme="majorHAnsi" w:hAnsiTheme="majorHAnsi" w:cstheme="majorHAnsi"/>
        </w:rPr>
      </w:pPr>
      <w:r w:rsidRPr="00B95EB3">
        <w:rPr>
          <w:rFonts w:asciiTheme="majorHAnsi" w:hAnsiTheme="majorHAnsi" w:cstheme="majorHAnsi"/>
        </w:rPr>
        <w:t>The software side of the project is further along than the hardware side. The digital twin, camera service and application work end to end on stored data and pass their automated tests, while the sensor node’s refactored and networked firmware still has to be flashed and taken through Tier 1. The order of the remaining work follows from this: the bench tests come first, because every model output downstream depends on the readings they validate.</w:t>
      </w:r>
    </w:p>
    <w:p w14:paraId="5BA73437" w14:textId="77777777" w:rsidR="00DB1607" w:rsidRPr="00B95EB3" w:rsidRDefault="00000000">
      <w:pPr>
        <w:pStyle w:val="Heading2"/>
        <w:rPr>
          <w:rFonts w:asciiTheme="majorHAnsi" w:hAnsiTheme="majorHAnsi" w:cstheme="majorHAnsi"/>
        </w:rPr>
      </w:pPr>
      <w:bookmarkStart w:id="286" w:name="X92e4126f4d22d6d0dfbd2e7f7b8af2312e34c5c"/>
      <w:bookmarkStart w:id="287" w:name="_Toc241565802"/>
      <w:bookmarkEnd w:id="284"/>
      <w:r w:rsidRPr="00B95EB3">
        <w:rPr>
          <w:rFonts w:asciiTheme="majorHAnsi" w:hAnsiTheme="majorHAnsi" w:cstheme="majorHAnsi"/>
        </w:rPr>
        <w:t>7.2 What the Historical Analysis Means for the Design</w:t>
      </w:r>
      <w:bookmarkEnd w:id="287"/>
    </w:p>
    <w:p w14:paraId="388B14B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analysis in Section 6.2 was run to check the design’s assumptions about forecasts before pond data exists, and it changes how three parts of the design should be read.</w:t>
      </w:r>
    </w:p>
    <w:p w14:paraId="4AA5CE0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The rain term in the chemistry risk score is too heavy.</w:t>
      </w:r>
      <w:r w:rsidRPr="00B95EB3">
        <w:rPr>
          <w:rFonts w:asciiTheme="majorHAnsi" w:hAnsiTheme="majorHAnsi" w:cstheme="majorHAnsi"/>
        </w:rPr>
        <w:t xml:space="preserve"> The chemistry engine adds two points to its risk score when the forecast text mentions thundery or heavy rain, and one point for lighter rain. The 24-hour forecast uses thundery wording on 72 % of days, and the watch threshold is three points, so on most days a single other point of concern is enough to show an amber status. At the same time, Table 6.1 shows that rain dilutes a 1.2 m pond by only a few per cent on a typical wet day. The combination risks an amber status that an owner learns to ignore. Two changes would bring the rain term in line with the evidence. First, the weight could scale with the pond’s depth, which is not stored at present, so that shallow ponds, where dilution per millimetre is larger, receive more weight. Second, the term could draw on observed rainfall from the assigned NEA station rather than forecast wording, so that it responds to rain that actually fell. A heavy fall recorded overnight is a </w:t>
      </w:r>
      <w:r w:rsidRPr="00B95EB3">
        <w:rPr>
          <w:rFonts w:asciiTheme="majorHAnsi" w:hAnsiTheme="majorHAnsi" w:cstheme="majorHAnsi"/>
        </w:rPr>
        <w:lastRenderedPageBreak/>
        <w:t>sound reason to suggest a morning check. Both changes adjust an existing input and leave the model’s structure as it is.</w:t>
      </w:r>
    </w:p>
    <w:p w14:paraId="55DDA27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The forecast adds most value for dry windows and next-day rain.</w:t>
      </w:r>
      <w:r w:rsidRPr="00B95EB3">
        <w:rPr>
          <w:rFonts w:asciiTheme="majorHAnsi" w:hAnsiTheme="majorHAnsi" w:cstheme="majorHAnsi"/>
        </w:rPr>
        <w:t xml:space="preserve"> For hot days the outlook added no measurable skill once the current temperature was known (Section 6.2.5). This supports the way feeding guidance already works, which is driven by water temperature. It weakens any claim that the system warns of heat days in advance better than a thermometer would. The forecast was reliable at identifying dry days, with 86 % of flagged days dry on held-out data. The application does not yet tell the owner when a dry window is coming, and this is the most direct way the forecast could add value that sensing alone cannot. For next-day rain the outlook did add skill, which suits a “check the pond after tonight’s rain” style of advice more than a pre-emptive chemical intervention.</w:t>
      </w:r>
    </w:p>
    <w:p w14:paraId="32AE3A05"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Evaporation remains the forecast use most in need of pond data.</w:t>
      </w:r>
      <w:r w:rsidRPr="00B95EB3">
        <w:rPr>
          <w:rFonts w:asciiTheme="majorHAnsi" w:hAnsiTheme="majorHAnsi" w:cstheme="majorHAnsi"/>
        </w:rPr>
        <w:t xml:space="preserve"> The evaporation engine uses forecast humidity and wind as well as temperature, and those were not part of the heat test. Its output depends heavily on a shelter factor and an assumed depth, both set from judgement. Logging real top-ups against elapsed days and fitting the shelter factor is the single change most likely to improve its accuracy.</w:t>
      </w:r>
    </w:p>
    <w:p w14:paraId="60F4B1A6"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Taken together, these findings strengthen the advisory design. The system’s advice depends on forecasts in a few specific places, and the analysis now shows which of them are well supported. The design never relied on forecasts being accurate enough to trigger an automatic action, and the rain result shows why that choice was sound.</w:t>
      </w:r>
    </w:p>
    <w:p w14:paraId="2650135C" w14:textId="77777777" w:rsidR="00DB1607" w:rsidRPr="00B95EB3" w:rsidRDefault="00000000">
      <w:pPr>
        <w:pStyle w:val="Heading2"/>
        <w:rPr>
          <w:rFonts w:asciiTheme="majorHAnsi" w:hAnsiTheme="majorHAnsi" w:cstheme="majorHAnsi"/>
        </w:rPr>
      </w:pPr>
      <w:bookmarkStart w:id="288" w:name="limitations"/>
      <w:bookmarkStart w:id="289" w:name="_Toc241565803"/>
      <w:bookmarkEnd w:id="286"/>
      <w:r w:rsidRPr="00B95EB3">
        <w:rPr>
          <w:rFonts w:asciiTheme="majorHAnsi" w:hAnsiTheme="majorHAnsi" w:cstheme="majorHAnsi"/>
        </w:rPr>
        <w:t>7.3 Limitations</w:t>
      </w:r>
      <w:bookmarkEnd w:id="289"/>
    </w:p>
    <w:p w14:paraId="69037308"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limitations below are grouped by the kind of evidence they affect.</w:t>
      </w:r>
    </w:p>
    <w:p w14:paraId="4460E61A"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b/>
          <w:bCs/>
        </w:rPr>
        <w:t>Model validity.</w:t>
      </w:r>
    </w:p>
    <w:p w14:paraId="5468585F" w14:textId="77777777" w:rsidR="00DB1607" w:rsidRPr="00B95EB3" w:rsidRDefault="00000000">
      <w:pPr>
        <w:pStyle w:val="Compact"/>
        <w:numPr>
          <w:ilvl w:val="0"/>
          <w:numId w:val="9"/>
        </w:numPr>
        <w:rPr>
          <w:rFonts w:asciiTheme="majorHAnsi" w:hAnsiTheme="majorHAnsi" w:cstheme="majorHAnsi"/>
        </w:rPr>
      </w:pPr>
      <w:r w:rsidRPr="00B95EB3">
        <w:rPr>
          <w:rFonts w:asciiTheme="majorHAnsi" w:hAnsiTheme="majorHAnsi" w:cstheme="majorHAnsi"/>
        </w:rPr>
        <w:t>The chemistry engine’s nitrification rates, excretion fraction and risk weights come from literature and judgement, and no ammonia, nitrite or nitrate reference measurements have yet been taken to calibrate them (Section 2.6.6). Its outputs should therefore be read as trends and relative risk, and its concentrations are not reliable in absolute terms.</w:t>
      </w:r>
    </w:p>
    <w:p w14:paraId="4213280D" w14:textId="77777777" w:rsidR="00DB1607" w:rsidRPr="00B95EB3" w:rsidRDefault="00000000">
      <w:pPr>
        <w:pStyle w:val="Compact"/>
        <w:numPr>
          <w:ilvl w:val="0"/>
          <w:numId w:val="9"/>
        </w:numPr>
        <w:rPr>
          <w:rFonts w:asciiTheme="majorHAnsi" w:hAnsiTheme="majorHAnsi" w:cstheme="majorHAnsi"/>
        </w:rPr>
      </w:pPr>
      <w:r w:rsidRPr="00B95EB3">
        <w:rPr>
          <w:rFonts w:asciiTheme="majorHAnsi" w:hAnsiTheme="majorHAnsi" w:cstheme="majorHAnsi"/>
        </w:rPr>
        <w:t>The evaporation engine assumes a 1.2 m depth and a shelter factor of 0.6, and the air-to-water temperature offset has not yet been fitted to the pond.</w:t>
      </w:r>
    </w:p>
    <w:p w14:paraId="73F45801" w14:textId="77777777" w:rsidR="00DB1607" w:rsidRPr="00B95EB3" w:rsidRDefault="00000000">
      <w:pPr>
        <w:pStyle w:val="Compact"/>
        <w:numPr>
          <w:ilvl w:val="0"/>
          <w:numId w:val="9"/>
        </w:numPr>
        <w:rPr>
          <w:rFonts w:asciiTheme="majorHAnsi" w:hAnsiTheme="majorHAnsi" w:cstheme="majorHAnsi"/>
        </w:rPr>
      </w:pPr>
      <w:r w:rsidRPr="00B95EB3">
        <w:rPr>
          <w:rFonts w:asciiTheme="majorHAnsi" w:hAnsiTheme="majorHAnsi" w:cstheme="majorHAnsi"/>
        </w:rPr>
        <w:t>The rain term in the chemistry score is heavier than the historical evidence supports (Section 7.2).</w:t>
      </w:r>
    </w:p>
    <w:p w14:paraId="7FE12408" w14:textId="77777777" w:rsidR="00DB1607" w:rsidRPr="00B95EB3" w:rsidRDefault="00000000">
      <w:pPr>
        <w:pStyle w:val="Compact"/>
        <w:numPr>
          <w:ilvl w:val="0"/>
          <w:numId w:val="9"/>
        </w:numPr>
        <w:rPr>
          <w:rFonts w:asciiTheme="majorHAnsi" w:hAnsiTheme="majorHAnsi" w:cstheme="majorHAnsi"/>
        </w:rPr>
      </w:pPr>
      <w:r w:rsidRPr="00B95EB3">
        <w:rPr>
          <w:rFonts w:asciiTheme="majorHAnsi" w:hAnsiTheme="majorHAnsi" w:cstheme="majorHAnsi"/>
        </w:rPr>
        <w:t>The hypoxia risk pattern identified in Section 2.2 is not modelled.</w:t>
      </w:r>
    </w:p>
    <w:p w14:paraId="7B3048E7"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b/>
          <w:bCs/>
        </w:rPr>
        <w:t>Sensing.</w:t>
      </w:r>
    </w:p>
    <w:p w14:paraId="0669CBD2" w14:textId="77777777" w:rsidR="00DB1607" w:rsidRPr="00B95EB3" w:rsidRDefault="00000000">
      <w:pPr>
        <w:pStyle w:val="Compact"/>
        <w:numPr>
          <w:ilvl w:val="0"/>
          <w:numId w:val="10"/>
        </w:numPr>
        <w:rPr>
          <w:rFonts w:asciiTheme="majorHAnsi" w:hAnsiTheme="majorHAnsi" w:cstheme="majorHAnsi"/>
        </w:rPr>
      </w:pPr>
      <w:r w:rsidRPr="00B95EB3">
        <w:rPr>
          <w:rFonts w:asciiTheme="majorHAnsi" w:hAnsiTheme="majorHAnsi" w:cstheme="majorHAnsi"/>
        </w:rPr>
        <w:t>The TDS prompting design is unproven until the tests in Section 4.4.3.1 are run.</w:t>
      </w:r>
    </w:p>
    <w:p w14:paraId="23BCDB2F" w14:textId="77777777" w:rsidR="00DB1607" w:rsidRPr="00B95EB3" w:rsidRDefault="00000000">
      <w:pPr>
        <w:pStyle w:val="Compact"/>
        <w:numPr>
          <w:ilvl w:val="0"/>
          <w:numId w:val="10"/>
        </w:numPr>
        <w:rPr>
          <w:rFonts w:asciiTheme="majorHAnsi" w:hAnsiTheme="majorHAnsi" w:cstheme="majorHAnsi"/>
        </w:rPr>
      </w:pPr>
      <w:r w:rsidRPr="00B95EB3">
        <w:rPr>
          <w:rFonts w:asciiTheme="majorHAnsi" w:hAnsiTheme="majorHAnsi" w:cstheme="majorHAnsi"/>
        </w:rPr>
        <w:t>pH and TDS are separated in time but not galvanically isolated.</w:t>
      </w:r>
    </w:p>
    <w:p w14:paraId="1F314DC7" w14:textId="77777777" w:rsidR="00DB1607" w:rsidRPr="00B95EB3" w:rsidRDefault="00000000">
      <w:pPr>
        <w:pStyle w:val="Compact"/>
        <w:numPr>
          <w:ilvl w:val="0"/>
          <w:numId w:val="10"/>
        </w:numPr>
        <w:rPr>
          <w:rFonts w:asciiTheme="majorHAnsi" w:hAnsiTheme="majorHAnsi" w:cstheme="majorHAnsi"/>
        </w:rPr>
      </w:pPr>
      <w:r w:rsidRPr="00B95EB3">
        <w:rPr>
          <w:rFonts w:asciiTheme="majorHAnsi" w:hAnsiTheme="majorHAnsi" w:cstheme="majorHAnsi"/>
        </w:rPr>
        <w:t>The camera’s green ratio is computed over the whole frame, so its absolute value depends on framing.</w:t>
      </w:r>
    </w:p>
    <w:p w14:paraId="41818B8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b/>
          <w:bCs/>
        </w:rPr>
        <w:t>Software and deployment.</w:t>
      </w:r>
    </w:p>
    <w:p w14:paraId="21D1C741"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The sensor payload lacks a device identifier, cycle number and sample time.</w:t>
      </w:r>
    </w:p>
    <w:p w14:paraId="07D5D7F7"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lastRenderedPageBreak/>
        <w:t>The poller reads only the latest reading and stamps it with the poll time.</w:t>
      </w:r>
    </w:p>
    <w:p w14:paraId="31CADFEB"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An event saved to Supabase but missed by the digital twin is never reapplied.</w:t>
      </w:r>
    </w:p>
    <w:p w14:paraId="4EFD1542"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The digital twin runs locally, as a single process, with unauthenticated endpoints.</w:t>
      </w:r>
    </w:p>
    <w:p w14:paraId="5E256B7A"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The camera state machine changes state on a single frame, uses one fixed dynamic interval and sends no obstruction alert.</w:t>
      </w:r>
    </w:p>
    <w:p w14:paraId="5C9913BD"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There are no push notifications, so an owner who is not using the application does not see an alert.</w:t>
      </w:r>
    </w:p>
    <w:p w14:paraId="7797337E" w14:textId="77777777" w:rsidR="00DB1607" w:rsidRPr="00B95EB3" w:rsidRDefault="00000000">
      <w:pPr>
        <w:pStyle w:val="Compact"/>
        <w:numPr>
          <w:ilvl w:val="0"/>
          <w:numId w:val="11"/>
        </w:numPr>
        <w:rPr>
          <w:rFonts w:asciiTheme="majorHAnsi" w:hAnsiTheme="majorHAnsi" w:cstheme="majorHAnsi"/>
        </w:rPr>
      </w:pPr>
      <w:r w:rsidRPr="00B95EB3">
        <w:rPr>
          <w:rFonts w:asciiTheme="majorHAnsi" w:hAnsiTheme="majorHAnsi" w:cstheme="majorHAnsi"/>
        </w:rPr>
        <w:t>Salt addition and filter cleaning cannot yet be logged.</w:t>
      </w:r>
    </w:p>
    <w:p w14:paraId="7E9F4FF2"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b/>
          <w:bCs/>
        </w:rPr>
        <w:t>Evaluation scope.</w:t>
      </w:r>
    </w:p>
    <w:p w14:paraId="40CAFBC3" w14:textId="77777777" w:rsidR="00DB1607" w:rsidRPr="00B95EB3" w:rsidRDefault="00000000">
      <w:pPr>
        <w:pStyle w:val="Compact"/>
        <w:numPr>
          <w:ilvl w:val="0"/>
          <w:numId w:val="12"/>
        </w:numPr>
        <w:rPr>
          <w:rFonts w:asciiTheme="majorHAnsi" w:hAnsiTheme="majorHAnsi" w:cstheme="majorHAnsi"/>
        </w:rPr>
      </w:pPr>
      <w:r w:rsidRPr="00B95EB3">
        <w:rPr>
          <w:rFonts w:asciiTheme="majorHAnsi" w:hAnsiTheme="majorHAnsi" w:cstheme="majorHAnsi"/>
        </w:rPr>
        <w:t>The historical analysis uses one cluster of weather stations and air temperature, not pond water temperature.</w:t>
      </w:r>
    </w:p>
    <w:p w14:paraId="462943A0" w14:textId="77777777" w:rsidR="00DB1607" w:rsidRPr="00B95EB3" w:rsidRDefault="00000000">
      <w:pPr>
        <w:pStyle w:val="Compact"/>
        <w:numPr>
          <w:ilvl w:val="0"/>
          <w:numId w:val="12"/>
        </w:numPr>
        <w:rPr>
          <w:rFonts w:asciiTheme="majorHAnsi" w:hAnsiTheme="majorHAnsi" w:cstheme="majorHAnsi"/>
        </w:rPr>
      </w:pPr>
      <w:r w:rsidRPr="00B95EB3">
        <w:rPr>
          <w:rFonts w:asciiTheme="majorHAnsi" w:hAnsiTheme="majorHAnsi" w:cstheme="majorHAnsi"/>
        </w:rPr>
        <w:t>The held-out test of the heat rule had only 10 firing days.</w:t>
      </w:r>
    </w:p>
    <w:p w14:paraId="38143E85" w14:textId="77777777" w:rsidR="00DB1607" w:rsidRPr="00B95EB3" w:rsidRDefault="00000000">
      <w:pPr>
        <w:pStyle w:val="Compact"/>
        <w:numPr>
          <w:ilvl w:val="0"/>
          <w:numId w:val="12"/>
        </w:numPr>
        <w:rPr>
          <w:rFonts w:asciiTheme="majorHAnsi" w:hAnsiTheme="majorHAnsi" w:cstheme="majorHAnsi"/>
        </w:rPr>
      </w:pPr>
      <w:r w:rsidRPr="00B95EB3">
        <w:rPr>
          <w:rFonts w:asciiTheme="majorHAnsi" w:hAnsiTheme="majorHAnsi" w:cstheme="majorHAnsi"/>
        </w:rPr>
        <w:t>The field run covers two days and cannot speak to seasonal behaviour.</w:t>
      </w:r>
    </w:p>
    <w:p w14:paraId="7BAF55A5" w14:textId="77777777" w:rsidR="00DB1607" w:rsidRPr="00B95EB3" w:rsidRDefault="00000000">
      <w:pPr>
        <w:pStyle w:val="Heading2"/>
        <w:rPr>
          <w:rFonts w:asciiTheme="majorHAnsi" w:hAnsiTheme="majorHAnsi" w:cstheme="majorHAnsi"/>
        </w:rPr>
      </w:pPr>
      <w:bookmarkStart w:id="290" w:name="future-work"/>
      <w:bookmarkStart w:id="291" w:name="_Toc241565804"/>
      <w:bookmarkEnd w:id="288"/>
      <w:r w:rsidRPr="00B95EB3">
        <w:rPr>
          <w:rFonts w:asciiTheme="majorHAnsi" w:hAnsiTheme="majorHAnsi" w:cstheme="majorHAnsi"/>
        </w:rPr>
        <w:t>7.4 Future Work</w:t>
      </w:r>
      <w:bookmarkEnd w:id="291"/>
    </w:p>
    <w:p w14:paraId="10759946"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The following work is listed in order of the value it would add, given the current state of the project.</w:t>
      </w:r>
    </w:p>
    <w:p w14:paraId="0A85CF80"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Complete Tier 1 on the refactored node.</w:t>
      </w:r>
      <w:r w:rsidRPr="00B95EB3">
        <w:rPr>
          <w:rFonts w:asciiTheme="majorHAnsi" w:hAnsiTheme="majorHAnsi" w:cstheme="majorHAnsi"/>
        </w:rPr>
        <w:t xml:space="preserve"> Flash the networked firmware with the payload change (device identifier, cycle number, sample time, reset reason, omission of failed readings), tune the pH settle tolerance from the settle log, and measure the development board’s sleep current.</w:t>
      </w:r>
    </w:p>
    <w:p w14:paraId="4A761666"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Choose the regulator from the measured sleep current.</w:t>
      </w:r>
      <w:r w:rsidRPr="00B95EB3">
        <w:rPr>
          <w:rFonts w:asciiTheme="majorHAnsi" w:hAnsiTheme="majorHAnsi" w:cstheme="majorHAnsi"/>
        </w:rPr>
        <w:t xml:space="preserve"> If the board draws several milliamps in sleep, remove the power LED or move to a low-quiescent board before adding a buck converter (Section 3.3.2). Add a switched battery divider.</w:t>
      </w:r>
    </w:p>
    <w:p w14:paraId="2F462A09"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Run the TDS viability tests.</w:t>
      </w:r>
      <w:r w:rsidRPr="00B95EB3">
        <w:rPr>
          <w:rFonts w:asciiTheme="majorHAnsi" w:hAnsiTheme="majorHAnsi" w:cstheme="majorHAnsi"/>
        </w:rPr>
        <w:t xml:space="preserve"> Build the prompting path, with salt and filter-cleaning events, only if T1 to T4 pass.</w:t>
      </w:r>
    </w:p>
    <w:p w14:paraId="31C77316"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Recalibrate the rain term.</w:t>
      </w:r>
      <w:r w:rsidRPr="00B95EB3">
        <w:rPr>
          <w:rFonts w:asciiTheme="majorHAnsi" w:hAnsiTheme="majorHAnsi" w:cstheme="majorHAnsi"/>
        </w:rPr>
        <w:t xml:space="preserve"> Store pond depth at onboarding, weight rain by depth, and base the term on observed rainfall from the assigned station.</w:t>
      </w:r>
    </w:p>
    <w:p w14:paraId="4B96E856"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Add a dry-window advisory</w:t>
      </w:r>
      <w:r w:rsidRPr="00B95EB3">
        <w:rPr>
          <w:rFonts w:asciiTheme="majorHAnsi" w:hAnsiTheme="majorHAnsi" w:cstheme="majorHAnsi"/>
        </w:rPr>
        <w:t xml:space="preserve"> to the application using the forecast rule validated in Section 6.2.4.</w:t>
      </w:r>
    </w:p>
    <w:p w14:paraId="775C00CF"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Make the model state recoverable.</w:t>
      </w:r>
      <w:r w:rsidRPr="00B95EB3">
        <w:rPr>
          <w:rFonts w:asciiTheme="majorHAnsi" w:hAnsiTheme="majorHAnsi" w:cstheme="majorHAnsi"/>
        </w:rPr>
        <w:t xml:space="preserve"> Give each event an identifier, have the digital twin record which events it has applied, and let the poller apply any intervention row it has not seen. This closes the gap left by the two-write logging path.</w:t>
      </w:r>
    </w:p>
    <w:p w14:paraId="1F97EFAD"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Read all readings since the last poll</w:t>
      </w:r>
      <w:r w:rsidRPr="00B95EB3">
        <w:rPr>
          <w:rFonts w:asciiTheme="majorHAnsi" w:hAnsiTheme="majorHAnsi" w:cstheme="majorHAnsi"/>
        </w:rPr>
        <w:t>, each with its own sample time, instead of only the latest.</w:t>
      </w:r>
    </w:p>
    <w:p w14:paraId="22D277AC"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Improve the camera schedule.</w:t>
      </w:r>
      <w:r w:rsidRPr="00B95EB3">
        <w:rPr>
          <w:rFonts w:asciiTheme="majorHAnsi" w:hAnsiTheme="majorHAnsi" w:cstheme="majorHAnsi"/>
        </w:rPr>
        <w:t xml:space="preserve"> Add hysteresis, implement the 2-hour, 1-hour and 30-minute steps, set a water mask per installation, send an owner alert on obstruction, raise the device’s lower clamp for deployment, and add an automated labelled-sequence test.</w:t>
      </w:r>
    </w:p>
    <w:p w14:paraId="7F45C152"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Host the digital twin</w:t>
      </w:r>
      <w:r w:rsidRPr="00B95EB3">
        <w:rPr>
          <w:rFonts w:asciiTheme="majorHAnsi" w:hAnsiTheme="majorHAnsi" w:cstheme="majorHAnsi"/>
        </w:rPr>
        <w:t xml:space="preserve"> on an always-on platform that supports a long-running process, with requests authenticated by the user’s Supabase session token.</w:t>
      </w:r>
    </w:p>
    <w:p w14:paraId="32165DB4"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Add push notifications</w:t>
      </w:r>
      <w:r w:rsidRPr="00B95EB3">
        <w:rPr>
          <w:rFonts w:asciiTheme="majorHAnsi" w:hAnsiTheme="majorHAnsi" w:cstheme="majorHAnsi"/>
        </w:rPr>
        <w:t xml:space="preserve"> for status changes to red and for obstruction alerts.</w:t>
      </w:r>
    </w:p>
    <w:p w14:paraId="1F15800F"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Calibrate model constants from pond data.</w:t>
      </w:r>
      <w:r w:rsidRPr="00B95EB3">
        <w:rPr>
          <w:rFonts w:asciiTheme="majorHAnsi" w:hAnsiTheme="majorHAnsi" w:cstheme="majorHAnsi"/>
        </w:rPr>
        <w:t xml:space="preserve"> Fit the shelter factor from logged top-ups, the air-to-water offset from the temperature record, and the nitrification rates against periodic test-kit readings.</w:t>
      </w:r>
    </w:p>
    <w:p w14:paraId="16DE85BC"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Add a night-time hypoxia flag</w:t>
      </w:r>
      <w:r w:rsidRPr="00B95EB3">
        <w:rPr>
          <w:rFonts w:asciiTheme="majorHAnsi" w:hAnsiTheme="majorHAnsi" w:cstheme="majorHAnsi"/>
        </w:rPr>
        <w:t xml:space="preserve"> gated on water temperature and darkness from the light sensor.</w:t>
      </w:r>
    </w:p>
    <w:p w14:paraId="71BD3F4E"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lastRenderedPageBreak/>
        <w:t>Isolate the pH board galvanically</w:t>
      </w:r>
      <w:r w:rsidRPr="00B95EB3">
        <w:rPr>
          <w:rFonts w:asciiTheme="majorHAnsi" w:hAnsiTheme="majorHAnsi" w:cstheme="majorHAnsi"/>
        </w:rPr>
        <w:t xml:space="preserve"> if the interference test in Section 4.4.2 shows a shift beyond the probe’s accuracy.</w:t>
      </w:r>
    </w:p>
    <w:p w14:paraId="04329484" w14:textId="77777777" w:rsidR="00DB1607" w:rsidRPr="00B95EB3" w:rsidRDefault="00000000">
      <w:pPr>
        <w:pStyle w:val="Compact"/>
        <w:numPr>
          <w:ilvl w:val="0"/>
          <w:numId w:val="13"/>
        </w:numPr>
        <w:rPr>
          <w:rFonts w:asciiTheme="majorHAnsi" w:hAnsiTheme="majorHAnsi" w:cstheme="majorHAnsi"/>
        </w:rPr>
      </w:pPr>
      <w:r w:rsidRPr="00B95EB3">
        <w:rPr>
          <w:rFonts w:asciiTheme="majorHAnsi" w:hAnsiTheme="majorHAnsi" w:cstheme="majorHAnsi"/>
          <w:b/>
          <w:bCs/>
        </w:rPr>
        <w:t>Remove credentials from source.</w:t>
      </w:r>
      <w:r w:rsidRPr="00B95EB3">
        <w:rPr>
          <w:rFonts w:asciiTheme="majorHAnsi" w:hAnsiTheme="majorHAnsi" w:cstheme="majorHAnsi"/>
        </w:rPr>
        <w:t xml:space="preserve"> Rotate the camera’s Wi-Fi credentials and device token, and move both to build-time configuration or non-volatile storage.</w:t>
      </w:r>
    </w:p>
    <w:p w14:paraId="23784520" w14:textId="77777777" w:rsidR="00DB1607" w:rsidRPr="00B95EB3" w:rsidRDefault="00000000">
      <w:pPr>
        <w:pStyle w:val="Heading2"/>
        <w:rPr>
          <w:rFonts w:asciiTheme="majorHAnsi" w:hAnsiTheme="majorHAnsi" w:cstheme="majorHAnsi"/>
        </w:rPr>
      </w:pPr>
      <w:bookmarkStart w:id="292" w:name="conclusion"/>
      <w:bookmarkStart w:id="293" w:name="_Toc241565805"/>
      <w:bookmarkEnd w:id="290"/>
      <w:r w:rsidRPr="00B95EB3">
        <w:rPr>
          <w:rFonts w:asciiTheme="majorHAnsi" w:hAnsiTheme="majorHAnsi" w:cstheme="majorHAnsi"/>
        </w:rPr>
        <w:t>7.5 Conclusion</w:t>
      </w:r>
      <w:bookmarkEnd w:id="293"/>
    </w:p>
    <w:p w14:paraId="5800A6CE" w14:textId="77777777" w:rsidR="00DB1607" w:rsidRPr="00B95EB3" w:rsidRDefault="00000000">
      <w:pPr>
        <w:pStyle w:val="FirstParagraph"/>
        <w:rPr>
          <w:rFonts w:asciiTheme="majorHAnsi" w:hAnsiTheme="majorHAnsi" w:cstheme="majorHAnsi"/>
        </w:rPr>
      </w:pPr>
      <w:r w:rsidRPr="00B95EB3">
        <w:rPr>
          <w:rFonts w:asciiTheme="majorHAnsi" w:hAnsiTheme="majorHAnsi" w:cstheme="majorHAnsi"/>
        </w:rPr>
        <w:t>This project set out to build a low-cost system that warns an outdoor pond owner of developing water quality problems instead of only reporting the present state of the water. The literature review showed that dissolved oxygen and nitrate cannot be sensed reliably at this budget, and that the practical route is to sense temperature, pH, TDS and light directly, to estimate the nitrogen species from logged feeding and maintenance, to track algae with a camera grounded by the owner’s own ratings, and to use weather forecasts where they add information.</w:t>
      </w:r>
    </w:p>
    <w:p w14:paraId="2C0BFFEF"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system that resulted has two independent pond-side nodes, a hosted camera analysis service, a digital twin that keeps chemistry, evaporation and algae models consistent under one lock and one snapshot, and a Flutter application that presents the models’ outlook and collects the owner’s events. The change from an RS485 pH front end to a 3.3 V analogue kit simplified the hardware to the point where every sensor runs from its own microcontroller pin, and battery life is now set by the development board’s sleep current. The software has been refactored across all components, and its logic is covered by automated tests: 66 firmware checks and 297 digital twin checks pass.</w:t>
      </w:r>
    </w:p>
    <w:p w14:paraId="63663828"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analysis of six years of NEA data gave the clearest result of the project so far. For a pond of normal depth, rain dilution is small beside routine water changes. The forecast identifies dry days reliably and adds some skill for next-day rain, but it adds nothing measurable over the thermometer for hot days. These findings narrow where the forecast should be used and show that the chemistry model’s rain term should be recalibrated.</w:t>
      </w:r>
    </w:p>
    <w:p w14:paraId="6385498B" w14:textId="77777777" w:rsidR="00DB1607" w:rsidRPr="00B95EB3" w:rsidRDefault="00000000">
      <w:pPr>
        <w:pStyle w:val="BodyText"/>
        <w:rPr>
          <w:rFonts w:asciiTheme="majorHAnsi" w:hAnsiTheme="majorHAnsi" w:cstheme="majorHAnsi"/>
        </w:rPr>
      </w:pPr>
      <w:r w:rsidRPr="00B95EB3">
        <w:rPr>
          <w:rFonts w:asciiTheme="majorHAnsi" w:hAnsiTheme="majorHAnsi" w:cstheme="majorHAnsi"/>
        </w:rPr>
        <w:t>The bench, field and endurance tests in Chapter 4 will decide how far the hardware meets its targets and whether TDS can serve as a context log. [Placeholder: summarise the Tier 1 to Tier 3 outcomes and the TDS viability result once the tests are complete.]</w:t>
      </w:r>
    </w:p>
    <w:p w14:paraId="0B6352BC" w14:textId="77777777" w:rsidR="00DB1607" w:rsidRPr="00B95EB3" w:rsidRDefault="00000000">
      <w:pPr>
        <w:pStyle w:val="Heading1"/>
        <w:rPr>
          <w:rFonts w:asciiTheme="majorHAnsi" w:hAnsiTheme="majorHAnsi" w:cstheme="majorHAnsi"/>
        </w:rPr>
      </w:pPr>
      <w:bookmarkStart w:id="294" w:name="references"/>
      <w:bookmarkStart w:id="295" w:name="_Toc241565806"/>
      <w:bookmarkEnd w:id="282"/>
      <w:bookmarkEnd w:id="292"/>
      <w:r w:rsidRPr="00B95EB3">
        <w:rPr>
          <w:rFonts w:asciiTheme="majorHAnsi" w:hAnsiTheme="majorHAnsi" w:cstheme="majorHAnsi"/>
        </w:rPr>
        <w:lastRenderedPageBreak/>
        <w:t>References</w:t>
      </w:r>
      <w:bookmarkEnd w:id="295"/>
    </w:p>
    <w:p w14:paraId="7C69A5B9" w14:textId="77777777" w:rsidR="00DB1607" w:rsidRPr="00B95EB3" w:rsidRDefault="00000000">
      <w:pPr>
        <w:pStyle w:val="FirstParagraph"/>
        <w:spacing w:line="288" w:lineRule="auto"/>
        <w:ind w:left="567" w:hanging="567"/>
        <w:jc w:val="left"/>
        <w:rPr>
          <w:rFonts w:asciiTheme="majorHAnsi" w:hAnsiTheme="majorHAnsi" w:cstheme="majorHAnsi"/>
        </w:rPr>
      </w:pPr>
      <w:r w:rsidRPr="00B95EB3">
        <w:rPr>
          <w:rFonts w:asciiTheme="majorHAnsi" w:hAnsiTheme="majorHAnsi" w:cstheme="majorHAnsi"/>
        </w:rPr>
        <w:t>Entries are formatted to APA 7th edition. Where a bracketed marker appears, the detail was carried over from the working draft and has not been checked against a publisher record, and APA requires the full author list rather than ‘et al.’ in the reference list, so each marked entry must be completed before submission. Secondary citations (Boyd, 1998; Boyd &amp; Hanson, 2010; Begum et al., 2004; Stone &amp; Thomforde, 2004) are cited as ‘as cited in Komal et al., 2021’ and are omitted from this list, which lists only the sources consulted.</w:t>
      </w:r>
    </w:p>
    <w:p w14:paraId="7C07A99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Advanced Monolithic Systems. (n.d.). </w:t>
      </w:r>
      <w:r w:rsidRPr="00B95EB3">
        <w:rPr>
          <w:rFonts w:asciiTheme="majorHAnsi" w:hAnsiTheme="majorHAnsi" w:cstheme="majorHAnsi"/>
          <w:i/>
          <w:iCs/>
        </w:rPr>
        <w:t>AMS1117 1A low dropout voltage regulator</w:t>
      </w:r>
      <w:r w:rsidRPr="00B95EB3">
        <w:rPr>
          <w:rFonts w:asciiTheme="majorHAnsi" w:hAnsiTheme="majorHAnsi" w:cstheme="majorHAnsi"/>
        </w:rPr>
        <w:t xml:space="preserve"> [Datasheet].</w:t>
      </w:r>
    </w:p>
    <w:p w14:paraId="4D01B13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Ali, S., Mishra, P. K., Islam, A., &amp; Alam, N. M. (2016). Simulation of water temperature in a small pond using parametric statistical models: Implications of climate warming. </w:t>
      </w:r>
      <w:r w:rsidRPr="00B95EB3">
        <w:rPr>
          <w:rFonts w:asciiTheme="majorHAnsi" w:hAnsiTheme="majorHAnsi" w:cstheme="majorHAnsi"/>
          <w:i/>
          <w:iCs/>
        </w:rPr>
        <w:t>Journal of Environmental Engineering, 142</w:t>
      </w:r>
      <w:r w:rsidRPr="00B95EB3">
        <w:rPr>
          <w:rFonts w:asciiTheme="majorHAnsi" w:hAnsiTheme="majorHAnsi" w:cstheme="majorHAnsi"/>
        </w:rPr>
        <w:t>(3), 04015085. https://doi.org/10.1061/(ASCE)EE.1943-7870.0001050</w:t>
      </w:r>
    </w:p>
    <w:p w14:paraId="54F9519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Al-Khaldi, Dhandapani, &amp; Al-Badri. (n.d.). Preliminary field evaluation of a low-cost IoT workflow for DO monitoring and short-horizon forecasting in Nile tilapia aquaculture. [Author list, volume and pages to be confirmed]</w:t>
      </w:r>
    </w:p>
    <w:p w14:paraId="7BBC054A"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ams OSRAM. (2023a). </w:t>
      </w:r>
      <w:r w:rsidRPr="00B95EB3">
        <w:rPr>
          <w:rFonts w:asciiTheme="majorHAnsi" w:hAnsiTheme="majorHAnsi" w:cstheme="majorHAnsi"/>
          <w:i/>
          <w:iCs/>
        </w:rPr>
        <w:t>TSL2591 very high sensitivity light-to-digital converter</w:t>
      </w:r>
      <w:r w:rsidRPr="00B95EB3">
        <w:rPr>
          <w:rFonts w:asciiTheme="majorHAnsi" w:hAnsiTheme="majorHAnsi" w:cstheme="majorHAnsi"/>
        </w:rPr>
        <w:t xml:space="preserve"> [Datasheet]. https://look.ams-osram.com/m/c901de8e97608f8/original/TSL2591-DS000338.pdf</w:t>
      </w:r>
    </w:p>
    <w:p w14:paraId="7723D640"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ams OSRAM. (2023b). </w:t>
      </w:r>
      <w:r w:rsidRPr="00B95EB3">
        <w:rPr>
          <w:rFonts w:asciiTheme="majorHAnsi" w:hAnsiTheme="majorHAnsi" w:cstheme="majorHAnsi"/>
          <w:i/>
          <w:iCs/>
        </w:rPr>
        <w:t>TCS3472 colour light-to-digital converter</w:t>
      </w:r>
      <w:r w:rsidRPr="00B95EB3">
        <w:rPr>
          <w:rFonts w:asciiTheme="majorHAnsi" w:hAnsiTheme="majorHAnsi" w:cstheme="majorHAnsi"/>
        </w:rPr>
        <w:t xml:space="preserve"> [Datasheet]. https://look.ams-osram.com/asset/c445632e-47db-4586-8b15-6b637d2dc915/TCS3472-DS000390.pdf</w:t>
      </w:r>
    </w:p>
    <w:p w14:paraId="34DF448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Analog Devices. (2014). </w:t>
      </w:r>
      <w:r w:rsidRPr="00B95EB3">
        <w:rPr>
          <w:rFonts w:asciiTheme="majorHAnsi" w:hAnsiTheme="majorHAnsi" w:cstheme="majorHAnsi"/>
          <w:i/>
          <w:iCs/>
        </w:rPr>
        <w:t>CN-0326: Isolated pH monitor with temperature compensation</w:t>
      </w:r>
      <w:r w:rsidRPr="00B95EB3">
        <w:rPr>
          <w:rFonts w:asciiTheme="majorHAnsi" w:hAnsiTheme="majorHAnsi" w:cstheme="majorHAnsi"/>
        </w:rPr>
        <w:t xml:space="preserve"> [Circuit note]. https://www.analog.com/media/en/reference-design-documentation/reference-designs/cn0326.pdf</w:t>
      </w:r>
    </w:p>
    <w:p w14:paraId="7454721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Analog Devices. (2026). </w:t>
      </w:r>
      <w:r w:rsidRPr="00B95EB3">
        <w:rPr>
          <w:rFonts w:asciiTheme="majorHAnsi" w:hAnsiTheme="majorHAnsi" w:cstheme="majorHAnsi"/>
          <w:i/>
          <w:iCs/>
        </w:rPr>
        <w:t>DS18B20 programmable resolution 1-Wire digital thermometer</w:t>
      </w:r>
      <w:r w:rsidRPr="00B95EB3">
        <w:rPr>
          <w:rFonts w:asciiTheme="majorHAnsi" w:hAnsiTheme="majorHAnsi" w:cstheme="majorHAnsi"/>
        </w:rPr>
        <w:t xml:space="preserve"> [Datasheet]. https://www.analog.com/media/en/technical-documentation/data-sheets/DS18B20.pdf</w:t>
      </w:r>
    </w:p>
    <w:p w14:paraId="66AAAD8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Apogee Instruments. (n.d.). Conversion – PPFD to lux. https://www.apogeeinstruments.com/conversion-ppfd-to-lux/</w:t>
      </w:r>
    </w:p>
    <w:p w14:paraId="3CD022EF"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Aquaculture Asia Pacific. (n.d.). The impact of extreme rainfall on aquaculture. [Author list, volume and pages to be confirmed]</w:t>
      </w:r>
    </w:p>
    <w:p w14:paraId="17D8ED37"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Bhoi, A. (n.d.). IoT-IIRS: Internet of Things-based intelligent-irrigation recommendation system using machine learning approach. [Author list, volume and pages to be confirmed]</w:t>
      </w:r>
    </w:p>
    <w:p w14:paraId="781107E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Boyd, C. E. (2014, November 1). Light penetration in water. Global Seafood Alliance. https://www.globalseafood.org/advocate/light-penetration-in-water/</w:t>
      </w:r>
    </w:p>
    <w:p w14:paraId="40694093"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Brownridge, J. D. (2015). </w:t>
      </w:r>
      <w:r w:rsidRPr="00B95EB3">
        <w:rPr>
          <w:rFonts w:asciiTheme="majorHAnsi" w:hAnsiTheme="majorHAnsi" w:cstheme="majorHAnsi"/>
          <w:i/>
          <w:iCs/>
        </w:rPr>
        <w:t>Solar-induced thermal activity and stratification in pond water</w:t>
      </w:r>
      <w:r w:rsidRPr="00B95EB3">
        <w:rPr>
          <w:rFonts w:asciiTheme="majorHAnsi" w:hAnsiTheme="majorHAnsi" w:cstheme="majorHAnsi"/>
        </w:rPr>
        <w:t xml:space="preserve"> (arXiv:1504.03986). arXiv. https://arxiv.org/abs/1504.03986</w:t>
      </w:r>
    </w:p>
    <w:p w14:paraId="20DF137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Capella, J. V., Bonastre, A., Ors, R., &amp; Peris, M. (2015). An interference-tolerant nitrate smart sensor for wireless sensor network applications. </w:t>
      </w:r>
      <w:r w:rsidRPr="00B95EB3">
        <w:rPr>
          <w:rFonts w:asciiTheme="majorHAnsi" w:hAnsiTheme="majorHAnsi" w:cstheme="majorHAnsi"/>
          <w:i/>
          <w:iCs/>
        </w:rPr>
        <w:t>Sensors and Actuators B: Chemical, 213</w:t>
      </w:r>
      <w:r w:rsidRPr="00B95EB3">
        <w:rPr>
          <w:rFonts w:asciiTheme="majorHAnsi" w:hAnsiTheme="majorHAnsi" w:cstheme="majorHAnsi"/>
        </w:rPr>
        <w:t>, 534–540. https://doi.org/10.1016/j.snb.2015.02.125</w:t>
      </w:r>
    </w:p>
    <w:p w14:paraId="28FA30FE"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Codeluppi, G., Davoli, L., &amp; Ferrari, G. (2021). Forecasting air temperature on edge devices with embedded AI. Sensors, 21(12), 3973. https://doi.org/10.3390/s21123973</w:t>
      </w:r>
    </w:p>
    <w:p w14:paraId="213650A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Díaz, V. (n.d.). Kinetics of nitrogen compounds in a commercial marine recirculating aquaculture system. [Author list, volume and pages to be confirmed]</w:t>
      </w:r>
    </w:p>
    <w:p w14:paraId="3BC1AC8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DFRobot. (2026a). </w:t>
      </w:r>
      <w:r w:rsidRPr="00B95EB3">
        <w:rPr>
          <w:rFonts w:asciiTheme="majorHAnsi" w:hAnsiTheme="majorHAnsi" w:cstheme="majorHAnsi"/>
          <w:i/>
          <w:iCs/>
        </w:rPr>
        <w:t>Gravity: Analog TDS sensor/meter for Arduino (SEN0244)</w:t>
      </w:r>
      <w:r w:rsidRPr="00B95EB3">
        <w:rPr>
          <w:rFonts w:asciiTheme="majorHAnsi" w:hAnsiTheme="majorHAnsi" w:cstheme="majorHAnsi"/>
        </w:rPr>
        <w:t>. https://wiki.dfrobot.com/sen0244</w:t>
      </w:r>
    </w:p>
    <w:p w14:paraId="1003986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lastRenderedPageBreak/>
        <w:t xml:space="preserve">DFRobot. (2026b). </w:t>
      </w:r>
      <w:r w:rsidRPr="00B95EB3">
        <w:rPr>
          <w:rFonts w:asciiTheme="majorHAnsi" w:hAnsiTheme="majorHAnsi" w:cstheme="majorHAnsi"/>
          <w:i/>
          <w:iCs/>
        </w:rPr>
        <w:t>ESP32-CAM development board (DFR0602)</w:t>
      </w:r>
      <w:r w:rsidRPr="00B95EB3">
        <w:rPr>
          <w:rFonts w:asciiTheme="majorHAnsi" w:hAnsiTheme="majorHAnsi" w:cstheme="majorHAnsi"/>
        </w:rPr>
        <w:t>. https://wiki.dfrobot.com/dfr0602/</w:t>
      </w:r>
    </w:p>
    <w:p w14:paraId="74FB2C9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DFRobot. (2026c). </w:t>
      </w:r>
      <w:r w:rsidRPr="00B95EB3">
        <w:rPr>
          <w:rFonts w:asciiTheme="majorHAnsi" w:hAnsiTheme="majorHAnsi" w:cstheme="majorHAnsi"/>
          <w:i/>
          <w:iCs/>
        </w:rPr>
        <w:t>Gravity: Analog signal isolation module (DFR0504)</w:t>
      </w:r>
      <w:r w:rsidRPr="00B95EB3">
        <w:rPr>
          <w:rFonts w:asciiTheme="majorHAnsi" w:hAnsiTheme="majorHAnsi" w:cstheme="majorHAnsi"/>
        </w:rPr>
        <w:t>. https://wiki.dfrobot.com/dfr0504/</w:t>
      </w:r>
    </w:p>
    <w:p w14:paraId="62EB8AE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DFRobot. (n.d.). </w:t>
      </w:r>
      <w:r w:rsidRPr="00B95EB3">
        <w:rPr>
          <w:rFonts w:asciiTheme="majorHAnsi" w:hAnsiTheme="majorHAnsi" w:cstheme="majorHAnsi"/>
          <w:i/>
          <w:iCs/>
        </w:rPr>
        <w:t>Gravity: Analog industrial pH sensor / meter pro kit V2 (SEN0169-V2)</w:t>
      </w:r>
      <w:r w:rsidRPr="00B95EB3">
        <w:rPr>
          <w:rFonts w:asciiTheme="majorHAnsi" w:hAnsiTheme="majorHAnsi" w:cstheme="majorHAnsi"/>
        </w:rPr>
        <w:t>. https://wiki.dfrobot.com/sen0169-v2/</w:t>
      </w:r>
    </w:p>
    <w:p w14:paraId="013BBFB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Diana, J. S., Szyper, J. P., Batterson, T. R., Boyd, C. E., &amp; Piedrahita, R. H. (1997). Water quality in ponds. In Dynamics of pond aquaculture. CRC Press. [Editors and page range to be confirmed]</w:t>
      </w:r>
    </w:p>
    <w:p w14:paraId="6C36B17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Dipankar, A., Webster, S., Sun, X., Sanchez, C., North, R., Furtado, K., Wilkinson, J., Lock, A., Vosper, S., Huang, X.-Y., &amp; Barker, D. (2020). SINGV: A convective-scale weather forecast model for Singapore. </w:t>
      </w:r>
      <w:r w:rsidRPr="00B95EB3">
        <w:rPr>
          <w:rFonts w:asciiTheme="majorHAnsi" w:hAnsiTheme="majorHAnsi" w:cstheme="majorHAnsi"/>
          <w:i/>
          <w:iCs/>
        </w:rPr>
        <w:t>Quarterly Journal of the Royal Meteorological Society, 146</w:t>
      </w:r>
      <w:r w:rsidRPr="00B95EB3">
        <w:rPr>
          <w:rFonts w:asciiTheme="majorHAnsi" w:hAnsiTheme="majorHAnsi" w:cstheme="majorHAnsi"/>
        </w:rPr>
        <w:t>(733), 4131–4146. https://doi.org/10.1002/qj.3895</w:t>
      </w:r>
    </w:p>
    <w:p w14:paraId="0943D25F"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Espressif Systems. (2026a). </w:t>
      </w:r>
      <w:r w:rsidRPr="00B95EB3">
        <w:rPr>
          <w:rFonts w:asciiTheme="majorHAnsi" w:hAnsiTheme="majorHAnsi" w:cstheme="majorHAnsi"/>
          <w:i/>
          <w:iCs/>
        </w:rPr>
        <w:t>ESP32 series datasheet</w:t>
      </w:r>
      <w:r w:rsidRPr="00B95EB3">
        <w:rPr>
          <w:rFonts w:asciiTheme="majorHAnsi" w:hAnsiTheme="majorHAnsi" w:cstheme="majorHAnsi"/>
        </w:rPr>
        <w:t>. https://www.espressif.com/sites/default/files/documentation/esp32_datasheet_en.pdf</w:t>
      </w:r>
    </w:p>
    <w:p w14:paraId="09EA29F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Espressif Systems. (2026b). </w:t>
      </w:r>
      <w:r w:rsidRPr="00B95EB3">
        <w:rPr>
          <w:rFonts w:asciiTheme="majorHAnsi" w:hAnsiTheme="majorHAnsi" w:cstheme="majorHAnsi"/>
          <w:i/>
          <w:iCs/>
        </w:rPr>
        <w:t>ESP32 hardware design guidelines: Schematic checklist</w:t>
      </w:r>
      <w:r w:rsidRPr="00B95EB3">
        <w:rPr>
          <w:rFonts w:asciiTheme="majorHAnsi" w:hAnsiTheme="majorHAnsi" w:cstheme="majorHAnsi"/>
        </w:rPr>
        <w:t>. https://docs.espressif.com/projects/esp-hardware-design-guidelines/en/latest/esp32/schematic-checklist.html</w:t>
      </w:r>
    </w:p>
    <w:p w14:paraId="77584C4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Espressif Systems. (2026c). </w:t>
      </w:r>
      <w:r w:rsidRPr="00B95EB3">
        <w:rPr>
          <w:rFonts w:asciiTheme="majorHAnsi" w:hAnsiTheme="majorHAnsi" w:cstheme="majorHAnsi"/>
          <w:i/>
          <w:iCs/>
        </w:rPr>
        <w:t>Analog to digital converter (ADC)</w:t>
      </w:r>
      <w:r w:rsidRPr="00B95EB3">
        <w:rPr>
          <w:rFonts w:asciiTheme="majorHAnsi" w:hAnsiTheme="majorHAnsi" w:cstheme="majorHAnsi"/>
        </w:rPr>
        <w:t>. ESP-IDF programming guide. https://docs.espressif.com/projects/esp-idf/en/v4.3.1/esp32/api-reference/peripherals/adc.html</w:t>
      </w:r>
    </w:p>
    <w:p w14:paraId="117258EB"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Føre, M. (2018). Precision fish farming: A new framework to improve production in aquaculture. [Author list, volume and pages to be confirmed]</w:t>
      </w:r>
    </w:p>
    <w:p w14:paraId="6AC9FA39"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Furuta. (2026). Design and test of a lower-cost water-quality sensor for nitrate. ACS ES&amp;T Water. [Author list, volume and pages to be confirmed]</w:t>
      </w:r>
    </w:p>
    <w:p w14:paraId="61914827"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Gong, Z., Shan, K., Zhao, Y., Peng, D., Liang, H., &amp; Zou, B. (2024). Real-time algal bloom detection technique: A zero-shot approach using DINOv2 and HSV filtering. In Proceedings of ICCBN 2024. [Page range to be confirmed]</w:t>
      </w:r>
    </w:p>
    <w:p w14:paraId="1D89EC4B"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Guillén. (n.d.). A deep learning model to predict lower temperatures in agriculture. [Author list, volume and pages to be confirmed]</w:t>
      </w:r>
    </w:p>
    <w:p w14:paraId="4F3AB0D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Hernández-Paredes, J. M., Rodríguez-Abreo, O., Díaz-Gómez, L., &amp; Romero-Sánchez, M. G. (2026). Data-efficiency and saturation limits in short-horizon temperature forecasting for outdoor IoT sensing systems. Computers and Electrical Engineering, 139, 111410.</w:t>
      </w:r>
    </w:p>
    <w:p w14:paraId="199F1FC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Hossain, S., Chow, C. W. K., Cook, D., Sawade, E., &amp; Hewa, G. A. (2022). Review of nitrification monitoring and control Strategies in drinking water system. International Journal of Environmental Research and Public Health, 19(7), 4003. https://doi.org/10.3390/ijerph19074003</w:t>
      </w:r>
    </w:p>
    <w:p w14:paraId="08927F1E"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Hsu. (n.d.). Development of a low-cost hemin-based dissolved oxygen sensor with anti-biofouling coating for water monitoring. [Author list, volume and pages to be confirmed]</w:t>
      </w:r>
    </w:p>
    <w:p w14:paraId="77235E5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Hubert, E., &amp; Wolkersdorfer, C. (2015). Establishing a conversion factor between electrical conductivity and total dissolved solids in South African mine waters. Water SA, 41(4), 490–500. https://doi.org/10.4314/wsa.v41i4.08</w:t>
      </w:r>
    </w:p>
    <w:p w14:paraId="22E8060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Karim. (2021). [Author list, volume and pages to be confirmed]</w:t>
      </w:r>
    </w:p>
    <w:p w14:paraId="3A3C1847"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Kemp. (n.d.). Light and temperature as triggers for surface filamentous green algal blooms in shallow freshwater systems. [Author list, volume and pages to be confirmed]</w:t>
      </w:r>
    </w:p>
    <w:p w14:paraId="2E7C3E8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Komal. (2021). International Journal of Biosciences. [Title, author list and volume to be confirmed]</w:t>
      </w:r>
    </w:p>
    <w:p w14:paraId="6F786A22"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lastRenderedPageBreak/>
        <w:t>Lamoureux, J., Tiersch, T. R., &amp; Hall, S. G. (2006). Pond heat and temperature regulation (PHATR): Modeling temperature and energy balances in earthen outdoor aquaculture ponds. Aquacultural Engineering, 34, 103–116.</w:t>
      </w:r>
    </w:p>
    <w:p w14:paraId="798C7C0E"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Lee. (n.d.). Weather prediction for Singapore: Progress, challenges, and opportunities. [Author list, volume and pages to be confirmed]</w:t>
      </w:r>
    </w:p>
    <w:p w14:paraId="1D801FE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Leischner, F., Mietzel, T., Gerner, N., &amp; Heldt, S. (2026). A comparison between low-cost single-parameter IoT sensors and traditional high-cost monitoring stations for stream water quality assessment. </w:t>
      </w:r>
      <w:r w:rsidRPr="00B95EB3">
        <w:rPr>
          <w:rFonts w:asciiTheme="majorHAnsi" w:hAnsiTheme="majorHAnsi" w:cstheme="majorHAnsi"/>
          <w:i/>
          <w:iCs/>
        </w:rPr>
        <w:t>Environmental Technology &amp; Innovation, 41</w:t>
      </w:r>
      <w:r w:rsidRPr="00B95EB3">
        <w:rPr>
          <w:rFonts w:asciiTheme="majorHAnsi" w:hAnsiTheme="majorHAnsi" w:cstheme="majorHAnsi"/>
        </w:rPr>
        <w:t>, 104788. https://doi.org/10.1016/j.eti.2026.104788</w:t>
      </w:r>
    </w:p>
    <w:p w14:paraId="575462F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Lin. (n.d.). Neglected thermal effects of colour-temperature on algal growth in aquatic environment under light. [Author list, volume and pages to be confirmed]</w:t>
      </w:r>
    </w:p>
    <w:p w14:paraId="5B648DB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Luo. (2015). [Author list, volume and pages to be confirmed]</w:t>
      </w:r>
    </w:p>
    <w:p w14:paraId="3B9DA156"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Luque-Vega, L. F., et al. (2025). Development and evaluation of solar radiation sensor using cost-effective light sensors and machine learning techniques. Technologies, 13(5), 182. https://doi.org/10.3390/technologies13050182 [Full author list to be completed]</w:t>
      </w:r>
    </w:p>
    <w:p w14:paraId="294343C0"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Manandhar. (n.d.). A data-driven approach for accurate rainfall prediction. [Author list, volume and pages to be confirmed]</w:t>
      </w:r>
    </w:p>
    <w:p w14:paraId="148AD89F"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Martins, L. D., et al. (2023). Low-cost water quality sensors for IoT: A systematic review. Sensors, 23(9), 4424. https://doi.org/10.3390/s23094424 [Full author list to be completed]</w:t>
      </w:r>
    </w:p>
    <w:p w14:paraId="2DA50442"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Montjourides, M. A., Röblitz, S., &amp; Dahle, H. (2025). Optimizing alkalinity control in recirculating aquaculture systems (RAS): A dynamic modelling approach. </w:t>
      </w:r>
      <w:r w:rsidRPr="00B95EB3">
        <w:rPr>
          <w:rFonts w:asciiTheme="majorHAnsi" w:hAnsiTheme="majorHAnsi" w:cstheme="majorHAnsi"/>
          <w:i/>
          <w:iCs/>
        </w:rPr>
        <w:t>Aquacultural Engineering, 108</w:t>
      </w:r>
      <w:r w:rsidRPr="00B95EB3">
        <w:rPr>
          <w:rFonts w:asciiTheme="majorHAnsi" w:hAnsiTheme="majorHAnsi" w:cstheme="majorHAnsi"/>
        </w:rPr>
        <w:t>, 102492. https://doi.org/10.1016/j.aquaeng.2024.102492</w:t>
      </w:r>
    </w:p>
    <w:p w14:paraId="2EA1302B"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Morrill, J. C., Bales, R. C., &amp; Conklin, M. H. (2005). Estimating stream temperature from air temperature: Implications for future water quality. </w:t>
      </w:r>
      <w:r w:rsidRPr="00B95EB3">
        <w:rPr>
          <w:rFonts w:asciiTheme="majorHAnsi" w:hAnsiTheme="majorHAnsi" w:cstheme="majorHAnsi"/>
          <w:i/>
          <w:iCs/>
        </w:rPr>
        <w:t>Journal of Environmental Engineering, 131</w:t>
      </w:r>
      <w:r w:rsidRPr="00B95EB3">
        <w:rPr>
          <w:rFonts w:asciiTheme="majorHAnsi" w:hAnsiTheme="majorHAnsi" w:cstheme="majorHAnsi"/>
        </w:rPr>
        <w:t>(1), 139–146. [Quoted wording to be confirmed against this source]</w:t>
      </w:r>
    </w:p>
    <w:p w14:paraId="78C1B37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Naloufi, M., Abreu, T., Souihi, S., et al. (2024). Long-term stability of low-cost IoT system for monitoring water quality in urban rivers. Water, 16(12), 1708. https://doi.org/10.3390/w16121708 [Full author list to be completed]</w:t>
      </w:r>
    </w:p>
    <w:p w14:paraId="3A0DDD6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National Environment Agency. (n.d.). Realtime weather readings across Singapore [Data set]. Data.gov.sg. https://data.gov.sg/collections/1459/view</w:t>
      </w:r>
    </w:p>
    <w:p w14:paraId="40F2984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Ngo. (n.d.). Determining the correlation between concentration levels and the visual features of algae in water surfaces. [Author list, volume and pages to be confirmed]</w:t>
      </w:r>
    </w:p>
    <w:p w14:paraId="35C96F1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Ott, Torrans, &amp; Tucker. (n.d.). Fish production, water quality, and the role of nitrification as an ammonia removal process in intensively aerated hybrid catfish ponds. [Author list, volume and pages to be confirmed]</w:t>
      </w:r>
    </w:p>
    <w:p w14:paraId="0BB73972"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Penman, H. L. (1948). Natural evaporation from open water, bare soil and grass. </w:t>
      </w:r>
      <w:r w:rsidRPr="00B95EB3">
        <w:rPr>
          <w:rFonts w:asciiTheme="majorHAnsi" w:hAnsiTheme="majorHAnsi" w:cstheme="majorHAnsi"/>
          <w:i/>
          <w:iCs/>
        </w:rPr>
        <w:t>Proceedings of the Royal Society of London. Series A, 193</w:t>
      </w:r>
      <w:r w:rsidRPr="00B95EB3">
        <w:rPr>
          <w:rFonts w:asciiTheme="majorHAnsi" w:hAnsiTheme="majorHAnsi" w:cstheme="majorHAnsi"/>
        </w:rPr>
        <w:t>(1032), 120–145.</w:t>
      </w:r>
    </w:p>
    <w:p w14:paraId="0F238277"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Pond water quality and its relation to fish yield and disease occurrence in small-scale aquaculture in arid areas. (2023). </w:t>
      </w:r>
      <w:r w:rsidRPr="00B95EB3">
        <w:rPr>
          <w:rFonts w:asciiTheme="majorHAnsi" w:hAnsiTheme="majorHAnsi" w:cstheme="majorHAnsi"/>
          <w:i/>
          <w:iCs/>
        </w:rPr>
        <w:t>Heliyon, 9</w:t>
      </w:r>
      <w:r w:rsidRPr="00B95EB3">
        <w:rPr>
          <w:rFonts w:asciiTheme="majorHAnsi" w:hAnsiTheme="majorHAnsi" w:cstheme="majorHAnsi"/>
        </w:rPr>
        <w:t>(6). https://doi.org/10.1016/j.heliyon.2023.e16753 [Author list to be confirmed]</w:t>
      </w:r>
    </w:p>
    <w:p w14:paraId="6050BD9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Puangsuwan, K., Wongpanich, J., &amp; Hama, R. (2026). Development and statistical validation of an image processing system for total ammonia nitrogen monitoring in aquaculture. International Journal of Agricultural and Biological Engineering, 19(1), 26–32. https://doi.org/10.25165/j.ijabe.20261901.10224</w:t>
      </w:r>
    </w:p>
    <w:p w14:paraId="1486F439"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lastRenderedPageBreak/>
        <w:t xml:space="preserve">PythonAnywhere. (n.d.). </w:t>
      </w:r>
      <w:r w:rsidRPr="00B95EB3">
        <w:rPr>
          <w:rFonts w:asciiTheme="majorHAnsi" w:hAnsiTheme="majorHAnsi" w:cstheme="majorHAnsi"/>
          <w:i/>
          <w:iCs/>
        </w:rPr>
        <w:t>Python threads support is disabled. You can enable it with –enable-threads</w:t>
      </w:r>
      <w:r w:rsidRPr="00B95EB3">
        <w:rPr>
          <w:rFonts w:asciiTheme="majorHAnsi" w:hAnsiTheme="majorHAnsi" w:cstheme="majorHAnsi"/>
        </w:rPr>
        <w:t xml:space="preserve"> [Forum thread]. https://www.pythonanywhere.com/forums/topic/32459/</w:t>
      </w:r>
    </w:p>
    <w:p w14:paraId="1853ED6D"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Ray, L. I. P., Mal, B. C., &amp; Moulick, S. (2017). Nutrient modeling for a semi-intensive IMC pond: An MS-Excel approach. Water Science &amp; Technology, 76(10), 2858–2866.</w:t>
      </w:r>
    </w:p>
    <w:p w14:paraId="66C8235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Reddy. (2026). IoT-based intelligent fish farming system with real-time monitoring, automated feeding, and smart alert mechanism. [Author list, volume and pages to be confirmed]</w:t>
      </w:r>
    </w:p>
    <w:p w14:paraId="2700E26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Sabouri, F., Gharabaghi, B., Sattar, A. M. A., &amp; Thompson, A. M. (2016). Event-based stormwater management pond runoff temperature model. Journal of Hydrology, 540, 306–316.</w:t>
      </w:r>
    </w:p>
    <w:p w14:paraId="67F95CEE"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Seachem Laboratories. (n.d.). Ammonia Alert [Product specification]. https://www.seachem.com/alert-combo.php</w:t>
      </w:r>
    </w:p>
    <w:p w14:paraId="646F116B"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Seneye. (n.d.-a). </w:t>
      </w:r>
      <w:r w:rsidRPr="00B95EB3">
        <w:rPr>
          <w:rFonts w:asciiTheme="majorHAnsi" w:hAnsiTheme="majorHAnsi" w:cstheme="majorHAnsi"/>
          <w:i/>
          <w:iCs/>
        </w:rPr>
        <w:t>seneye slide NH3/pH</w:t>
      </w:r>
      <w:r w:rsidRPr="00B95EB3">
        <w:rPr>
          <w:rFonts w:asciiTheme="majorHAnsi" w:hAnsiTheme="majorHAnsi" w:cstheme="majorHAnsi"/>
        </w:rPr>
        <w:t>. https://answers.seneye.com/en/Seneye_Products/seneye_slide_NH3_pH</w:t>
      </w:r>
    </w:p>
    <w:p w14:paraId="13FC127C"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Seneye. (n.d.-b). </w:t>
      </w:r>
      <w:r w:rsidRPr="00B95EB3">
        <w:rPr>
          <w:rFonts w:asciiTheme="majorHAnsi" w:hAnsiTheme="majorHAnsi" w:cstheme="majorHAnsi"/>
          <w:i/>
          <w:iCs/>
        </w:rPr>
        <w:t>Aquatic alert system user guide</w:t>
      </w:r>
      <w:r w:rsidRPr="00B95EB3">
        <w:rPr>
          <w:rFonts w:asciiTheme="majorHAnsi" w:hAnsiTheme="majorHAnsi" w:cstheme="majorHAnsi"/>
        </w:rPr>
        <w:t>. https://s3.amazonaws.com/brsinstructions/brsSeneye/User_Guide_UK.pdf</w:t>
      </w:r>
    </w:p>
    <w:p w14:paraId="485DE601"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Shafi. (2025). Journal of Advanced Veterinary and Animal Research. [Title, author list and volume to be confirmed]</w:t>
      </w:r>
    </w:p>
    <w:p w14:paraId="554D8EBA"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Singh, &amp; Singh. (n.d.). Effect of temperature and light on the growth of algae species: A review. [Author list, volume and pages to be confirmed]</w:t>
      </w:r>
    </w:p>
    <w:p w14:paraId="1B6951A9"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Song, L., Chen, Y., Li, D., Chen, C., Wang, L., Chen, T., &amp; Lian, G. (2026). Modeling ammonia nitrogen dynamics coupled with fish growth physiology in recirculating aquaculture systems. </w:t>
      </w:r>
      <w:r w:rsidRPr="00B95EB3">
        <w:rPr>
          <w:rFonts w:asciiTheme="majorHAnsi" w:hAnsiTheme="majorHAnsi" w:cstheme="majorHAnsi"/>
          <w:i/>
          <w:iCs/>
        </w:rPr>
        <w:t>Aquacultural Engineering, 114</w:t>
      </w:r>
      <w:r w:rsidRPr="00B95EB3">
        <w:rPr>
          <w:rFonts w:asciiTheme="majorHAnsi" w:hAnsiTheme="majorHAnsi" w:cstheme="majorHAnsi"/>
        </w:rPr>
        <w:t>, 102721. https://doi.org/10.1016/j.aquaeng.2026.102721</w:t>
      </w:r>
    </w:p>
    <w:p w14:paraId="326E7CF0"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Suhaimi. (2021). [Author list, volume and pages to be confirmed]</w:t>
      </w:r>
    </w:p>
    <w:p w14:paraId="53BBD409"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Sunoj, S., Hammed, A., Igathinathane, C., Eshkabilov, S., &amp; Simsek, H. (2021). Identification, quantification, and growth profiling of eight different microalgae species using image analysis. Algal Research, 60, 102487.</w:t>
      </w:r>
    </w:p>
    <w:p w14:paraId="67C236BB"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 xml:space="preserve">Supabase. (2026). </w:t>
      </w:r>
      <w:r w:rsidRPr="00B95EB3">
        <w:rPr>
          <w:rFonts w:asciiTheme="majorHAnsi" w:hAnsiTheme="majorHAnsi" w:cstheme="majorHAnsi"/>
          <w:i/>
          <w:iCs/>
        </w:rPr>
        <w:t>Securing your data</w:t>
      </w:r>
      <w:r w:rsidRPr="00B95EB3">
        <w:rPr>
          <w:rFonts w:asciiTheme="majorHAnsi" w:hAnsiTheme="majorHAnsi" w:cstheme="majorHAnsi"/>
        </w:rPr>
        <w:t>. https://supabase.com/docs/guides/database/secure-data</w:t>
      </w:r>
    </w:p>
    <w:p w14:paraId="20BA9F7E"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Taher Tamim. (2022). [Author list, volume and pages to be confirmed]</w:t>
      </w:r>
    </w:p>
    <w:p w14:paraId="32856C68"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United States Environmental Protection Agency. (1982). Method 120.1: Conductance (specific conductance, micromhos at 25 degrees Celsius) by conductivity meter. https://www.epa.gov/sites/default/files/2015-08/documents/method_120-1_1982.pdf</w:t>
      </w:r>
    </w:p>
    <w:p w14:paraId="439C9E22"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Wang, Zhao, Zhang, &amp; Li. (n.d.). The role of fish in harmful algal bloom management: Results of pond experiments across seasons. [Author list, volume and pages to be confirmed]</w:t>
      </w:r>
    </w:p>
    <w:p w14:paraId="6A6B5BB6"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Yusoff, F. M., Umi, W. A. D., Ramli, N. M., &amp; Harun, R. (2024). Water quality management in aquaculture. Cambridge Prisms: Water, 2, e8. https://doi.org/10.1017/wat.2024.6</w:t>
      </w:r>
    </w:p>
    <w:p w14:paraId="33AA3B65"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Zhang. (2020). Effects of rainfall on thermal stratification and dissolved oxygen in a deep drinking water reservoir. Hydrological Processes. [Author list, volume and pages to be confirmed]</w:t>
      </w:r>
    </w:p>
    <w:p w14:paraId="24B56936" w14:textId="77777777" w:rsidR="00DB1607" w:rsidRPr="00B95EB3" w:rsidRDefault="00000000">
      <w:pPr>
        <w:pStyle w:val="BodyText"/>
        <w:spacing w:line="288" w:lineRule="auto"/>
        <w:ind w:left="567" w:hanging="567"/>
        <w:jc w:val="left"/>
        <w:rPr>
          <w:rFonts w:asciiTheme="majorHAnsi" w:hAnsiTheme="majorHAnsi" w:cstheme="majorHAnsi"/>
        </w:rPr>
      </w:pPr>
      <w:r w:rsidRPr="00B95EB3">
        <w:rPr>
          <w:rFonts w:asciiTheme="majorHAnsi" w:hAnsiTheme="majorHAnsi" w:cstheme="majorHAnsi"/>
        </w:rPr>
        <w:t>Zuhaer. (2025). Sustainable aquaculture: An IoT-integrated system for real-time water quality monitoring featuring advanced DO and ammonia sensors. Aquacultural Engineering. [Author list, volume and pages to be confirmed]</w:t>
      </w:r>
      <w:bookmarkEnd w:id="294"/>
    </w:p>
    <w:sectPr w:rsidR="00DB1607" w:rsidRPr="00B95EB3">
      <w:footerReference w:type="default" r:id="rId11"/>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1219" w14:textId="77777777" w:rsidR="003917A0" w:rsidRDefault="003917A0">
      <w:pPr>
        <w:spacing w:after="0" w:line="240" w:lineRule="auto"/>
      </w:pPr>
      <w:r>
        <w:separator/>
      </w:r>
    </w:p>
  </w:endnote>
  <w:endnote w:type="continuationSeparator" w:id="0">
    <w:p w14:paraId="5924EA0E" w14:textId="77777777" w:rsidR="003917A0" w:rsidRDefault="00391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D2A5" w14:textId="77777777" w:rsidR="00DB1607" w:rsidRDefault="00000000">
    <w:pPr>
      <w:jc w:val="center"/>
    </w:pPr>
    <w:r>
      <w:fldChar w:fldCharType="begin"/>
    </w:r>
    <w:r>
      <w:instrText xml:space="preserve"> PAGE </w:instrText>
    </w:r>
    <w:r w:rsidR="00B95EB3">
      <w:fldChar w:fldCharType="separate"/>
    </w:r>
    <w:r w:rsidR="00B95E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1CC9" w14:textId="77777777" w:rsidR="003917A0" w:rsidRDefault="003917A0">
      <w:r>
        <w:separator/>
      </w:r>
    </w:p>
  </w:footnote>
  <w:footnote w:type="continuationSeparator" w:id="0">
    <w:p w14:paraId="4B457C4D" w14:textId="77777777" w:rsidR="003917A0" w:rsidRDefault="00391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9C82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9832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22E7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957476">
    <w:abstractNumId w:val="0"/>
  </w:num>
  <w:num w:numId="2" w16cid:durableId="884488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5792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9771464">
    <w:abstractNumId w:val="1"/>
  </w:num>
  <w:num w:numId="5" w16cid:durableId="2065442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4285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1518800">
    <w:abstractNumId w:val="1"/>
  </w:num>
  <w:num w:numId="8" w16cid:durableId="1271160087">
    <w:abstractNumId w:val="1"/>
  </w:num>
  <w:num w:numId="9" w16cid:durableId="111678095">
    <w:abstractNumId w:val="1"/>
  </w:num>
  <w:num w:numId="10" w16cid:durableId="377557459">
    <w:abstractNumId w:val="1"/>
  </w:num>
  <w:num w:numId="11" w16cid:durableId="692149323">
    <w:abstractNumId w:val="1"/>
  </w:num>
  <w:num w:numId="12" w16cid:durableId="1554194361">
    <w:abstractNumId w:val="1"/>
  </w:num>
  <w:num w:numId="13" w16cid:durableId="16466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B1607"/>
    <w:rsid w:val="003917A0"/>
    <w:rsid w:val="00B95EB3"/>
    <w:rsid w:val="00DB1607"/>
    <w:rsid w:val="00E7265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09C0"/>
  <w15:docId w15:val="{A4DCFBA2-C8A1-4461-8454-E646AEF9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pageBreakBefore/>
      <w:spacing w:before="360" w:line="276" w:lineRule="auto"/>
      <w:outlineLvl w:val="0"/>
    </w:pPr>
    <w:rPr>
      <w:b/>
      <w:bCs/>
      <w:sz w:val="32"/>
      <w:szCs w:val="32"/>
    </w:rPr>
  </w:style>
  <w:style w:type="paragraph" w:styleId="Heading2">
    <w:name w:val="heading 2"/>
    <w:basedOn w:val="Normal"/>
    <w:next w:val="BodyText"/>
    <w:uiPriority w:val="9"/>
    <w:unhideWhenUsed/>
    <w:qFormat/>
    <w:pPr>
      <w:keepNext/>
      <w:keepLines/>
      <w:spacing w:before="240" w:line="276" w:lineRule="auto"/>
      <w:outlineLvl w:val="1"/>
    </w:pPr>
    <w:rPr>
      <w:b/>
      <w:bCs/>
      <w:sz w:val="27"/>
      <w:szCs w:val="28"/>
    </w:rPr>
  </w:style>
  <w:style w:type="paragraph" w:styleId="Heading3">
    <w:name w:val="heading 3"/>
    <w:basedOn w:val="Normal"/>
    <w:next w:val="BodyText"/>
    <w:uiPriority w:val="9"/>
    <w:unhideWhenUsed/>
    <w:qFormat/>
    <w:pPr>
      <w:keepNext/>
      <w:keepLines/>
      <w:spacing w:before="240" w:line="276" w:lineRule="auto"/>
      <w:outlineLvl w:val="2"/>
    </w:pPr>
    <w:rPr>
      <w:b/>
      <w:bCs/>
    </w:rPr>
  </w:style>
  <w:style w:type="paragraph" w:styleId="Heading4">
    <w:name w:val="heading 4"/>
    <w:basedOn w:val="Normal"/>
    <w:next w:val="BodyText"/>
    <w:uiPriority w:val="9"/>
    <w:unhideWhenUsed/>
    <w:qFormat/>
    <w:pPr>
      <w:keepNext/>
      <w:keepLines/>
      <w:spacing w:before="240" w:line="276" w:lineRule="auto"/>
      <w:outlineLvl w:val="3"/>
    </w:pPr>
    <w:rPr>
      <w:b/>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312" w:lineRule="auto"/>
    </w:pPr>
  </w:style>
  <w:style w:type="paragraph" w:styleId="Title">
    <w:name w:val="Title"/>
    <w:basedOn w:val="Normal"/>
    <w:next w:val="BodyText"/>
    <w:qFormat/>
    <w:pPr>
      <w:keepNext/>
      <w:keepLines/>
      <w:spacing w:before="480" w:after="240"/>
      <w:jc w:val="center"/>
    </w:pPr>
    <w:rPr>
      <w:b/>
      <w:bCs/>
      <w:sz w:val="40"/>
      <w:szCs w:val="36"/>
    </w:rPr>
  </w:style>
  <w:style w:type="paragraph" w:styleId="Subtitle">
    <w:name w:val="Subtitle"/>
    <w:basedOn w:val="Title"/>
    <w:next w:val="BodyText"/>
    <w:qFormat/>
    <w:pPr>
      <w:spacing w:before="240"/>
    </w:pPr>
    <w:rPr>
      <w:b w:val="0"/>
      <w:sz w:val="28"/>
      <w:szCs w:val="30"/>
    </w:rPr>
  </w:style>
  <w:style w:type="paragraph" w:customStyle="1" w:styleId="Author">
    <w:name w:val="Author"/>
    <w:next w:val="BodyText"/>
    <w:qFormat/>
    <w:pPr>
      <w:keepNext/>
      <w:keepLines/>
      <w:spacing w:after="240"/>
      <w:jc w:val="center"/>
    </w:pPr>
    <w:rPr>
      <w:rFonts w:ascii="Times New Roman" w:eastAsia="Times New Roman" w:hAnsi="Times New Roman" w:cs="Times New Roman"/>
      <w:color w:val="000000"/>
    </w:rPr>
  </w:style>
  <w:style w:type="paragraph" w:styleId="Date">
    <w:name w:val="Date"/>
    <w:next w:val="BodyText"/>
    <w:qFormat/>
    <w:pPr>
      <w:keepNext/>
      <w:keepLines/>
      <w:spacing w:after="240"/>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40" w:line="276" w:lineRule="auto"/>
    </w:pPr>
    <w:rPr>
      <w:sz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C3F8C"/>
    </w:rPr>
  </w:style>
  <w:style w:type="paragraph" w:styleId="TOCHeading">
    <w:name w:val="TOC Heading"/>
    <w:basedOn w:val="Heading1"/>
    <w:next w:val="BodyText"/>
    <w:uiPriority w:val="39"/>
    <w:unhideWhenUsed/>
    <w:qFormat/>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95EB3"/>
    <w:pPr>
      <w:spacing w:after="100"/>
    </w:pPr>
  </w:style>
  <w:style w:type="paragraph" w:styleId="TOC2">
    <w:name w:val="toc 2"/>
    <w:basedOn w:val="Normal"/>
    <w:next w:val="Normal"/>
    <w:autoRedefine/>
    <w:uiPriority w:val="39"/>
    <w:rsid w:val="00B95EB3"/>
    <w:pPr>
      <w:spacing w:after="100"/>
      <w:ind w:left="240"/>
    </w:pPr>
  </w:style>
  <w:style w:type="paragraph" w:styleId="TOC3">
    <w:name w:val="toc 3"/>
    <w:basedOn w:val="Normal"/>
    <w:next w:val="Normal"/>
    <w:autoRedefine/>
    <w:uiPriority w:val="39"/>
    <w:rsid w:val="00B95EB3"/>
    <w:pPr>
      <w:spacing w:after="100"/>
      <w:ind w:left="480"/>
    </w:pPr>
  </w:style>
  <w:style w:type="paragraph" w:styleId="TOC4">
    <w:name w:val="toc 4"/>
    <w:basedOn w:val="Normal"/>
    <w:next w:val="Normal"/>
    <w:autoRedefine/>
    <w:uiPriority w:val="39"/>
    <w:unhideWhenUsed/>
    <w:rsid w:val="00B95EB3"/>
    <w:pPr>
      <w:spacing w:after="100" w:line="278" w:lineRule="auto"/>
      <w:ind w:left="720"/>
    </w:pPr>
    <w:rPr>
      <w:rFonts w:asciiTheme="minorHAnsi" w:eastAsiaTheme="minorEastAsia" w:hAnsiTheme="minorHAnsi" w:cstheme="minorBidi"/>
      <w:color w:val="auto"/>
      <w:kern w:val="2"/>
      <w:lang w:val="en-SG" w:eastAsia="en-SG"/>
    </w:rPr>
  </w:style>
  <w:style w:type="paragraph" w:styleId="TOC5">
    <w:name w:val="toc 5"/>
    <w:basedOn w:val="Normal"/>
    <w:next w:val="Normal"/>
    <w:autoRedefine/>
    <w:uiPriority w:val="39"/>
    <w:unhideWhenUsed/>
    <w:rsid w:val="00B95EB3"/>
    <w:pPr>
      <w:spacing w:after="100" w:line="278" w:lineRule="auto"/>
      <w:ind w:left="960"/>
    </w:pPr>
    <w:rPr>
      <w:rFonts w:asciiTheme="minorHAnsi" w:eastAsiaTheme="minorEastAsia" w:hAnsiTheme="minorHAnsi" w:cstheme="minorBidi"/>
      <w:color w:val="auto"/>
      <w:kern w:val="2"/>
      <w:lang w:val="en-SG" w:eastAsia="en-SG"/>
    </w:rPr>
  </w:style>
  <w:style w:type="paragraph" w:styleId="TOC6">
    <w:name w:val="toc 6"/>
    <w:basedOn w:val="Normal"/>
    <w:next w:val="Normal"/>
    <w:autoRedefine/>
    <w:uiPriority w:val="39"/>
    <w:unhideWhenUsed/>
    <w:rsid w:val="00B95EB3"/>
    <w:pPr>
      <w:spacing w:after="100" w:line="278" w:lineRule="auto"/>
      <w:ind w:left="1200"/>
    </w:pPr>
    <w:rPr>
      <w:rFonts w:asciiTheme="minorHAnsi" w:eastAsiaTheme="minorEastAsia" w:hAnsiTheme="minorHAnsi" w:cstheme="minorBidi"/>
      <w:color w:val="auto"/>
      <w:kern w:val="2"/>
      <w:lang w:val="en-SG" w:eastAsia="en-SG"/>
    </w:rPr>
  </w:style>
  <w:style w:type="paragraph" w:styleId="TOC7">
    <w:name w:val="toc 7"/>
    <w:basedOn w:val="Normal"/>
    <w:next w:val="Normal"/>
    <w:autoRedefine/>
    <w:uiPriority w:val="39"/>
    <w:unhideWhenUsed/>
    <w:rsid w:val="00B95EB3"/>
    <w:pPr>
      <w:spacing w:after="100" w:line="278" w:lineRule="auto"/>
      <w:ind w:left="1440"/>
    </w:pPr>
    <w:rPr>
      <w:rFonts w:asciiTheme="minorHAnsi" w:eastAsiaTheme="minorEastAsia" w:hAnsiTheme="minorHAnsi" w:cstheme="minorBidi"/>
      <w:color w:val="auto"/>
      <w:kern w:val="2"/>
      <w:lang w:val="en-SG" w:eastAsia="en-SG"/>
    </w:rPr>
  </w:style>
  <w:style w:type="paragraph" w:styleId="TOC8">
    <w:name w:val="toc 8"/>
    <w:basedOn w:val="Normal"/>
    <w:next w:val="Normal"/>
    <w:autoRedefine/>
    <w:uiPriority w:val="39"/>
    <w:unhideWhenUsed/>
    <w:rsid w:val="00B95EB3"/>
    <w:pPr>
      <w:spacing w:after="100" w:line="278" w:lineRule="auto"/>
      <w:ind w:left="1680"/>
    </w:pPr>
    <w:rPr>
      <w:rFonts w:asciiTheme="minorHAnsi" w:eastAsiaTheme="minorEastAsia" w:hAnsiTheme="minorHAnsi" w:cstheme="minorBidi"/>
      <w:color w:val="auto"/>
      <w:kern w:val="2"/>
      <w:lang w:val="en-SG" w:eastAsia="en-SG"/>
    </w:rPr>
  </w:style>
  <w:style w:type="paragraph" w:styleId="TOC9">
    <w:name w:val="toc 9"/>
    <w:basedOn w:val="Normal"/>
    <w:next w:val="Normal"/>
    <w:autoRedefine/>
    <w:uiPriority w:val="39"/>
    <w:unhideWhenUsed/>
    <w:rsid w:val="00B95EB3"/>
    <w:pPr>
      <w:spacing w:after="100" w:line="278" w:lineRule="auto"/>
      <w:ind w:left="1920"/>
    </w:pPr>
    <w:rPr>
      <w:rFonts w:asciiTheme="minorHAnsi" w:eastAsiaTheme="minorEastAsia" w:hAnsiTheme="minorHAnsi" w:cstheme="minorBidi"/>
      <w:color w:val="auto"/>
      <w:kern w:val="2"/>
      <w:lang w:val="en-SG" w:eastAsia="en-SG"/>
    </w:rPr>
  </w:style>
  <w:style w:type="character" w:styleId="UnresolvedMention">
    <w:name w:val="Unresolved Mention"/>
    <w:basedOn w:val="DefaultParagraphFont"/>
    <w:uiPriority w:val="99"/>
    <w:semiHidden/>
    <w:unhideWhenUsed/>
    <w:rsid w:val="00B95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36174</Words>
  <Characters>206192</Characters>
  <Application>Microsoft Office Word</Application>
  <DocSecurity>0</DocSecurity>
  <Lines>1718</Lines>
  <Paragraphs>483</Paragraphs>
  <ScaleCrop>false</ScaleCrop>
  <Company/>
  <LinksUpToDate>false</LinksUpToDate>
  <CharactersWithSpaces>241883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Forecast-Augmented IoT Monitoring and Advisory System for Outdoor Ornamental Fish Ponds</dc:title>
  <dc:creator>U2222226C</dc:creator>
  <cp:keywords/>
  <cp:lastModifiedBy>#EDWIN TAN KAI JIE#</cp:lastModifiedBy>
  <cp:revision>3</cp:revision>
  <dcterms:created xsi:type="dcterms:W3CDTF">2026-09-28T06:17:00Z</dcterms:created>
  <dcterms:modified xsi:type="dcterms:W3CDTF">2026-09-29T01:15:00Z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Year Project Report</vt:lpwstr>
  </property>
  <property fmtid="{D5CDD505-2E9C-101B-9397-08002B2CF9AE}" pid="3" name="toc-title">
    <vt:lpwstr>Contents</vt:lpwstr>
  </property>
</Properties>
</file>