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80" w:before="480"/>
        <w:jc w:val="center"/>
      </w:pPr>
      <w:r>
        <w:rPr>
          <w:rFonts w:ascii="Arial" w:cs="Arial" w:eastAsia="Arial" w:hAnsi="Arial"/>
          <w:b/>
          <w:bCs/>
          <w:color w:val="FFFFFF"/>
          <w:sz w:val="36"/>
          <w:szCs w:val="36"/>
        </w:rPr>
        <w:t xml:space="preserve">  Informe de Avance de Proyecto  </w:t>
      </w:r>
    </w:p>
    <w:p>
      <w:pPr>
        <w:shd w:fill="2E75B6" w:val="clear"/>
        <w:spacing w:after="40"/>
        <w:jc w:val="center"/>
      </w:pPr>
      <w:r>
        <w:rPr>
          <w:rFonts w:ascii="Arial" w:cs="Arial" w:eastAsia="Arial" w:hAnsi="Arial"/>
          <w:color w:val="FFFFFF"/>
          <w:sz w:val="26"/>
          <w:szCs w:val="26"/>
        </w:rPr>
        <w:t xml:space="preserve">  Pipeline ETL Automatizado en Python  </w:t>
      </w:r>
    </w:p>
    <w:p>
      <w:pPr>
        <w:spacing w:after="40"/>
      </w:pPr>
    </w:p>
    <w:p>
      <w:pPr>
        <w:spacing w:after="20"/>
        <w:jc w:val="center"/>
      </w:pPr>
      <w:r>
        <w:rPr>
          <w:rFonts w:ascii="Arial" w:cs="Arial" w:eastAsia="Arial" w:hAnsi="Arial"/>
          <w:color w:val="1A1A2E"/>
          <w:sz w:val="22"/>
          <w:szCs w:val="22"/>
        </w:rPr>
        <w:t xml:space="preserve">Freddy Santiago Hernández Gelves</w:t>
      </w:r>
    </w:p>
    <w:p>
      <w:pPr>
        <w:spacing w:after="20"/>
        <w:jc w:val="center"/>
      </w:pPr>
      <w:r>
        <w:rPr>
          <w:rFonts w:ascii="Arial" w:cs="Arial" w:eastAsia="Arial" w:hAnsi="Arial"/>
          <w:color w:val="1A1A2E"/>
          <w:sz w:val="22"/>
          <w:szCs w:val="22"/>
        </w:rPr>
        <w:t xml:space="preserve">Edwuar Andrés Niño Portilla</w:t>
      </w:r>
    </w:p>
    <w:p>
      <w:pPr>
        <w:spacing w:after="20"/>
        <w:jc w:val="center"/>
      </w:pPr>
      <w:r>
        <w:rPr>
          <w:rFonts w:ascii="Arial" w:cs="Arial" w:eastAsia="Arial" w:hAnsi="Arial"/>
          <w:color w:val="1A1A2E"/>
          <w:sz w:val="22"/>
          <w:szCs w:val="22"/>
        </w:rPr>
        <w:t xml:space="preserve">Raúl Andrés Vesga Neira</w:t>
      </w:r>
    </w:p>
    <w:p>
      <w:pPr>
        <w:spacing w:after="40"/>
      </w:pPr>
    </w:p>
    <w:p>
      <w:pPr>
        <w:spacing w:after="200"/>
        <w:jc w:val="center"/>
      </w:pPr>
      <w:r>
        <w:rPr>
          <w:rFonts w:ascii="Arial" w:cs="Arial" w:eastAsia="Arial" w:hAnsi="Arial"/>
          <w:i/>
          <w:iCs/>
          <w:color w:val="666666"/>
          <w:sz w:val="20"/>
          <w:szCs w:val="20"/>
        </w:rPr>
        <w:t xml:space="preserve">Curso de Programación II — 30 de abril de 2026</w:t>
      </w:r>
    </w:p>
    <w:p>
      <w:pPr>
        <w:pStyle w:val="Heading1"/>
        <w:pBdr>
          <w:bottom w:val="single" w:color="2E75B6" w:sz="8" w:space="4"/>
        </w:pBdr>
        <w:spacing w:after="160" w:before="320"/>
      </w:pPr>
      <w:r>
        <w:rPr>
          <w:rFonts w:ascii="Arial" w:cs="Arial" w:eastAsia="Arial" w:hAnsi="Arial"/>
          <w:b/>
          <w:bCs/>
          <w:color w:val="1F4E79"/>
          <w:sz w:val="28"/>
          <w:szCs w:val="28"/>
        </w:rPr>
        <w:t xml:space="preserve">1. Resumen Ejecutivo</w:t>
      </w:r>
    </w:p>
    <w:p>
      <w:pPr>
        <w:spacing w:after="140" w:before="0"/>
        <w:jc w:val="both"/>
      </w:pPr>
      <w:r>
        <w:rPr>
          <w:rFonts w:ascii="Arial" w:cs="Arial" w:eastAsia="Arial" w:hAnsi="Arial"/>
          <w:color w:val="1A1A2E"/>
          <w:sz w:val="22"/>
          <w:szCs w:val="22"/>
        </w:rPr>
        <w:t xml:space="preserve">El presente informe documenta el estado de avance del proyecto de pipeline ETL automatizado en Python. A la fecha de entrega, el núcleo funcional del sistema ha sido implementado y verificado: las tres etapas del proceso —extracción, transformación y carga— se encuentran operativas de forma modular. La fuente de datos seleccionada es la API pública REST Countries, que provee información estandarizada de todos los países del mundo en formato JSON, sin requerir autenticación.</w:t>
      </w:r>
    </w:p>
    <w:p>
      <w:pPr>
        <w:spacing w:after="140" w:before="0"/>
        <w:jc w:val="both"/>
      </w:pPr>
      <w:r>
        <w:rPr>
          <w:rFonts w:ascii="Arial" w:cs="Arial" w:eastAsia="Arial" w:hAnsi="Arial"/>
          <w:color w:val="1A1A2E"/>
          <w:sz w:val="22"/>
          <w:szCs w:val="22"/>
        </w:rPr>
        <w:t xml:space="preserve">El pipeline transforma los datos crudos aplicando limpieza, normalización de columnas, conversión de tipos de datos y generación de una columna derivada (densidad poblacional), para finalmente exportar el resultado en formato CSV.</w:t>
      </w:r>
    </w:p>
    <w:p>
      <w:pPr>
        <w:pStyle w:val="Heading1"/>
        <w:pBdr>
          <w:bottom w:val="single" w:color="2E75B6" w:sz="8" w:space="4"/>
        </w:pBdr>
        <w:spacing w:after="160" w:before="320"/>
      </w:pPr>
      <w:r>
        <w:rPr>
          <w:rFonts w:ascii="Arial" w:cs="Arial" w:eastAsia="Arial" w:hAnsi="Arial"/>
          <w:b/>
          <w:bCs/>
          <w:color w:val="1F4E79"/>
          <w:sz w:val="28"/>
          <w:szCs w:val="28"/>
        </w:rPr>
        <w:t xml:space="preserve">2. Descripción Técnica del Sistema</w:t>
      </w:r>
    </w:p>
    <w:p>
      <w:pPr>
        <w:pStyle w:val="Heading2"/>
        <w:spacing w:after="100" w:before="240"/>
      </w:pPr>
      <w:r>
        <w:rPr>
          <w:rFonts w:ascii="Arial" w:cs="Arial" w:eastAsia="Arial" w:hAnsi="Arial"/>
          <w:b/>
          <w:bCs/>
          <w:color w:val="2E75B6"/>
          <w:sz w:val="24"/>
          <w:szCs w:val="24"/>
        </w:rPr>
        <w:t xml:space="preserve">2.1 Fuente de Datos</w:t>
      </w:r>
    </w:p>
    <w:p>
      <w:pPr>
        <w:spacing w:after="140" w:before="0"/>
        <w:jc w:val="both"/>
      </w:pPr>
      <w:r>
        <w:rPr>
          <w:rFonts w:ascii="Arial" w:cs="Arial" w:eastAsia="Arial" w:hAnsi="Arial"/>
          <w:b/>
          <w:bCs/>
          <w:color w:val="1A1A2E"/>
          <w:sz w:val="22"/>
          <w:szCs w:val="22"/>
        </w:rPr>
        <w:t xml:space="preserve">API utilizada: </w:t>
      </w:r>
      <w:r>
        <w:rPr>
          <w:rFonts w:ascii="Arial" w:cs="Arial" w:eastAsia="Arial" w:hAnsi="Arial"/>
          <w:color w:val="1A1A2E"/>
          <w:sz w:val="22"/>
          <w:szCs w:val="22"/>
        </w:rPr>
        <w:t xml:space="preserve">REST Countries — </w:t>
      </w:r>
      <w:r>
        <w:rPr>
          <w:rFonts w:ascii="Courier New" w:cs="Courier New" w:eastAsia="Courier New" w:hAnsi="Courier New"/>
          <w:color w:val="2E75B6"/>
          <w:sz w:val="20"/>
          <w:szCs w:val="20"/>
        </w:rPr>
        <w:t xml:space="preserve">https://restcountries.com/v3.1/all</w:t>
      </w:r>
    </w:p>
    <w:p>
      <w:pPr>
        <w:pStyle w:val="ListParagraph"/>
        <w:numPr>
          <w:ilvl w:val="0"/>
          <w:numId w:val="2"/>
        </w:numPr>
        <w:spacing w:after="80"/>
      </w:pPr>
      <w:r>
        <w:rPr>
          <w:rFonts w:ascii="Arial" w:cs="Arial" w:eastAsia="Arial" w:hAnsi="Arial"/>
          <w:color w:val="1A1A2E"/>
          <w:sz w:val="22"/>
          <w:szCs w:val="22"/>
        </w:rPr>
        <w:t xml:space="preserve">Formato de respuesta: JSON</w:t>
      </w:r>
    </w:p>
    <w:p>
      <w:pPr>
        <w:pStyle w:val="ListParagraph"/>
        <w:numPr>
          <w:ilvl w:val="0"/>
          <w:numId w:val="2"/>
        </w:numPr>
        <w:spacing w:after="80"/>
      </w:pPr>
      <w:r>
        <w:rPr>
          <w:rFonts w:ascii="Arial" w:cs="Arial" w:eastAsia="Arial" w:hAnsi="Arial"/>
          <w:color w:val="1A1A2E"/>
          <w:sz w:val="22"/>
          <w:szCs w:val="22"/>
        </w:rPr>
        <w:t xml:space="preserve">Autenticación: No requerida</w:t>
      </w:r>
    </w:p>
    <w:p>
      <w:pPr>
        <w:pStyle w:val="ListParagraph"/>
        <w:numPr>
          <w:ilvl w:val="0"/>
          <w:numId w:val="2"/>
        </w:numPr>
        <w:spacing w:after="80"/>
      </w:pPr>
      <w:r>
        <w:rPr>
          <w:rFonts w:ascii="Arial" w:cs="Arial" w:eastAsia="Arial" w:hAnsi="Arial"/>
          <w:color w:val="1A1A2E"/>
          <w:sz w:val="22"/>
          <w:szCs w:val="22"/>
        </w:rPr>
        <w:t xml:space="preserve">Volumen aproximado: 250 registros de países con ~50 campos por registro</w:t>
      </w:r>
    </w:p>
    <w:p>
      <w:pPr>
        <w:pStyle w:val="ListParagraph"/>
        <w:numPr>
          <w:ilvl w:val="0"/>
          <w:numId w:val="2"/>
        </w:numPr>
        <w:spacing w:after="80"/>
      </w:pPr>
      <w:r>
        <w:rPr>
          <w:rFonts w:ascii="Arial" w:cs="Arial" w:eastAsia="Arial" w:hAnsi="Arial"/>
          <w:color w:val="1A1A2E"/>
          <w:sz w:val="22"/>
          <w:szCs w:val="22"/>
        </w:rPr>
        <w:t xml:space="preserve">Licencia: Mozilla Public License 2.0 (uso libre para proyectos académicos)</w:t>
      </w:r>
    </w:p>
    <w:p>
      <w:pPr>
        <w:spacing w:after="120"/>
      </w:pPr>
    </w:p>
    <w:p>
      <w:pPr>
        <w:pStyle w:val="Heading2"/>
        <w:spacing w:after="100" w:before="240"/>
      </w:pPr>
      <w:r>
        <w:rPr>
          <w:rFonts w:ascii="Arial" w:cs="Arial" w:eastAsia="Arial" w:hAnsi="Arial"/>
          <w:b/>
          <w:bCs/>
          <w:color w:val="2E75B6"/>
          <w:sz w:val="24"/>
          <w:szCs w:val="24"/>
        </w:rPr>
        <w:t xml:space="preserve">2.2 Arquitectura del Pipeline</w:t>
      </w:r>
    </w:p>
    <w:p>
      <w:pPr>
        <w:spacing w:after="140" w:before="0"/>
        <w:jc w:val="both"/>
      </w:pPr>
      <w:r>
        <w:rPr>
          <w:rFonts w:ascii="Arial" w:cs="Arial" w:eastAsia="Arial" w:hAnsi="Arial"/>
          <w:color w:val="1A1A2E"/>
          <w:sz w:val="22"/>
          <w:szCs w:val="22"/>
        </w:rPr>
        <w:t xml:space="preserve">El script está organizado en funciones independientes que encapsulan cada etapa del proceso ETL, siguiendo el principio de responsabilidad única (SRP). El punto de entrada es la función run_pipeline(), que orquesta la ejecución en secuencia:</w:t>
      </w:r>
    </w:p>
    <w:p>
      <w:pPr>
        <w:spacing w:after="80"/>
      </w:pPr>
    </w:p>
    <w:p>
      <w:pPr>
        <w:shd w:fill="1E1E2E" w:val="clear"/>
        <w:spacing w:after="40" w:before="40"/>
        <w:ind w:left="360"/>
      </w:pPr>
      <w:r>
        <w:rPr>
          <w:rFonts w:ascii="Courier New" w:cs="Courier New" w:eastAsia="Courier New" w:hAnsi="Courier New"/>
          <w:color w:val="A6E3A1"/>
          <w:sz w:val="18"/>
          <w:szCs w:val="18"/>
        </w:rPr>
        <w:t xml:space="preserve">  extract(url)      →  Solicitud HTTP y deserialización JSON</w:t>
      </w:r>
    </w:p>
    <w:p>
      <w:pPr>
        <w:shd w:fill="1E1E2E" w:val="clear"/>
        <w:spacing w:after="40" w:before="40"/>
        <w:ind w:left="360"/>
      </w:pPr>
      <w:r>
        <w:rPr>
          <w:rFonts w:ascii="Courier New" w:cs="Courier New" w:eastAsia="Courier New" w:hAnsi="Courier New"/>
          <w:color w:val="A6E3A1"/>
          <w:sz w:val="18"/>
          <w:szCs w:val="18"/>
        </w:rPr>
        <w:t xml:space="preserve">  transform(data)   →  Limpieza, normalización y enriquecimiento</w:t>
      </w:r>
    </w:p>
    <w:p>
      <w:pPr>
        <w:shd w:fill="1E1E2E" w:val="clear"/>
        <w:spacing w:after="40" w:before="40"/>
        <w:ind w:left="360"/>
      </w:pPr>
      <w:r>
        <w:rPr>
          <w:rFonts w:ascii="Courier New" w:cs="Courier New" w:eastAsia="Courier New" w:hAnsi="Courier New"/>
          <w:color w:val="A6E3A1"/>
          <w:sz w:val="18"/>
          <w:szCs w:val="18"/>
        </w:rPr>
        <w:t xml:space="preserve">  load(df, path)    →  Escritura a CSV con codificación UTF-8</w:t>
      </w:r>
    </w:p>
    <w:p>
      <w:pPr>
        <w:shd w:fill="1E1E2E" w:val="clear"/>
        <w:spacing w:after="40" w:before="40"/>
        <w:ind w:left="360"/>
      </w:pPr>
      <w:r>
        <w:rPr>
          <w:rFonts w:ascii="Courier New" w:cs="Courier New" w:eastAsia="Courier New" w:hAnsi="Courier New"/>
          <w:color w:val="A6E3A1"/>
          <w:sz w:val="18"/>
          <w:szCs w:val="18"/>
        </w:rPr>
        <w:t xml:space="preserve">  run_pipeline()    →  Orquestador principal con logging y timing</w:t>
      </w:r>
    </w:p>
    <w:p>
      <w:pPr>
        <w:spacing w:after="120"/>
      </w:pPr>
    </w:p>
    <w:p>
      <w:pPr>
        <w:pStyle w:val="Heading2"/>
        <w:spacing w:after="100" w:before="240"/>
      </w:pPr>
      <w:r>
        <w:rPr>
          <w:rFonts w:ascii="Arial" w:cs="Arial" w:eastAsia="Arial" w:hAnsi="Arial"/>
          <w:b/>
          <w:bCs/>
          <w:color w:val="2E75B6"/>
          <w:sz w:val="24"/>
          <w:szCs w:val="24"/>
        </w:rPr>
        <w:t xml:space="preserve">2.3 Librerías Utilizadas</w:t>
      </w:r>
    </w:p>
    <w:p>
      <w:pPr>
        <w:pStyle w:val="ListParagraph"/>
        <w:numPr>
          <w:ilvl w:val="0"/>
          <w:numId w:val="2"/>
        </w:numPr>
        <w:spacing w:after="80"/>
      </w:pPr>
      <w:r>
        <w:rPr>
          <w:rFonts w:ascii="Arial" w:cs="Arial" w:eastAsia="Arial" w:hAnsi="Arial"/>
          <w:color w:val="1A1A2E"/>
          <w:sz w:val="22"/>
          <w:szCs w:val="22"/>
        </w:rPr>
        <w:t xml:space="preserve">requests 2.x — Conexión HTTP a la API y manejo de respuestas</w:t>
      </w:r>
    </w:p>
    <w:p>
      <w:pPr>
        <w:pStyle w:val="ListParagraph"/>
        <w:numPr>
          <w:ilvl w:val="0"/>
          <w:numId w:val="2"/>
        </w:numPr>
        <w:spacing w:after="80"/>
      </w:pPr>
      <w:r>
        <w:rPr>
          <w:rFonts w:ascii="Arial" w:cs="Arial" w:eastAsia="Arial" w:hAnsi="Arial"/>
          <w:color w:val="1A1A2E"/>
          <w:sz w:val="22"/>
          <w:szCs w:val="22"/>
        </w:rPr>
        <w:t xml:space="preserve">pandas 2.x — Creación del DataFrame, limpieza y transformación</w:t>
      </w:r>
    </w:p>
    <w:p>
      <w:pPr>
        <w:pStyle w:val="ListParagraph"/>
        <w:numPr>
          <w:ilvl w:val="0"/>
          <w:numId w:val="2"/>
        </w:numPr>
        <w:spacing w:after="80"/>
      </w:pPr>
      <w:r>
        <w:rPr>
          <w:rFonts w:ascii="Arial" w:cs="Arial" w:eastAsia="Arial" w:hAnsi="Arial"/>
          <w:color w:val="1A1A2E"/>
          <w:sz w:val="22"/>
          <w:szCs w:val="22"/>
        </w:rPr>
        <w:t xml:space="preserve">logging (stdlib) — Registro estructurado de eventos con timestamp</w:t>
      </w:r>
    </w:p>
    <w:p>
      <w:pPr>
        <w:pStyle w:val="ListParagraph"/>
        <w:numPr>
          <w:ilvl w:val="0"/>
          <w:numId w:val="2"/>
        </w:numPr>
        <w:spacing w:after="80"/>
      </w:pPr>
      <w:r>
        <w:rPr>
          <w:rFonts w:ascii="Arial" w:cs="Arial" w:eastAsia="Arial" w:hAnsi="Arial"/>
          <w:color w:val="1A1A2E"/>
          <w:sz w:val="22"/>
          <w:szCs w:val="22"/>
        </w:rPr>
        <w:t xml:space="preserve">os / datetime (stdlib) — Gestión de rutas y medición de tiempo</w:t>
      </w:r>
    </w:p>
    <w:p>
      <w:pPr>
        <w:spacing w:after="100"/>
      </w:pPr>
    </w:p>
    <w:p>
      <w:pPr>
        <w:pStyle w:val="Heading1"/>
        <w:pBdr>
          <w:bottom w:val="single" w:color="2E75B6" w:sz="8" w:space="4"/>
        </w:pBdr>
        <w:spacing w:after="160" w:before="320"/>
      </w:pPr>
      <w:r>
        <w:rPr>
          <w:rFonts w:ascii="Arial" w:cs="Arial" w:eastAsia="Arial" w:hAnsi="Arial"/>
          <w:b/>
          <w:bCs/>
          <w:color w:val="1F4E79"/>
          <w:sz w:val="28"/>
          <w:szCs w:val="28"/>
        </w:rPr>
        <w:t xml:space="preserve">3. Etapas Implementadas</w:t>
      </w:r>
    </w:p>
    <w:p>
      <w:pPr>
        <w:pStyle w:val="Heading2"/>
        <w:spacing w:after="100" w:before="240"/>
      </w:pPr>
      <w:r>
        <w:rPr>
          <w:rFonts w:ascii="Arial" w:cs="Arial" w:eastAsia="Arial" w:hAnsi="Arial"/>
          <w:b/>
          <w:bCs/>
          <w:color w:val="2E75B6"/>
          <w:sz w:val="24"/>
          <w:szCs w:val="24"/>
        </w:rPr>
        <w:t xml:space="preserve">3.1 Extracción</w:t>
      </w:r>
    </w:p>
    <w:p>
      <w:pPr>
        <w:spacing w:after="140" w:before="0"/>
        <w:jc w:val="both"/>
      </w:pPr>
      <w:r>
        <w:rPr>
          <w:rFonts w:ascii="Arial" w:cs="Arial" w:eastAsia="Arial" w:hAnsi="Arial"/>
          <w:color w:val="1A1A2E"/>
          <w:sz w:val="22"/>
          <w:szCs w:val="22"/>
        </w:rPr>
        <w:t xml:space="preserve">La función extract() realiza una solicitud GET al endpoint de la API con un timeout de 15 segundos. Si la respuesta no es exitosa, se lanza una HTTPError que es capturada en el orquestador. Los datos se deserializan automáticamente desde JSON a una lista de diccionarios de Python.</w:t>
      </w:r>
    </w:p>
    <w:p>
      <w:pPr>
        <w:spacing w:after="80"/>
      </w:pPr>
    </w:p>
    <w:p>
      <w:pPr>
        <w:shd w:fill="1E1E2E" w:val="clear"/>
        <w:spacing w:after="40" w:before="40"/>
        <w:ind w:left="360"/>
      </w:pPr>
      <w:r>
        <w:rPr>
          <w:rFonts w:ascii="Courier New" w:cs="Courier New" w:eastAsia="Courier New" w:hAnsi="Courier New"/>
          <w:color w:val="A6E3A1"/>
          <w:sz w:val="18"/>
          <w:szCs w:val="18"/>
        </w:rPr>
        <w:t xml:space="preserve">  response = requests.get(url, timeout=15)</w:t>
      </w:r>
    </w:p>
    <w:p>
      <w:pPr>
        <w:shd w:fill="1E1E2E" w:val="clear"/>
        <w:spacing w:after="40" w:before="40"/>
        <w:ind w:left="360"/>
      </w:pPr>
      <w:r>
        <w:rPr>
          <w:rFonts w:ascii="Courier New" w:cs="Courier New" w:eastAsia="Courier New" w:hAnsi="Courier New"/>
          <w:color w:val="A6E3A1"/>
          <w:sz w:val="18"/>
          <w:szCs w:val="18"/>
        </w:rPr>
        <w:t xml:space="preserve">  response.raise_for_status()</w:t>
      </w:r>
    </w:p>
    <w:p>
      <w:pPr>
        <w:shd w:fill="1E1E2E" w:val="clear"/>
        <w:spacing w:after="40" w:before="40"/>
        <w:ind w:left="360"/>
      </w:pPr>
      <w:r>
        <w:rPr>
          <w:rFonts w:ascii="Courier New" w:cs="Courier New" w:eastAsia="Courier New" w:hAnsi="Courier New"/>
          <w:color w:val="A6E3A1"/>
          <w:sz w:val="18"/>
          <w:szCs w:val="18"/>
        </w:rPr>
        <w:t xml:space="preserve">  return response.json()</w:t>
      </w:r>
    </w:p>
    <w:p>
      <w:pPr>
        <w:spacing w:after="120"/>
      </w:pPr>
    </w:p>
    <w:p>
      <w:pPr>
        <w:pStyle w:val="Heading2"/>
        <w:spacing w:after="100" w:before="240"/>
      </w:pPr>
      <w:r>
        <w:rPr>
          <w:rFonts w:ascii="Arial" w:cs="Arial" w:eastAsia="Arial" w:hAnsi="Arial"/>
          <w:b/>
          <w:bCs/>
          <w:color w:val="2E75B6"/>
          <w:sz w:val="24"/>
          <w:szCs w:val="24"/>
        </w:rPr>
        <w:t xml:space="preserve">3.2 Transformación</w:t>
      </w:r>
    </w:p>
    <w:p>
      <w:pPr>
        <w:spacing w:after="140" w:before="0"/>
        <w:jc w:val="both"/>
      </w:pPr>
      <w:r>
        <w:rPr>
          <w:rFonts w:ascii="Arial" w:cs="Arial" w:eastAsia="Arial" w:hAnsi="Arial"/>
          <w:color w:val="1A1A2E"/>
          <w:sz w:val="22"/>
          <w:szCs w:val="22"/>
        </w:rPr>
        <w:t xml:space="preserve">La función transform() aplica los siguientes pasos en orden:</w:t>
      </w:r>
    </w:p>
    <w:p>
      <w:pPr>
        <w:pStyle w:val="ListParagraph"/>
        <w:numPr>
          <w:ilvl w:val="0"/>
          <w:numId w:val="2"/>
        </w:numPr>
        <w:spacing w:after="80"/>
      </w:pPr>
      <w:r>
        <w:rPr>
          <w:rFonts w:ascii="Arial" w:cs="Arial" w:eastAsia="Arial" w:hAnsi="Arial"/>
          <w:color w:val="1A1A2E"/>
          <w:sz w:val="22"/>
          <w:szCs w:val="22"/>
        </w:rPr>
        <w:t xml:space="preserve">Selección de campos relevantes de los ~50 disponibles en la API</w:t>
      </w:r>
    </w:p>
    <w:p>
      <w:pPr>
        <w:pStyle w:val="ListParagraph"/>
        <w:numPr>
          <w:ilvl w:val="0"/>
          <w:numId w:val="2"/>
        </w:numPr>
        <w:spacing w:after="80"/>
      </w:pPr>
      <w:r>
        <w:rPr>
          <w:rFonts w:ascii="Arial" w:cs="Arial" w:eastAsia="Arial" w:hAnsi="Arial"/>
          <w:color w:val="1A1A2E"/>
          <w:sz w:val="22"/>
          <w:szCs w:val="22"/>
        </w:rPr>
        <w:t xml:space="preserve">Eliminación de registros con valores nulos en nombre_comun o region</w:t>
      </w:r>
    </w:p>
    <w:p>
      <w:pPr>
        <w:pStyle w:val="ListParagraph"/>
        <w:numPr>
          <w:ilvl w:val="0"/>
          <w:numId w:val="2"/>
        </w:numPr>
        <w:spacing w:after="80"/>
      </w:pPr>
      <w:r>
        <w:rPr>
          <w:rFonts w:ascii="Arial" w:cs="Arial" w:eastAsia="Arial" w:hAnsi="Arial"/>
          <w:color w:val="1A1A2E"/>
          <w:sz w:val="22"/>
          <w:szCs w:val="22"/>
        </w:rPr>
        <w:t xml:space="preserve">Normalización de texto: strip() y title() en columnas de cadena</w:t>
      </w:r>
    </w:p>
    <w:p>
      <w:pPr>
        <w:pStyle w:val="ListParagraph"/>
        <w:numPr>
          <w:ilvl w:val="0"/>
          <w:numId w:val="2"/>
        </w:numPr>
        <w:spacing w:after="80"/>
      </w:pPr>
      <w:r>
        <w:rPr>
          <w:rFonts w:ascii="Arial" w:cs="Arial" w:eastAsia="Arial" w:hAnsi="Arial"/>
          <w:color w:val="1A1A2E"/>
          <w:sz w:val="22"/>
          <w:szCs w:val="22"/>
        </w:rPr>
        <w:t xml:space="preserve">Conversión de tipos: poblacion → Int64 (soporta NA), area_km2 → float64</w:t>
      </w:r>
    </w:p>
    <w:p>
      <w:pPr>
        <w:pStyle w:val="ListParagraph"/>
        <w:numPr>
          <w:ilvl w:val="0"/>
          <w:numId w:val="2"/>
        </w:numPr>
        <w:spacing w:after="80"/>
      </w:pPr>
      <w:r>
        <w:rPr>
          <w:rFonts w:ascii="Arial" w:cs="Arial" w:eastAsia="Arial" w:hAnsi="Arial"/>
          <w:color w:val="1A1A2E"/>
          <w:sz w:val="22"/>
          <w:szCs w:val="22"/>
        </w:rPr>
        <w:t xml:space="preserve">Generación de columna derivada: densidad_hab_km2 = poblacion / area_km2</w:t>
      </w:r>
    </w:p>
    <w:p>
      <w:pPr>
        <w:pStyle w:val="ListParagraph"/>
        <w:numPr>
          <w:ilvl w:val="0"/>
          <w:numId w:val="2"/>
        </w:numPr>
        <w:spacing w:after="80"/>
      </w:pPr>
      <w:r>
        <w:rPr>
          <w:rFonts w:ascii="Arial" w:cs="Arial" w:eastAsia="Arial" w:hAnsi="Arial"/>
          <w:color w:val="1A1A2E"/>
          <w:sz w:val="22"/>
          <w:szCs w:val="22"/>
        </w:rPr>
        <w:t xml:space="preserve">Ordenamiento descendente por población</w:t>
      </w:r>
    </w:p>
    <w:p>
      <w:pPr>
        <w:spacing w:after="120"/>
      </w:pPr>
    </w:p>
    <w:p>
      <w:pPr>
        <w:pStyle w:val="Heading2"/>
        <w:spacing w:after="100" w:before="240"/>
      </w:pPr>
      <w:r>
        <w:rPr>
          <w:rFonts w:ascii="Arial" w:cs="Arial" w:eastAsia="Arial" w:hAnsi="Arial"/>
          <w:b/>
          <w:bCs/>
          <w:color w:val="2E75B6"/>
          <w:sz w:val="24"/>
          <w:szCs w:val="24"/>
        </w:rPr>
        <w:t xml:space="preserve">3.3 Estructura del Dataset Resultante</w:t>
      </w:r>
    </w:p>
    <w:p>
      <w:pPr>
        <w:spacing w:after="140" w:before="0"/>
        <w:jc w:val="both"/>
      </w:pPr>
      <w:r>
        <w:rPr>
          <w:rFonts w:ascii="Arial" w:cs="Arial" w:eastAsia="Arial" w:hAnsi="Arial"/>
          <w:color w:val="1A1A2E"/>
          <w:sz w:val="22"/>
          <w:szCs w:val="22"/>
        </w:rPr>
        <w:t xml:space="preserve">El archivo CSV generado contiene 15 columnas: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rPr>
          <w:tblHeader/>
        </w:trPr>
        <w:tc>
          <w:tcPr>
            <w:tcW w:type="dxa" w:w="25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Columna</w:t>
            </w:r>
          </w:p>
        </w:tc>
        <w:tc>
          <w:tcPr>
            <w:tcW w:type="dxa" w:w="13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center"/>
            </w:pPr>
            <w:r>
              <w:rPr>
                <w:rFonts w:ascii="Courier New" w:cs="Courier New" w:eastAsia="Courier New" w:hAnsi="Courier New"/>
                <w:b/>
                <w:bCs/>
                <w:color w:val="FFFFFF"/>
                <w:sz w:val="20"/>
                <w:szCs w:val="20"/>
              </w:rPr>
              <w:t xml:space="preserve">Tipo</w:t>
            </w:r>
          </w:p>
        </w:tc>
        <w:tc>
          <w:tcPr>
            <w:tcW w:type="dxa" w:w="556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nombre_comun</w:t>
            </w:r>
          </w:p>
        </w:tc>
        <w:tc>
          <w:tcPr>
            <w:tcW w:type="dxa" w:w="1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str</w:t>
            </w:r>
          </w:p>
        </w:tc>
        <w:tc>
          <w:tcPr>
            <w:tcW w:type="dxa" w:w="5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Nombre común del país</w:t>
            </w:r>
          </w:p>
        </w:tc>
      </w:tr>
      <w:tr>
        <w:trPr>
          <w:tblHeader w:val="false"/>
        </w:trPr>
        <w:tc>
          <w:tcPr>
            <w:tcW w:type="dxa" w:w="2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nombre_oficial</w:t>
            </w:r>
          </w:p>
        </w:tc>
        <w:tc>
          <w:tcPr>
            <w:tcW w:type="dxa" w:w="13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str</w:t>
            </w:r>
          </w:p>
        </w:tc>
        <w:tc>
          <w:tcPr>
            <w:tcW w:type="dxa" w:w="55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Nombre oficial del país</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region</w:t>
            </w:r>
          </w:p>
        </w:tc>
        <w:tc>
          <w:tcPr>
            <w:tcW w:type="dxa" w:w="1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str</w:t>
            </w:r>
          </w:p>
        </w:tc>
        <w:tc>
          <w:tcPr>
            <w:tcW w:type="dxa" w:w="5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Región geográfica principal</w:t>
            </w:r>
          </w:p>
        </w:tc>
      </w:tr>
      <w:tr>
        <w:trPr>
          <w:tblHeader w:val="false"/>
        </w:trPr>
        <w:tc>
          <w:tcPr>
            <w:tcW w:type="dxa" w:w="2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subregion</w:t>
            </w:r>
          </w:p>
        </w:tc>
        <w:tc>
          <w:tcPr>
            <w:tcW w:type="dxa" w:w="13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str</w:t>
            </w:r>
          </w:p>
        </w:tc>
        <w:tc>
          <w:tcPr>
            <w:tcW w:type="dxa" w:w="55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Subregión geográfica</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capital</w:t>
            </w:r>
          </w:p>
        </w:tc>
        <w:tc>
          <w:tcPr>
            <w:tcW w:type="dxa" w:w="1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str</w:t>
            </w:r>
          </w:p>
        </w:tc>
        <w:tc>
          <w:tcPr>
            <w:tcW w:type="dxa" w:w="5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Ciudad capital</w:t>
            </w:r>
          </w:p>
        </w:tc>
      </w:tr>
      <w:tr>
        <w:trPr>
          <w:tblHeader w:val="false"/>
        </w:trPr>
        <w:tc>
          <w:tcPr>
            <w:tcW w:type="dxa" w:w="2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poblacion</w:t>
            </w:r>
          </w:p>
        </w:tc>
        <w:tc>
          <w:tcPr>
            <w:tcW w:type="dxa" w:w="13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Int64</w:t>
            </w:r>
          </w:p>
        </w:tc>
        <w:tc>
          <w:tcPr>
            <w:tcW w:type="dxa" w:w="55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Población total (entero con soporte nulo)</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area_km2</w:t>
            </w:r>
          </w:p>
        </w:tc>
        <w:tc>
          <w:tcPr>
            <w:tcW w:type="dxa" w:w="1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float64</w:t>
            </w:r>
          </w:p>
        </w:tc>
        <w:tc>
          <w:tcPr>
            <w:tcW w:type="dxa" w:w="5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Superficie en km²</w:t>
            </w:r>
          </w:p>
        </w:tc>
      </w:tr>
      <w:tr>
        <w:trPr>
          <w:tblHeader w:val="false"/>
        </w:trPr>
        <w:tc>
          <w:tcPr>
            <w:tcW w:type="dxa" w:w="2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codigo_alpha2</w:t>
            </w:r>
          </w:p>
        </w:tc>
        <w:tc>
          <w:tcPr>
            <w:tcW w:type="dxa" w:w="13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str</w:t>
            </w:r>
          </w:p>
        </w:tc>
        <w:tc>
          <w:tcPr>
            <w:tcW w:type="dxa" w:w="55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Código ISO 3166-1 alpha-2</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codigo_alpha3</w:t>
            </w:r>
          </w:p>
        </w:tc>
        <w:tc>
          <w:tcPr>
            <w:tcW w:type="dxa" w:w="1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str</w:t>
            </w:r>
          </w:p>
        </w:tc>
        <w:tc>
          <w:tcPr>
            <w:tcW w:type="dxa" w:w="5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Código ISO 3166-1 alpha-3</w:t>
            </w:r>
          </w:p>
        </w:tc>
      </w:tr>
      <w:tr>
        <w:trPr>
          <w:tblHeader w:val="false"/>
        </w:trPr>
        <w:tc>
          <w:tcPr>
            <w:tcW w:type="dxa" w:w="2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independiente</w:t>
            </w:r>
          </w:p>
        </w:tc>
        <w:tc>
          <w:tcPr>
            <w:tcW w:type="dxa" w:w="13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bool</w:t>
            </w:r>
          </w:p>
        </w:tc>
        <w:tc>
          <w:tcPr>
            <w:tcW w:type="dxa" w:w="55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Indica si el país es independiente</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pais_sin_salida_mar</w:t>
            </w:r>
          </w:p>
        </w:tc>
        <w:tc>
          <w:tcPr>
            <w:tcW w:type="dxa" w:w="1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bool</w:t>
            </w:r>
          </w:p>
        </w:tc>
        <w:tc>
          <w:tcPr>
            <w:tcW w:type="dxa" w:w="5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Indica si el país es mediterráneo</w:t>
            </w:r>
          </w:p>
        </w:tc>
      </w:tr>
      <w:tr>
        <w:trPr>
          <w:tblHeader w:val="false"/>
        </w:trPr>
        <w:tc>
          <w:tcPr>
            <w:tcW w:type="dxa" w:w="2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moneda</w:t>
            </w:r>
          </w:p>
        </w:tc>
        <w:tc>
          <w:tcPr>
            <w:tcW w:type="dxa" w:w="13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str</w:t>
            </w:r>
          </w:p>
        </w:tc>
        <w:tc>
          <w:tcPr>
            <w:tcW w:type="dxa" w:w="55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Nombre de la moneda principal</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idiomas</w:t>
            </w:r>
          </w:p>
        </w:tc>
        <w:tc>
          <w:tcPr>
            <w:tcW w:type="dxa" w:w="1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str</w:t>
            </w:r>
          </w:p>
        </w:tc>
        <w:tc>
          <w:tcPr>
            <w:tcW w:type="dxa" w:w="5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Idiomas oficiales separados por comas</w:t>
            </w:r>
          </w:p>
        </w:tc>
      </w:tr>
      <w:tr>
        <w:trPr>
          <w:tblHeader w:val="false"/>
        </w:trPr>
        <w:tc>
          <w:tcPr>
            <w:tcW w:type="dxa" w:w="25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continentes</w:t>
            </w:r>
          </w:p>
        </w:tc>
        <w:tc>
          <w:tcPr>
            <w:tcW w:type="dxa" w:w="130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str</w:t>
            </w:r>
          </w:p>
        </w:tc>
        <w:tc>
          <w:tcPr>
            <w:tcW w:type="dxa" w:w="5560"/>
            <w:tcBorders>
              <w:top w:val="single" w:color="C0C0C0" w:sz="1"/>
              <w:left w:val="single" w:color="C0C0C0" w:sz="1"/>
              <w:bottom w:val="single" w:color="C0C0C0" w:sz="1"/>
              <w:right w:val="single" w:color="C0C0C0"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Continente(s) en que se ubica</w:t>
            </w:r>
          </w:p>
        </w:tc>
      </w:tr>
      <w:tr>
        <w:trPr>
          <w:tblHeader w:val="false"/>
        </w:trPr>
        <w:tc>
          <w:tcPr>
            <w:tcW w:type="dxa" w:w="25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densidad_hab_km2</w:t>
            </w:r>
          </w:p>
        </w:tc>
        <w:tc>
          <w:tcPr>
            <w:tcW w:type="dxa" w:w="13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Courier New" w:cs="Courier New" w:eastAsia="Courier New" w:hAnsi="Courier New"/>
                <w:b w:val="false"/>
                <w:bCs w:val="false"/>
                <w:color w:val="1A1A2E"/>
                <w:sz w:val="20"/>
                <w:szCs w:val="20"/>
              </w:rPr>
              <w:t xml:space="preserve">float64</w:t>
            </w:r>
          </w:p>
        </w:tc>
        <w:tc>
          <w:tcPr>
            <w:tcW w:type="dxa" w:w="5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2E"/>
                <w:sz w:val="20"/>
                <w:szCs w:val="20"/>
              </w:rPr>
              <w:t xml:space="preserve">Densidad poblacional calculada (hab/km²)</w:t>
            </w:r>
          </w:p>
        </w:tc>
      </w:tr>
    </w:tbl>
    <w:p>
      <w:pPr>
        <w:spacing w:after="100"/>
      </w:pPr>
    </w:p>
    <w:p>
      <w:pPr>
        <w:pStyle w:val="Heading2"/>
        <w:spacing w:after="100" w:before="240"/>
      </w:pPr>
      <w:r>
        <w:rPr>
          <w:rFonts w:ascii="Arial" w:cs="Arial" w:eastAsia="Arial" w:hAnsi="Arial"/>
          <w:b/>
          <w:bCs/>
          <w:color w:val="2E75B6"/>
          <w:sz w:val="24"/>
          <w:szCs w:val="24"/>
        </w:rPr>
        <w:t xml:space="preserve">3.4 Carga</w:t>
      </w:r>
    </w:p>
    <w:p>
      <w:pPr>
        <w:spacing w:after="140" w:before="0"/>
        <w:jc w:val="both"/>
      </w:pPr>
      <w:r>
        <w:rPr>
          <w:rFonts w:ascii="Arial" w:cs="Arial" w:eastAsia="Arial" w:hAnsi="Arial"/>
          <w:color w:val="1A1A2E"/>
          <w:sz w:val="22"/>
          <w:szCs w:val="22"/>
        </w:rPr>
        <w:t xml:space="preserve">La función load() crea el directorio de salida si no existe, y exporta el DataFrame al archivo output/countries_data.csv con codificación UTF-8 con BOM (utf-8-sig), asegurando compatibilidad con Excel para caracteres especiales como tildes.</w:t>
      </w:r>
    </w:p>
    <w:p>
      <w:pPr>
        <w:pStyle w:val="Heading1"/>
        <w:pBdr>
          <w:bottom w:val="single" w:color="2E75B6" w:sz="8" w:space="4"/>
        </w:pBdr>
        <w:spacing w:after="160" w:before="320"/>
      </w:pPr>
      <w:r>
        <w:rPr>
          <w:rFonts w:ascii="Arial" w:cs="Arial" w:eastAsia="Arial" w:hAnsi="Arial"/>
          <w:b/>
          <w:bCs/>
          <w:color w:val="1F4E79"/>
          <w:sz w:val="28"/>
          <w:szCs w:val="28"/>
        </w:rPr>
        <w:t xml:space="preserve">4. Estado de Avance por Módulo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0C0C0" w:sz="1"/>
              <w:left w:val="single" w:color="C0C0C0" w:sz="1"/>
              <w:bottom w:val="single" w:color="C0C0C0" w:sz="1"/>
              <w:right w:val="single" w:color="C0C0C0"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Módulo</w:t>
            </w:r>
          </w:p>
        </w:tc>
        <w:tc>
          <w:tcPr>
            <w:tcW w:type="dxa" w:w="1600"/>
            <w:tcBorders>
              <w:top w:val="single" w:color="C0C0C0" w:sz="1"/>
              <w:left w:val="single" w:color="C0C0C0" w:sz="1"/>
              <w:bottom w:val="single" w:color="C0C0C0" w:sz="1"/>
              <w:right w:val="single" w:color="C0C0C0"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Estado</w:t>
            </w:r>
          </w:p>
        </w:tc>
        <w:tc>
          <w:tcPr>
            <w:tcW w:type="dxa" w:w="5560"/>
            <w:tcBorders>
              <w:top w:val="single" w:color="C0C0C0" w:sz="1"/>
              <w:left w:val="single" w:color="C0C0C0" w:sz="1"/>
              <w:bottom w:val="single" w:color="C0C0C0" w:sz="1"/>
              <w:right w:val="single" w:color="C0C0C0"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rPr>
          <w:tblHeader w:val="false"/>
        </w:trPr>
        <w:tc>
          <w:tcPr>
            <w:tcW w:type="dxa" w:w="2200"/>
            <w:tcBorders>
              <w:top w:val="single" w:color="C0C0C0" w:sz="1"/>
              <w:left w:val="single" w:color="C0C0C0" w:sz="1"/>
              <w:bottom w:val="single" w:color="C0C0C0" w:sz="1"/>
              <w:right w:val="single" w:color="C0C0C0"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F4E79"/>
                <w:sz w:val="20"/>
                <w:szCs w:val="20"/>
              </w:rPr>
              <w:t xml:space="preserve">Extracción (Extract)</w:t>
            </w:r>
          </w:p>
        </w:tc>
        <w:tc>
          <w:tcPr>
            <w:tcW w:type="dxa" w:w="160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 Completado</w:t>
            </w:r>
          </w:p>
        </w:tc>
        <w:tc>
          <w:tcPr>
            <w:tcW w:type="dxa" w:w="556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Conexión HTTP a API REST Countries con manejo de errores</w:t>
            </w:r>
          </w:p>
        </w:tc>
      </w:tr>
      <w:tr>
        <w:trPr>
          <w:tblHeader w:val="false"/>
        </w:trPr>
        <w:tc>
          <w:tcPr>
            <w:tcW w:type="dxa" w:w="2200"/>
            <w:tcBorders>
              <w:top w:val="single" w:color="C0C0C0" w:sz="1"/>
              <w:left w:val="single" w:color="C0C0C0" w:sz="1"/>
              <w:bottom w:val="single" w:color="C0C0C0" w:sz="1"/>
              <w:right w:val="single" w:color="C0C0C0"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F4E79"/>
                <w:sz w:val="20"/>
                <w:szCs w:val="20"/>
              </w:rPr>
              <w:t xml:space="preserve">Transformación (Transform)</w:t>
            </w:r>
          </w:p>
        </w:tc>
        <w:tc>
          <w:tcPr>
            <w:tcW w:type="dxa" w:w="160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 Completado</w:t>
            </w:r>
          </w:p>
        </w:tc>
        <w:tc>
          <w:tcPr>
            <w:tcW w:type="dxa" w:w="556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Limpieza, normalización, conversión de tipos y columna derivada</w:t>
            </w:r>
          </w:p>
        </w:tc>
      </w:tr>
      <w:tr>
        <w:trPr>
          <w:tblHeader w:val="false"/>
        </w:trPr>
        <w:tc>
          <w:tcPr>
            <w:tcW w:type="dxa" w:w="2200"/>
            <w:tcBorders>
              <w:top w:val="single" w:color="C0C0C0" w:sz="1"/>
              <w:left w:val="single" w:color="C0C0C0" w:sz="1"/>
              <w:bottom w:val="single" w:color="C0C0C0" w:sz="1"/>
              <w:right w:val="single" w:color="C0C0C0"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F4E79"/>
                <w:sz w:val="20"/>
                <w:szCs w:val="20"/>
              </w:rPr>
              <w:t xml:space="preserve">Carga (Load)</w:t>
            </w:r>
          </w:p>
        </w:tc>
        <w:tc>
          <w:tcPr>
            <w:tcW w:type="dxa" w:w="160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 Completado</w:t>
            </w:r>
          </w:p>
        </w:tc>
        <w:tc>
          <w:tcPr>
            <w:tcW w:type="dxa" w:w="556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Exportación a archivo CSV codificado en UTF-8</w:t>
            </w:r>
          </w:p>
        </w:tc>
      </w:tr>
      <w:tr>
        <w:trPr>
          <w:tblHeader w:val="false"/>
        </w:trPr>
        <w:tc>
          <w:tcPr>
            <w:tcW w:type="dxa" w:w="2200"/>
            <w:tcBorders>
              <w:top w:val="single" w:color="C0C0C0" w:sz="1"/>
              <w:left w:val="single" w:color="C0C0C0" w:sz="1"/>
              <w:bottom w:val="single" w:color="C0C0C0" w:sz="1"/>
              <w:right w:val="single" w:color="C0C0C0"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F4E79"/>
                <w:sz w:val="20"/>
                <w:szCs w:val="20"/>
              </w:rPr>
              <w:t xml:space="preserve">Logging</w:t>
            </w:r>
          </w:p>
        </w:tc>
        <w:tc>
          <w:tcPr>
            <w:tcW w:type="dxa" w:w="160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 Completado</w:t>
            </w:r>
          </w:p>
        </w:tc>
        <w:tc>
          <w:tcPr>
            <w:tcW w:type="dxa" w:w="556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Sistema de logs con timestamps en cada etapa</w:t>
            </w:r>
          </w:p>
        </w:tc>
      </w:tr>
      <w:tr>
        <w:trPr>
          <w:tblHeader w:val="false"/>
        </w:trPr>
        <w:tc>
          <w:tcPr>
            <w:tcW w:type="dxa" w:w="2200"/>
            <w:tcBorders>
              <w:top w:val="single" w:color="C0C0C0" w:sz="1"/>
              <w:left w:val="single" w:color="C0C0C0" w:sz="1"/>
              <w:bottom w:val="single" w:color="C0C0C0" w:sz="1"/>
              <w:right w:val="single" w:color="C0C0C0"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F4E79"/>
                <w:sz w:val="20"/>
                <w:szCs w:val="20"/>
              </w:rPr>
              <w:t xml:space="preserve">Modularización</w:t>
            </w:r>
          </w:p>
        </w:tc>
        <w:tc>
          <w:tcPr>
            <w:tcW w:type="dxa" w:w="160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 Completado</w:t>
            </w:r>
          </w:p>
        </w:tc>
        <w:tc>
          <w:tcPr>
            <w:tcW w:type="dxa" w:w="556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Funciones independientes por etapa ETL</w:t>
            </w:r>
          </w:p>
        </w:tc>
      </w:tr>
      <w:tr>
        <w:trPr>
          <w:tblHeader w:val="false"/>
        </w:trPr>
        <w:tc>
          <w:tcPr>
            <w:tcW w:type="dxa" w:w="2200"/>
            <w:tcBorders>
              <w:top w:val="single" w:color="C0C0C0" w:sz="1"/>
              <w:left w:val="single" w:color="C0C0C0" w:sz="1"/>
              <w:bottom w:val="single" w:color="C0C0C0" w:sz="1"/>
              <w:right w:val="single" w:color="C0C0C0"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F4E79"/>
                <w:sz w:val="20"/>
                <w:szCs w:val="20"/>
              </w:rPr>
              <w:t xml:space="preserve">Pruebas de integración</w:t>
            </w:r>
          </w:p>
        </w:tc>
        <w:tc>
          <w:tcPr>
            <w:tcW w:type="dxa" w:w="160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 En progreso</w:t>
            </w:r>
          </w:p>
        </w:tc>
        <w:tc>
          <w:tcPr>
            <w:tcW w:type="dxa" w:w="556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Validación con datos reales de la API en producción</w:t>
            </w:r>
          </w:p>
        </w:tc>
      </w:tr>
      <w:tr>
        <w:trPr>
          <w:tblHeader w:val="false"/>
        </w:trPr>
        <w:tc>
          <w:tcPr>
            <w:tcW w:type="dxa" w:w="2200"/>
            <w:tcBorders>
              <w:top w:val="single" w:color="C0C0C0" w:sz="1"/>
              <w:left w:val="single" w:color="C0C0C0" w:sz="1"/>
              <w:bottom w:val="single" w:color="C0C0C0" w:sz="1"/>
              <w:right w:val="single" w:color="C0C0C0"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color w:val="1F4E79"/>
                <w:sz w:val="20"/>
                <w:szCs w:val="20"/>
              </w:rPr>
              <w:t xml:space="preserve">Documentación</w:t>
            </w:r>
          </w:p>
        </w:tc>
        <w:tc>
          <w:tcPr>
            <w:tcW w:type="dxa" w:w="160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 En progreso</w:t>
            </w:r>
          </w:p>
        </w:tc>
        <w:tc>
          <w:tcPr>
            <w:tcW w:type="dxa" w:w="556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A1A2E"/>
                <w:sz w:val="20"/>
                <w:szCs w:val="20"/>
              </w:rPr>
              <w:t xml:space="preserve">Docstrings completos y README del proyecto</w:t>
            </w:r>
          </w:p>
        </w:tc>
      </w:tr>
    </w:tbl>
    <w:p>
      <w:pPr>
        <w:spacing w:after="80"/>
      </w:pPr>
    </w:p>
    <w:p>
      <w:pPr>
        <w:pStyle w:val="Heading1"/>
        <w:pBdr>
          <w:bottom w:val="single" w:color="2E75B6" w:sz="8" w:space="4"/>
        </w:pBdr>
        <w:spacing w:after="160" w:before="320"/>
      </w:pPr>
      <w:r>
        <w:rPr>
          <w:rFonts w:ascii="Arial" w:cs="Arial" w:eastAsia="Arial" w:hAnsi="Arial"/>
          <w:b/>
          <w:bCs/>
          <w:color w:val="1F4E79"/>
          <w:sz w:val="28"/>
          <w:szCs w:val="28"/>
        </w:rPr>
        <w:t xml:space="preserve">5. Resultados Verificados</w:t>
      </w:r>
    </w:p>
    <w:p>
      <w:pPr>
        <w:spacing w:after="140" w:before="0"/>
        <w:jc w:val="both"/>
      </w:pPr>
      <w:r>
        <w:rPr>
          <w:rFonts w:ascii="Arial" w:cs="Arial" w:eastAsia="Arial" w:hAnsi="Arial"/>
          <w:color w:val="1A1A2E"/>
          <w:sz w:val="22"/>
          <w:szCs w:val="22"/>
        </w:rPr>
        <w:t xml:space="preserve">Las etapas de transformación y carga fueron validadas con un conjunto de datos de prueba que reproduce la estructura exacta de la API. A continuación se muestra una muestra del output generado:</w:t>
      </w:r>
    </w:p>
    <w:p>
      <w:pPr>
        <w:spacing w:after="80"/>
      </w:pPr>
    </w:p>
    <w:p>
      <w:pPr>
        <w:shd w:fill="1E1E2E" w:val="clear"/>
        <w:spacing w:after="40" w:before="40"/>
        <w:ind w:left="360"/>
      </w:pPr>
      <w:r>
        <w:rPr>
          <w:rFonts w:ascii="Courier New" w:cs="Courier New" w:eastAsia="Courier New" w:hAnsi="Courier New"/>
          <w:color w:val="A6E3A1"/>
          <w:sz w:val="18"/>
          <w:szCs w:val="18"/>
        </w:rPr>
        <w:t xml:space="preserve">  nombre_comun    region    poblacion   area_km2  densidad_hab_km2</w:t>
      </w:r>
    </w:p>
    <w:p>
      <w:pPr>
        <w:shd w:fill="1E1E2E" w:val="clear"/>
        <w:spacing w:after="40" w:before="40"/>
        <w:ind w:left="360"/>
      </w:pPr>
      <w:r>
        <w:rPr>
          <w:rFonts w:ascii="Courier New" w:cs="Courier New" w:eastAsia="Courier New" w:hAnsi="Courier New"/>
          <w:color w:val="A6E3A1"/>
          <w:sz w:val="18"/>
          <w:szCs w:val="18"/>
        </w:rPr>
        <w:t xml:space="preserve">  Brazil          Americas  212559417   8515767   24.96</w:t>
      </w:r>
    </w:p>
    <w:p>
      <w:pPr>
        <w:shd w:fill="1E1E2E" w:val="clear"/>
        <w:spacing w:after="40" w:before="40"/>
        <w:ind w:left="360"/>
      </w:pPr>
      <w:r>
        <w:rPr>
          <w:rFonts w:ascii="Courier New" w:cs="Courier New" w:eastAsia="Courier New" w:hAnsi="Courier New"/>
          <w:color w:val="A6E3A1"/>
          <w:sz w:val="18"/>
          <w:szCs w:val="18"/>
        </w:rPr>
        <w:t xml:space="preserve">  Germany         Europe     83240525    357114  233.09</w:t>
      </w:r>
    </w:p>
    <w:p>
      <w:pPr>
        <w:shd w:fill="1E1E2E" w:val="clear"/>
        <w:spacing w:after="40" w:before="40"/>
        <w:ind w:left="360"/>
      </w:pPr>
      <w:r>
        <w:rPr>
          <w:rFonts w:ascii="Courier New" w:cs="Courier New" w:eastAsia="Courier New" w:hAnsi="Courier New"/>
          <w:color w:val="A6E3A1"/>
          <w:sz w:val="18"/>
          <w:szCs w:val="18"/>
        </w:rPr>
        <w:t xml:space="preserve">  Colombia        Americas   51874024   1141748   45.43</w:t>
      </w:r>
    </w:p>
    <w:p>
      <w:pPr>
        <w:shd w:fill="1E1E2E" w:val="clear"/>
        <w:spacing w:after="40" w:before="40"/>
        <w:ind w:left="360"/>
      </w:pPr>
      <w:r>
        <w:rPr>
          <w:rFonts w:ascii="Courier New" w:cs="Courier New" w:eastAsia="Courier New" w:hAnsi="Courier New"/>
          <w:color w:val="A6E3A1"/>
          <w:sz w:val="18"/>
          <w:szCs w:val="18"/>
        </w:rPr>
        <w:t xml:space="preserve">  Bolivia         Americas   11673021   1098581   10.63</w:t>
      </w:r>
    </w:p>
    <w:p>
      <w:pPr>
        <w:spacing w:after="140"/>
      </w:pPr>
    </w:p>
    <w:p>
      <w:pPr>
        <w:spacing w:after="140" w:before="0"/>
        <w:jc w:val="both"/>
      </w:pPr>
      <w:r>
        <w:rPr>
          <w:rFonts w:ascii="Arial" w:cs="Arial" w:eastAsia="Arial" w:hAnsi="Arial"/>
          <w:color w:val="1A1A2E"/>
          <w:sz w:val="22"/>
          <w:szCs w:val="22"/>
        </w:rPr>
        <w:t xml:space="preserve">El sistema de logging emite mensajes en cada etapa con nivel INFO, y captura errores de conexión con nivel ERROR, asegurando trazabilidad completa de la ejecución.</w:t>
      </w:r>
    </w:p>
    <w:p>
      <w:pPr>
        <w:pStyle w:val="Heading1"/>
        <w:pBdr>
          <w:bottom w:val="single" w:color="2E75B6" w:sz="8" w:space="4"/>
        </w:pBdr>
        <w:spacing w:after="160" w:before="320"/>
      </w:pPr>
      <w:r>
        <w:rPr>
          <w:rFonts w:ascii="Arial" w:cs="Arial" w:eastAsia="Arial" w:hAnsi="Arial"/>
          <w:b/>
          <w:bCs/>
          <w:color w:val="1F4E79"/>
          <w:sz w:val="28"/>
          <w:szCs w:val="28"/>
        </w:rPr>
        <w:t xml:space="preserve">6. Próximos Pasos</w:t>
      </w:r>
    </w:p>
    <w:p>
      <w:pPr>
        <w:pStyle w:val="ListParagraph"/>
        <w:numPr>
          <w:ilvl w:val="0"/>
          <w:numId w:val="2"/>
        </w:numPr>
        <w:spacing w:after="80"/>
      </w:pPr>
      <w:r>
        <w:rPr>
          <w:rFonts w:ascii="Arial" w:cs="Arial" w:eastAsia="Arial" w:hAnsi="Arial"/>
          <w:color w:val="1A1A2E"/>
          <w:sz w:val="22"/>
          <w:szCs w:val="22"/>
        </w:rPr>
        <w:t xml:space="preserve">Ejecutar el pipeline con datos reales de la API en entorno de producción</w:t>
      </w:r>
    </w:p>
    <w:p>
      <w:pPr>
        <w:pStyle w:val="ListParagraph"/>
        <w:numPr>
          <w:ilvl w:val="0"/>
          <w:numId w:val="2"/>
        </w:numPr>
        <w:spacing w:after="80"/>
      </w:pPr>
      <w:r>
        <w:rPr>
          <w:rFonts w:ascii="Arial" w:cs="Arial" w:eastAsia="Arial" w:hAnsi="Arial"/>
          <w:color w:val="1A1A2E"/>
          <w:sz w:val="22"/>
          <w:szCs w:val="22"/>
        </w:rPr>
        <w:t xml:space="preserve">Completar los docstrings y generar documentación con pdoc3</w:t>
      </w:r>
    </w:p>
    <w:p>
      <w:pPr>
        <w:pStyle w:val="ListParagraph"/>
        <w:numPr>
          <w:ilvl w:val="0"/>
          <w:numId w:val="2"/>
        </w:numPr>
        <w:spacing w:after="80"/>
      </w:pPr>
      <w:r>
        <w:rPr>
          <w:rFonts w:ascii="Arial" w:cs="Arial" w:eastAsia="Arial" w:hAnsi="Arial"/>
          <w:color w:val="1A1A2E"/>
          <w:sz w:val="22"/>
          <w:szCs w:val="22"/>
        </w:rPr>
        <w:t xml:space="preserve">Agregar pruebas unitarias con pytest para cada función (extract, transform, load)</w:t>
      </w:r>
    </w:p>
    <w:p>
      <w:pPr>
        <w:pStyle w:val="ListParagraph"/>
        <w:numPr>
          <w:ilvl w:val="0"/>
          <w:numId w:val="2"/>
        </w:numPr>
        <w:spacing w:after="80"/>
      </w:pPr>
      <w:r>
        <w:rPr>
          <w:rFonts w:ascii="Arial" w:cs="Arial" w:eastAsia="Arial" w:hAnsi="Arial"/>
          <w:color w:val="1A1A2E"/>
          <w:sz w:val="22"/>
          <w:szCs w:val="22"/>
        </w:rPr>
        <w:t xml:space="preserve">Implementar el README.md del repositorio con instrucciones de ejecución</w:t>
      </w:r>
    </w:p>
    <w:p>
      <w:pPr>
        <w:pStyle w:val="ListParagraph"/>
        <w:numPr>
          <w:ilvl w:val="0"/>
          <w:numId w:val="2"/>
        </w:numPr>
        <w:spacing w:after="80"/>
      </w:pPr>
      <w:r>
        <w:rPr>
          <w:rFonts w:ascii="Arial" w:cs="Arial" w:eastAsia="Arial" w:hAnsi="Arial"/>
          <w:color w:val="1A1A2E"/>
          <w:sz w:val="22"/>
          <w:szCs w:val="22"/>
        </w:rPr>
        <w:t xml:space="preserve">Exploración de análisis estadístico básico sobre el dataset generado</w:t>
      </w:r>
    </w:p>
    <w:p>
      <w:pPr>
        <w:spacing w:after="160"/>
      </w:pPr>
    </w:p>
    <w:p>
      <w:pPr>
        <w:pStyle w:val="Heading1"/>
        <w:pBdr>
          <w:bottom w:val="single" w:color="2E75B6" w:sz="8" w:space="4"/>
        </w:pBdr>
        <w:spacing w:after="160" w:before="320"/>
      </w:pPr>
      <w:r>
        <w:rPr>
          <w:rFonts w:ascii="Arial" w:cs="Arial" w:eastAsia="Arial" w:hAnsi="Arial"/>
          <w:b/>
          <w:bCs/>
          <w:color w:val="1F4E79"/>
          <w:sz w:val="28"/>
          <w:szCs w:val="28"/>
        </w:rPr>
        <w:t xml:space="preserve">7. Conclusiones</w:t>
      </w:r>
    </w:p>
    <w:p>
      <w:pPr>
        <w:spacing w:after="140" w:before="0"/>
        <w:jc w:val="both"/>
      </w:pPr>
      <w:r>
        <w:rPr>
          <w:rFonts w:ascii="Arial" w:cs="Arial" w:eastAsia="Arial" w:hAnsi="Arial"/>
          <w:color w:val="1A1A2E"/>
          <w:sz w:val="22"/>
          <w:szCs w:val="22"/>
        </w:rPr>
        <w:t xml:space="preserve">Se ha logrado implementar el núcleo funcional del pipeline ETL dentro del plazo establecido. El diseño modular facilita el mantenimiento y la extensión futura del sistema. La separación de responsabilidades entre las funciones extract(), transform() y load() respeta las buenas prácticas de programación, y el uso del módulo logging permite monitorear cada etapa de forma clara y estructurada.</w:t>
      </w:r>
    </w:p>
    <w:p>
      <w:pPr>
        <w:spacing w:after="140" w:before="0"/>
        <w:jc w:val="both"/>
      </w:pPr>
      <w:r>
        <w:rPr>
          <w:rFonts w:ascii="Arial" w:cs="Arial" w:eastAsia="Arial" w:hAnsi="Arial"/>
          <w:color w:val="1A1A2E"/>
          <w:sz w:val="22"/>
          <w:szCs w:val="22"/>
        </w:rPr>
        <w:t xml:space="preserve">El equipo considera que el proyecto se encuentra en buen estado de avance, con el componente más crítico —la lógica de transformación de datos con Pandas— completamente operativo y validado con datos de prueba representativos.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0"/>
    </w:pPr>
    <w:r>
      <w:rPr>
        <w:rFonts w:ascii="Arial" w:cs="Arial" w:eastAsia="Arial" w:hAnsi="Arial"/>
        <w:color w:val="888888"/>
        <w:sz w:val="18"/>
        <w:szCs w:val="18"/>
      </w:rPr>
      <w:t xml:space="preserve">Hernández · Niño · Vesga</w:t>
    </w:r>
    <w:r>
      <w:rPr>
        <w:rFonts w:ascii="Arial" w:cs="Arial" w:eastAsia="Arial" w:hAnsi="Arial"/>
        <w:color w:val="888888"/>
        <w:sz w:val="18"/>
        <w:szCs w:val="18"/>
      </w:rPr>
      <w:t xml:space="preserve">	Página </w:t>
    </w:r>
    <w:r>
      <w:rPr>
        <w:rFonts w:ascii="Arial" w:cs="Arial" w:eastAsia="Arial" w:hAnsi="Arial"/>
        <w:color w:val="888888"/>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spacing w:after="0"/>
    </w:pPr>
    <w:r>
      <w:rPr>
        <w:rFonts w:ascii="Arial" w:cs="Arial" w:eastAsia="Arial" w:hAnsi="Arial"/>
        <w:color w:val="888888"/>
        <w:sz w:val="18"/>
        <w:szCs w:val="18"/>
      </w:rPr>
      <w:t xml:space="preserve">Informe de Avance — Pipeline ETL en Python</w:t>
    </w:r>
    <w:r>
      <w:rPr>
        <w:rFonts w:ascii="Arial" w:cs="Arial" w:eastAsia="Arial" w:hAnsi="Arial"/>
        <w:color w:val="AAAAAA"/>
        <w:sz w:val="18"/>
        <w:szCs w:val="18"/>
      </w:rPr>
      <w:t xml:space="preserve">   |   Programación II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2026-05-01T00:02:40.238Z</dcterms:created>
  <dcterms:modified xsi:type="dcterms:W3CDTF">2026-05-01T00:02:40.240Z</dcterms:modified>
</cp:coreProperties>
</file>

<file path=docProps/custom.xml><?xml version="1.0" encoding="utf-8"?>
<Properties xmlns="http://schemas.openxmlformats.org/officeDocument/2006/custom-properties" xmlns:vt="http://schemas.openxmlformats.org/officeDocument/2006/docPropsVTypes"/>
</file>