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B2545"/>
          <w:sz w:val="36"/>
        </w:rPr>
        <w:t>Global Earthquake Activity Analysis and Strong-Event Classification</w:t>
      </w:r>
    </w:p>
    <w:p>
      <w:pPr>
        <w:jc w:val="center"/>
      </w:pPr>
      <w:r>
        <w:rPr>
          <w:i/>
          <w:color w:val="555555"/>
          <w:sz w:val="22"/>
        </w:rPr>
        <w:t>A reproducible data visualization and machine learning study using USGS earthquake records</w:t>
      </w:r>
    </w:p>
    <w:p>
      <w:pPr>
        <w:jc w:val="center"/>
      </w:pPr>
      <w:r>
        <w:rPr>
          <w:b/>
        </w:rPr>
        <w:t>Author: Edward Osikem Okhumaile</w:t>
      </w:r>
      <w:r>
        <w:t xml:space="preserve"> | GitHub: Edy-King | Prepared manuscript version: July 2026</w:t>
      </w:r>
    </w:p>
    <w:p/>
    <w:p>
      <w:pPr>
        <w:pStyle w:val="Heading1"/>
      </w:pPr>
      <w:r>
        <w:t>Abstract</w:t>
      </w:r>
    </w:p>
    <w:p>
      <w:r>
        <w:t>Background: Public earthquake feeds provide near-real-time global event records that are well suited for reproducible data analysis, geospatial visualization, and supervised learning. Objective: This study explored recent global earthquake activity and evaluated whether reported event properties could classify stronger events, defined as magnitude 4.5 or above. Methods: I downloaded the USGS all-earthquakes monthly GeoJSON feed and converted it to a structured CSV snapshot. After cleaning, 10,464 earthquake records were used for modelling. Feature engineering included temporal variables, location features, depth transformations, hemisphere/quadrant labels, and compact event metadata. Raw magnitude and USGS significance were excluded from modelling to avoid target leakage. Results: Logistic Regression achieved the highest ROC-AUC (0.986), with accuracy 0.952, precision 0.550, recall 0.994, and F1-score 0.708. Conclusion: A simple linear classifier with careful preprocessing performed strongly for identifying already reported stronger earthquake events. The practical value of the workflow is its leakage-control design: by excluding raw magnitude and derived significance, the study demonstrates how honest feature design can reveal when an interpretable model is sufficient.</w:t>
      </w:r>
    </w:p>
    <w:p>
      <w:r>
        <w:rPr>
          <w:b/>
        </w:rPr>
        <w:t xml:space="preserve">Keywords: </w:t>
      </w:r>
      <w:r>
        <w:t>earthquakes; USGS; geospatial analysis; classification; data visualization; machine learning</w:t>
      </w:r>
    </w:p>
    <w:p>
      <w:pPr>
        <w:pStyle w:val="Heading1"/>
      </w:pPr>
      <w:r>
        <w:t>1. Introduction</w:t>
      </w:r>
    </w:p>
    <w:p>
      <w:r>
        <w:t>Earthquake monitoring generates structured public data that can be used for transparent data science projects. The United States Geological Survey publishes regularly updated earthquake feeds containing event magnitude, depth, coordinates, reporting networks, and event metadata. This project uses those records to build a portfolio-quality analysis that combines visual exploration with supervised classification.</w:t>
      </w:r>
    </w:p>
    <w:p>
      <w:r>
        <w:t>The central modelling question is whether event characteristics available after reporting can classify stronger events. This is intentionally different from forecasting future earthquakes. The model classifies reported events from their recorded attributes.</w:t>
      </w:r>
    </w:p>
    <w:p>
      <w:r>
        <w:t>The practical aim is to show data science professionals how to build a credible modelling workflow around public event data without allowing the answer to leak into the features. This is especially important in geospatial and scientific datasets, where derived fields can quietly encode the target and make a model appear stronger than it really is.</w:t>
      </w:r>
    </w:p>
    <w:p>
      <w:pPr>
        <w:pStyle w:val="Heading1"/>
      </w:pPr>
      <w:r>
        <w:t>2. Data and Methods</w:t>
      </w:r>
    </w:p>
    <w:p>
      <w:r>
        <w:t>The dataset was downloaded from the USGS Earthquake Hazards Program all-month GeoJSON feed on 5 July 2026. The feed contained 10,699 records before filtering and 10,464 earthquake records after cleaning.</w:t>
      </w:r>
    </w:p>
    <w:p>
      <w:pPr>
        <w:spacing w:before="120" w:after="80"/>
      </w:pPr>
      <w:r>
        <w:rPr>
          <w:b/>
        </w:rPr>
        <w:t>Table 1. Dataset and modelling design summary.</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shd w:fill="F2F4F7"/>
            <w:vAlign w:val="center"/>
            <w:tcMar>
              <w:top w:w="80" w:type="dxa"/>
              <w:start w:w="120" w:type="dxa"/>
              <w:bottom w:w="80" w:type="dxa"/>
              <w:end w:w="120" w:type="dxa"/>
            </w:tcMar>
          </w:tcPr>
          <w:p>
            <w:pPr>
              <w:jc w:val="center"/>
            </w:pPr>
            <w:r>
              <w:rPr>
                <w:b/>
              </w:rPr>
              <w:t>Item</w:t>
            </w:r>
          </w:p>
        </w:tc>
        <w:tc>
          <w:tcPr>
            <w:tcW w:type="dxa" w:w="6768"/>
            <w:shd w:fill="F2F4F7"/>
            <w:vAlign w:val="center"/>
            <w:tcMar>
              <w:top w:w="80" w:type="dxa"/>
              <w:start w:w="120" w:type="dxa"/>
              <w:bottom w:w="80" w:type="dxa"/>
              <w:end w:w="120" w:type="dxa"/>
            </w:tcMar>
          </w:tcPr>
          <w:p>
            <w:pPr>
              <w:jc w:val="center"/>
            </w:pPr>
            <w:r>
              <w:rPr>
                <w:b/>
              </w:rPr>
              <w:t>Specification</w:t>
            </w:r>
          </w:p>
        </w:tc>
      </w:tr>
      <w:tr>
        <w:tc>
          <w:tcPr>
            <w:tcW w:type="dxa" w:w="2592"/>
            <w:vAlign w:val="center"/>
            <w:tcMar>
              <w:top w:w="80" w:type="dxa"/>
              <w:start w:w="120" w:type="dxa"/>
              <w:bottom w:w="80" w:type="dxa"/>
              <w:end w:w="120" w:type="dxa"/>
            </w:tcMar>
          </w:tcPr>
          <w:p>
            <w:r>
              <w:t>Source</w:t>
            </w:r>
          </w:p>
        </w:tc>
        <w:tc>
          <w:tcPr>
            <w:tcW w:type="dxa" w:w="6768"/>
            <w:vAlign w:val="center"/>
            <w:tcMar>
              <w:top w:w="80" w:type="dxa"/>
              <w:start w:w="120" w:type="dxa"/>
              <w:bottom w:w="80" w:type="dxa"/>
              <w:end w:w="120" w:type="dxa"/>
            </w:tcMar>
          </w:tcPr>
          <w:p>
            <w:pPr>
              <w:jc w:val="center"/>
            </w:pPr>
            <w:r>
              <w:t>USGS all earthquakes, past month GeoJSON feed</w:t>
            </w:r>
          </w:p>
        </w:tc>
      </w:tr>
      <w:tr>
        <w:tc>
          <w:tcPr>
            <w:tcW w:type="dxa" w:w="2592"/>
            <w:vAlign w:val="center"/>
            <w:tcMar>
              <w:top w:w="80" w:type="dxa"/>
              <w:start w:w="120" w:type="dxa"/>
              <w:bottom w:w="80" w:type="dxa"/>
              <w:end w:w="120" w:type="dxa"/>
            </w:tcMar>
          </w:tcPr>
          <w:p>
            <w:r>
              <w:t>Downloaded records</w:t>
            </w:r>
          </w:p>
        </w:tc>
        <w:tc>
          <w:tcPr>
            <w:tcW w:type="dxa" w:w="6768"/>
            <w:vAlign w:val="center"/>
            <w:tcMar>
              <w:top w:w="80" w:type="dxa"/>
              <w:start w:w="120" w:type="dxa"/>
              <w:bottom w:w="80" w:type="dxa"/>
              <w:end w:w="120" w:type="dxa"/>
            </w:tcMar>
          </w:tcPr>
          <w:p>
            <w:pPr>
              <w:jc w:val="center"/>
            </w:pPr>
            <w:r>
              <w:t>10,699</w:t>
            </w:r>
          </w:p>
        </w:tc>
      </w:tr>
      <w:tr>
        <w:tc>
          <w:tcPr>
            <w:tcW w:type="dxa" w:w="2592"/>
            <w:vAlign w:val="center"/>
            <w:tcMar>
              <w:top w:w="80" w:type="dxa"/>
              <w:start w:w="120" w:type="dxa"/>
              <w:bottom w:w="80" w:type="dxa"/>
              <w:end w:w="120" w:type="dxa"/>
            </w:tcMar>
          </w:tcPr>
          <w:p>
            <w:r>
              <w:t>Records used after cleaning</w:t>
            </w:r>
          </w:p>
        </w:tc>
        <w:tc>
          <w:tcPr>
            <w:tcW w:type="dxa" w:w="6768"/>
            <w:vAlign w:val="center"/>
            <w:tcMar>
              <w:top w:w="80" w:type="dxa"/>
              <w:start w:w="120" w:type="dxa"/>
              <w:bottom w:w="80" w:type="dxa"/>
              <w:end w:w="120" w:type="dxa"/>
            </w:tcMar>
          </w:tcPr>
          <w:p>
            <w:pPr>
              <w:jc w:val="center"/>
            </w:pPr>
            <w:r>
              <w:t>10,464</w:t>
            </w:r>
          </w:p>
        </w:tc>
      </w:tr>
      <w:tr>
        <w:tc>
          <w:tcPr>
            <w:tcW w:type="dxa" w:w="2592"/>
            <w:vAlign w:val="center"/>
            <w:tcMar>
              <w:top w:w="80" w:type="dxa"/>
              <w:start w:w="120" w:type="dxa"/>
              <w:bottom w:w="80" w:type="dxa"/>
              <w:end w:w="120" w:type="dxa"/>
            </w:tcMar>
          </w:tcPr>
          <w:p>
            <w:r>
              <w:t>Target</w:t>
            </w:r>
          </w:p>
        </w:tc>
        <w:tc>
          <w:tcPr>
            <w:tcW w:type="dxa" w:w="6768"/>
            <w:vAlign w:val="center"/>
            <w:tcMar>
              <w:top w:w="80" w:type="dxa"/>
              <w:start w:w="120" w:type="dxa"/>
              <w:bottom w:w="80" w:type="dxa"/>
              <w:end w:w="120" w:type="dxa"/>
            </w:tcMar>
          </w:tcPr>
          <w:p>
            <w:pPr>
              <w:jc w:val="center"/>
            </w:pPr>
            <w:r>
              <w:t>is_strong_event, defined as magnitude &gt;= 4.5</w:t>
            </w:r>
          </w:p>
        </w:tc>
      </w:tr>
      <w:tr>
        <w:tc>
          <w:tcPr>
            <w:tcW w:type="dxa" w:w="2592"/>
            <w:vAlign w:val="center"/>
            <w:tcMar>
              <w:top w:w="80" w:type="dxa"/>
              <w:start w:w="120" w:type="dxa"/>
              <w:bottom w:w="80" w:type="dxa"/>
              <w:end w:w="120" w:type="dxa"/>
            </w:tcMar>
          </w:tcPr>
          <w:p>
            <w:r>
              <w:t>Leakage controls</w:t>
            </w:r>
          </w:p>
        </w:tc>
        <w:tc>
          <w:tcPr>
            <w:tcW w:type="dxa" w:w="6768"/>
            <w:vAlign w:val="center"/>
            <w:tcMar>
              <w:top w:w="80" w:type="dxa"/>
              <w:start w:w="120" w:type="dxa"/>
              <w:bottom w:w="80" w:type="dxa"/>
              <w:end w:w="120" w:type="dxa"/>
            </w:tcMar>
          </w:tcPr>
          <w:p>
            <w:pPr>
              <w:jc w:val="center"/>
            </w:pPr>
            <w:r>
              <w:t>Raw magnitude and USGS significance excluded from model features</w:t>
            </w:r>
          </w:p>
        </w:tc>
      </w:tr>
      <w:tr>
        <w:tc>
          <w:tcPr>
            <w:tcW w:type="dxa" w:w="2592"/>
            <w:vAlign w:val="center"/>
            <w:tcMar>
              <w:top w:w="80" w:type="dxa"/>
              <w:start w:w="120" w:type="dxa"/>
              <w:bottom w:w="80" w:type="dxa"/>
              <w:end w:w="120" w:type="dxa"/>
            </w:tcMar>
          </w:tcPr>
          <w:p>
            <w:r>
              <w:t>Split</w:t>
            </w:r>
          </w:p>
        </w:tc>
        <w:tc>
          <w:tcPr>
            <w:tcW w:type="dxa" w:w="6768"/>
            <w:vAlign w:val="center"/>
            <w:tcMar>
              <w:top w:w="80" w:type="dxa"/>
              <w:start w:w="120" w:type="dxa"/>
              <w:bottom w:w="80" w:type="dxa"/>
              <w:end w:w="120" w:type="dxa"/>
            </w:tcMar>
          </w:tcPr>
          <w:p>
            <w:pPr>
              <w:jc w:val="center"/>
            </w:pPr>
            <w:r>
              <w:t>75% train, 25% test, stratified by target</w:t>
            </w:r>
          </w:p>
        </w:tc>
      </w:tr>
      <w:tr>
        <w:tc>
          <w:tcPr>
            <w:tcW w:type="dxa" w:w="2592"/>
            <w:vAlign w:val="center"/>
            <w:tcMar>
              <w:top w:w="80" w:type="dxa"/>
              <w:start w:w="120" w:type="dxa"/>
              <w:bottom w:w="80" w:type="dxa"/>
              <w:end w:w="120" w:type="dxa"/>
            </w:tcMar>
          </w:tcPr>
          <w:p>
            <w:r>
              <w:t>Primary ranking metric</w:t>
            </w:r>
          </w:p>
        </w:tc>
        <w:tc>
          <w:tcPr>
            <w:tcW w:type="dxa" w:w="6768"/>
            <w:vAlign w:val="center"/>
            <w:tcMar>
              <w:top w:w="80" w:type="dxa"/>
              <w:start w:w="120" w:type="dxa"/>
              <w:bottom w:w="80" w:type="dxa"/>
              <w:end w:w="120" w:type="dxa"/>
            </w:tcMar>
          </w:tcPr>
          <w:p>
            <w:pPr>
              <w:jc w:val="center"/>
            </w:pPr>
            <w:r>
              <w:t>ROC-AUC</w:t>
            </w:r>
          </w:p>
        </w:tc>
      </w:tr>
    </w:tbl>
    <w:p/>
    <w:p>
      <w:r>
        <w:t>The analysis created temporal features (hour, weekday, day of month), spatial features (latitude, longitude, absolute latitude, hemisphere, east/west hemisphere, and broad quadrant), and transformed depth using log1p. Categorical variables were imputed and one-hot encoded; numeric variables were median-imputed and standardized.</w:t>
      </w:r>
    </w:p>
    <w:p>
      <w:r>
        <w:t>Four model families were compared: Logistic Regression, Random Forest, Extra Trees, and Hist Gradient Boosting. The best baseline model was tuned using randomized search with stratified cross-validation.</w:t>
      </w:r>
    </w:p>
    <w:p>
      <w:r>
        <w:br w:type="page"/>
      </w:r>
    </w:p>
    <w:p>
      <w:pPr>
        <w:pStyle w:val="Heading1"/>
      </w:pPr>
      <w:r>
        <w:t>3. Results</w:t>
      </w:r>
    </w:p>
    <w:p>
      <w:pPr>
        <w:spacing w:before="120" w:after="80"/>
      </w:pPr>
      <w:r>
        <w:rPr>
          <w:b/>
        </w:rPr>
        <w:t>Table 2. Baseline model comparison on held-out test data.</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376"/>
            <w:shd w:fill="F2F4F7"/>
            <w:vAlign w:val="center"/>
            <w:tcMar>
              <w:top w:w="80" w:type="dxa"/>
              <w:start w:w="120" w:type="dxa"/>
              <w:bottom w:w="80" w:type="dxa"/>
              <w:end w:w="120" w:type="dxa"/>
            </w:tcMar>
          </w:tcPr>
          <w:p>
            <w:pPr>
              <w:jc w:val="center"/>
            </w:pPr>
            <w:r>
              <w:rPr>
                <w:b/>
              </w:rPr>
              <w:t>Model</w:t>
            </w:r>
          </w:p>
        </w:tc>
        <w:tc>
          <w:tcPr>
            <w:tcW w:type="dxa" w:w="1296"/>
            <w:shd w:fill="F2F4F7"/>
            <w:vAlign w:val="center"/>
            <w:tcMar>
              <w:top w:w="80" w:type="dxa"/>
              <w:start w:w="120" w:type="dxa"/>
              <w:bottom w:w="80" w:type="dxa"/>
              <w:end w:w="120" w:type="dxa"/>
            </w:tcMar>
          </w:tcPr>
          <w:p>
            <w:pPr>
              <w:jc w:val="center"/>
            </w:pPr>
            <w:r>
              <w:rPr>
                <w:b/>
              </w:rPr>
              <w:t>Accuracy</w:t>
            </w:r>
          </w:p>
        </w:tc>
        <w:tc>
          <w:tcPr>
            <w:tcW w:type="dxa" w:w="1368"/>
            <w:shd w:fill="F2F4F7"/>
            <w:vAlign w:val="center"/>
            <w:tcMar>
              <w:top w:w="80" w:type="dxa"/>
              <w:start w:w="120" w:type="dxa"/>
              <w:bottom w:w="80" w:type="dxa"/>
              <w:end w:w="120" w:type="dxa"/>
            </w:tcMar>
          </w:tcPr>
          <w:p>
            <w:pPr>
              <w:jc w:val="center"/>
            </w:pPr>
            <w:r>
              <w:rPr>
                <w:b/>
              </w:rPr>
              <w:t>Precision</w:t>
            </w:r>
          </w:p>
        </w:tc>
        <w:tc>
          <w:tcPr>
            <w:tcW w:type="dxa" w:w="1368"/>
            <w:shd w:fill="F2F4F7"/>
            <w:vAlign w:val="center"/>
            <w:tcMar>
              <w:top w:w="80" w:type="dxa"/>
              <w:start w:w="120" w:type="dxa"/>
              <w:bottom w:w="80" w:type="dxa"/>
              <w:end w:w="120" w:type="dxa"/>
            </w:tcMar>
          </w:tcPr>
          <w:p>
            <w:pPr>
              <w:jc w:val="center"/>
            </w:pPr>
            <w:r>
              <w:rPr>
                <w:b/>
              </w:rPr>
              <w:t>Recall</w:t>
            </w:r>
          </w:p>
        </w:tc>
        <w:tc>
          <w:tcPr>
            <w:tcW w:type="dxa" w:w="1296"/>
            <w:shd w:fill="F2F4F7"/>
            <w:vAlign w:val="center"/>
            <w:tcMar>
              <w:top w:w="80" w:type="dxa"/>
              <w:start w:w="120" w:type="dxa"/>
              <w:bottom w:w="80" w:type="dxa"/>
              <w:end w:w="120" w:type="dxa"/>
            </w:tcMar>
          </w:tcPr>
          <w:p>
            <w:pPr>
              <w:jc w:val="center"/>
            </w:pPr>
            <w:r>
              <w:rPr>
                <w:b/>
              </w:rPr>
              <w:t>F1</w:t>
            </w:r>
          </w:p>
        </w:tc>
        <w:tc>
          <w:tcPr>
            <w:tcW w:type="dxa" w:w="1368"/>
            <w:shd w:fill="F2F4F7"/>
            <w:vAlign w:val="center"/>
            <w:tcMar>
              <w:top w:w="80" w:type="dxa"/>
              <w:start w:w="120" w:type="dxa"/>
              <w:bottom w:w="80" w:type="dxa"/>
              <w:end w:w="120" w:type="dxa"/>
            </w:tcMar>
          </w:tcPr>
          <w:p>
            <w:pPr>
              <w:jc w:val="center"/>
            </w:pPr>
            <w:r>
              <w:rPr>
                <w:b/>
              </w:rPr>
              <w:t>ROC-AUC</w:t>
            </w:r>
          </w:p>
        </w:tc>
      </w:tr>
      <w:tr>
        <w:tc>
          <w:tcPr>
            <w:tcW w:type="dxa" w:w="2376"/>
            <w:vAlign w:val="center"/>
            <w:tcMar>
              <w:top w:w="80" w:type="dxa"/>
              <w:start w:w="120" w:type="dxa"/>
              <w:bottom w:w="80" w:type="dxa"/>
              <w:end w:w="120" w:type="dxa"/>
            </w:tcMar>
          </w:tcPr>
          <w:p>
            <w:r>
              <w:t>Logistic Regression</w:t>
            </w:r>
          </w:p>
        </w:tc>
        <w:tc>
          <w:tcPr>
            <w:tcW w:type="dxa" w:w="1296"/>
            <w:vAlign w:val="center"/>
            <w:tcMar>
              <w:top w:w="80" w:type="dxa"/>
              <w:start w:w="120" w:type="dxa"/>
              <w:bottom w:w="80" w:type="dxa"/>
              <w:end w:w="120" w:type="dxa"/>
            </w:tcMar>
          </w:tcPr>
          <w:p>
            <w:pPr>
              <w:jc w:val="center"/>
            </w:pPr>
            <w:r>
              <w:t>0.952</w:t>
            </w:r>
          </w:p>
        </w:tc>
        <w:tc>
          <w:tcPr>
            <w:tcW w:type="dxa" w:w="1368"/>
            <w:vAlign w:val="center"/>
            <w:tcMar>
              <w:top w:w="80" w:type="dxa"/>
              <w:start w:w="120" w:type="dxa"/>
              <w:bottom w:w="80" w:type="dxa"/>
              <w:end w:w="120" w:type="dxa"/>
            </w:tcMar>
          </w:tcPr>
          <w:p>
            <w:pPr>
              <w:jc w:val="center"/>
            </w:pPr>
            <w:r>
              <w:t>0.550</w:t>
            </w:r>
          </w:p>
        </w:tc>
        <w:tc>
          <w:tcPr>
            <w:tcW w:type="dxa" w:w="1368"/>
            <w:vAlign w:val="center"/>
            <w:tcMar>
              <w:top w:w="80" w:type="dxa"/>
              <w:start w:w="120" w:type="dxa"/>
              <w:bottom w:w="80" w:type="dxa"/>
              <w:end w:w="120" w:type="dxa"/>
            </w:tcMar>
          </w:tcPr>
          <w:p>
            <w:pPr>
              <w:jc w:val="center"/>
            </w:pPr>
            <w:r>
              <w:t>0.994</w:t>
            </w:r>
          </w:p>
        </w:tc>
        <w:tc>
          <w:tcPr>
            <w:tcW w:type="dxa" w:w="1296"/>
            <w:vAlign w:val="center"/>
            <w:tcMar>
              <w:top w:w="80" w:type="dxa"/>
              <w:start w:w="120" w:type="dxa"/>
              <w:bottom w:w="80" w:type="dxa"/>
              <w:end w:w="120" w:type="dxa"/>
            </w:tcMar>
          </w:tcPr>
          <w:p>
            <w:pPr>
              <w:jc w:val="center"/>
            </w:pPr>
            <w:r>
              <w:t>0.708</w:t>
            </w:r>
          </w:p>
        </w:tc>
        <w:tc>
          <w:tcPr>
            <w:tcW w:type="dxa" w:w="1368"/>
            <w:vAlign w:val="center"/>
            <w:tcMar>
              <w:top w:w="80" w:type="dxa"/>
              <w:start w:w="120" w:type="dxa"/>
              <w:bottom w:w="80" w:type="dxa"/>
              <w:end w:w="120" w:type="dxa"/>
            </w:tcMar>
          </w:tcPr>
          <w:p>
            <w:pPr>
              <w:jc w:val="center"/>
            </w:pPr>
            <w:r>
              <w:t>0.986</w:t>
            </w:r>
          </w:p>
        </w:tc>
      </w:tr>
      <w:tr>
        <w:tc>
          <w:tcPr>
            <w:tcW w:type="dxa" w:w="2376"/>
            <w:vAlign w:val="center"/>
            <w:tcMar>
              <w:top w:w="80" w:type="dxa"/>
              <w:start w:w="120" w:type="dxa"/>
              <w:bottom w:w="80" w:type="dxa"/>
              <w:end w:w="120" w:type="dxa"/>
            </w:tcMar>
          </w:tcPr>
          <w:p>
            <w:r>
              <w:t>Extra Trees</w:t>
            </w:r>
          </w:p>
        </w:tc>
        <w:tc>
          <w:tcPr>
            <w:tcW w:type="dxa" w:w="1296"/>
            <w:vAlign w:val="center"/>
            <w:tcMar>
              <w:top w:w="80" w:type="dxa"/>
              <w:start w:w="120" w:type="dxa"/>
              <w:bottom w:w="80" w:type="dxa"/>
              <w:end w:w="120" w:type="dxa"/>
            </w:tcMar>
          </w:tcPr>
          <w:p>
            <w:pPr>
              <w:jc w:val="center"/>
            </w:pPr>
            <w:r>
              <w:t>0.962</w:t>
            </w:r>
          </w:p>
        </w:tc>
        <w:tc>
          <w:tcPr>
            <w:tcW w:type="dxa" w:w="1368"/>
            <w:vAlign w:val="center"/>
            <w:tcMar>
              <w:top w:w="80" w:type="dxa"/>
              <w:start w:w="120" w:type="dxa"/>
              <w:bottom w:w="80" w:type="dxa"/>
              <w:end w:w="120" w:type="dxa"/>
            </w:tcMar>
          </w:tcPr>
          <w:p>
            <w:pPr>
              <w:jc w:val="center"/>
            </w:pPr>
            <w:r>
              <w:t>0.634</w:t>
            </w:r>
          </w:p>
        </w:tc>
        <w:tc>
          <w:tcPr>
            <w:tcW w:type="dxa" w:w="1368"/>
            <w:vAlign w:val="center"/>
            <w:tcMar>
              <w:top w:w="80" w:type="dxa"/>
              <w:start w:w="120" w:type="dxa"/>
              <w:bottom w:w="80" w:type="dxa"/>
              <w:end w:w="120" w:type="dxa"/>
            </w:tcMar>
          </w:tcPr>
          <w:p>
            <w:pPr>
              <w:jc w:val="center"/>
            </w:pPr>
            <w:r>
              <w:t>0.831</w:t>
            </w:r>
          </w:p>
        </w:tc>
        <w:tc>
          <w:tcPr>
            <w:tcW w:type="dxa" w:w="1296"/>
            <w:vAlign w:val="center"/>
            <w:tcMar>
              <w:top w:w="80" w:type="dxa"/>
              <w:start w:w="120" w:type="dxa"/>
              <w:bottom w:w="80" w:type="dxa"/>
              <w:end w:w="120" w:type="dxa"/>
            </w:tcMar>
          </w:tcPr>
          <w:p>
            <w:pPr>
              <w:jc w:val="center"/>
            </w:pPr>
            <w:r>
              <w:t>0.719</w:t>
            </w:r>
          </w:p>
        </w:tc>
        <w:tc>
          <w:tcPr>
            <w:tcW w:type="dxa" w:w="1368"/>
            <w:vAlign w:val="center"/>
            <w:tcMar>
              <w:top w:w="80" w:type="dxa"/>
              <w:start w:w="120" w:type="dxa"/>
              <w:bottom w:w="80" w:type="dxa"/>
              <w:end w:w="120" w:type="dxa"/>
            </w:tcMar>
          </w:tcPr>
          <w:p>
            <w:pPr>
              <w:jc w:val="center"/>
            </w:pPr>
            <w:r>
              <w:t>0.983</w:t>
            </w:r>
          </w:p>
        </w:tc>
      </w:tr>
      <w:tr>
        <w:tc>
          <w:tcPr>
            <w:tcW w:type="dxa" w:w="2376"/>
            <w:vAlign w:val="center"/>
            <w:tcMar>
              <w:top w:w="80" w:type="dxa"/>
              <w:start w:w="120" w:type="dxa"/>
              <w:bottom w:w="80" w:type="dxa"/>
              <w:end w:w="120" w:type="dxa"/>
            </w:tcMar>
          </w:tcPr>
          <w:p>
            <w:r>
              <w:t>Random Forest</w:t>
            </w:r>
          </w:p>
        </w:tc>
        <w:tc>
          <w:tcPr>
            <w:tcW w:type="dxa" w:w="1296"/>
            <w:vAlign w:val="center"/>
            <w:tcMar>
              <w:top w:w="80" w:type="dxa"/>
              <w:start w:w="120" w:type="dxa"/>
              <w:bottom w:w="80" w:type="dxa"/>
              <w:end w:w="120" w:type="dxa"/>
            </w:tcMar>
          </w:tcPr>
          <w:p>
            <w:pPr>
              <w:jc w:val="center"/>
            </w:pPr>
            <w:r>
              <w:t>0.962</w:t>
            </w:r>
          </w:p>
        </w:tc>
        <w:tc>
          <w:tcPr>
            <w:tcW w:type="dxa" w:w="1368"/>
            <w:vAlign w:val="center"/>
            <w:tcMar>
              <w:top w:w="80" w:type="dxa"/>
              <w:start w:w="120" w:type="dxa"/>
              <w:bottom w:w="80" w:type="dxa"/>
              <w:end w:w="120" w:type="dxa"/>
            </w:tcMar>
          </w:tcPr>
          <w:p>
            <w:pPr>
              <w:jc w:val="center"/>
            </w:pPr>
            <w:r>
              <w:t>0.631</w:t>
            </w:r>
          </w:p>
        </w:tc>
        <w:tc>
          <w:tcPr>
            <w:tcW w:type="dxa" w:w="1368"/>
            <w:vAlign w:val="center"/>
            <w:tcMar>
              <w:top w:w="80" w:type="dxa"/>
              <w:start w:w="120" w:type="dxa"/>
              <w:bottom w:w="80" w:type="dxa"/>
              <w:end w:w="120" w:type="dxa"/>
            </w:tcMar>
          </w:tcPr>
          <w:p>
            <w:pPr>
              <w:jc w:val="center"/>
            </w:pPr>
            <w:r>
              <w:t>0.844</w:t>
            </w:r>
          </w:p>
        </w:tc>
        <w:tc>
          <w:tcPr>
            <w:tcW w:type="dxa" w:w="1296"/>
            <w:vAlign w:val="center"/>
            <w:tcMar>
              <w:top w:w="80" w:type="dxa"/>
              <w:start w:w="120" w:type="dxa"/>
              <w:bottom w:w="80" w:type="dxa"/>
              <w:end w:w="120" w:type="dxa"/>
            </w:tcMar>
          </w:tcPr>
          <w:p>
            <w:pPr>
              <w:jc w:val="center"/>
            </w:pPr>
            <w:r>
              <w:t>0.722</w:t>
            </w:r>
          </w:p>
        </w:tc>
        <w:tc>
          <w:tcPr>
            <w:tcW w:type="dxa" w:w="1368"/>
            <w:vAlign w:val="center"/>
            <w:tcMar>
              <w:top w:w="80" w:type="dxa"/>
              <w:start w:w="120" w:type="dxa"/>
              <w:bottom w:w="80" w:type="dxa"/>
              <w:end w:w="120" w:type="dxa"/>
            </w:tcMar>
          </w:tcPr>
          <w:p>
            <w:pPr>
              <w:jc w:val="center"/>
            </w:pPr>
            <w:r>
              <w:t>0.982</w:t>
            </w:r>
          </w:p>
        </w:tc>
      </w:tr>
      <w:tr>
        <w:tc>
          <w:tcPr>
            <w:tcW w:type="dxa" w:w="2376"/>
            <w:vAlign w:val="center"/>
            <w:tcMar>
              <w:top w:w="80" w:type="dxa"/>
              <w:start w:w="120" w:type="dxa"/>
              <w:bottom w:w="80" w:type="dxa"/>
              <w:end w:w="120" w:type="dxa"/>
            </w:tcMar>
          </w:tcPr>
          <w:p>
            <w:r>
              <w:t>Hist Gradient Boosting</w:t>
            </w:r>
          </w:p>
        </w:tc>
        <w:tc>
          <w:tcPr>
            <w:tcW w:type="dxa" w:w="1296"/>
            <w:vAlign w:val="center"/>
            <w:tcMar>
              <w:top w:w="80" w:type="dxa"/>
              <w:start w:w="120" w:type="dxa"/>
              <w:bottom w:w="80" w:type="dxa"/>
              <w:end w:w="120" w:type="dxa"/>
            </w:tcMar>
          </w:tcPr>
          <w:p>
            <w:pPr>
              <w:jc w:val="center"/>
            </w:pPr>
            <w:r>
              <w:t>0.963</w:t>
            </w:r>
          </w:p>
        </w:tc>
        <w:tc>
          <w:tcPr>
            <w:tcW w:type="dxa" w:w="1368"/>
            <w:vAlign w:val="center"/>
            <w:tcMar>
              <w:top w:w="80" w:type="dxa"/>
              <w:start w:w="120" w:type="dxa"/>
              <w:bottom w:w="80" w:type="dxa"/>
              <w:end w:w="120" w:type="dxa"/>
            </w:tcMar>
          </w:tcPr>
          <w:p>
            <w:pPr>
              <w:jc w:val="center"/>
            </w:pPr>
            <w:r>
              <w:t>0.699</w:t>
            </w:r>
          </w:p>
        </w:tc>
        <w:tc>
          <w:tcPr>
            <w:tcW w:type="dxa" w:w="1368"/>
            <w:vAlign w:val="center"/>
            <w:tcMar>
              <w:top w:w="80" w:type="dxa"/>
              <w:start w:w="120" w:type="dxa"/>
              <w:bottom w:w="80" w:type="dxa"/>
              <w:end w:w="120" w:type="dxa"/>
            </w:tcMar>
          </w:tcPr>
          <w:p>
            <w:pPr>
              <w:jc w:val="center"/>
            </w:pPr>
            <w:r>
              <w:t>0.662</w:t>
            </w:r>
          </w:p>
        </w:tc>
        <w:tc>
          <w:tcPr>
            <w:tcW w:type="dxa" w:w="1296"/>
            <w:vAlign w:val="center"/>
            <w:tcMar>
              <w:top w:w="80" w:type="dxa"/>
              <w:start w:w="120" w:type="dxa"/>
              <w:bottom w:w="80" w:type="dxa"/>
              <w:end w:w="120" w:type="dxa"/>
            </w:tcMar>
          </w:tcPr>
          <w:p>
            <w:pPr>
              <w:jc w:val="center"/>
            </w:pPr>
            <w:r>
              <w:t>0.680</w:t>
            </w:r>
          </w:p>
        </w:tc>
        <w:tc>
          <w:tcPr>
            <w:tcW w:type="dxa" w:w="1368"/>
            <w:vAlign w:val="center"/>
            <w:tcMar>
              <w:top w:w="80" w:type="dxa"/>
              <w:start w:w="120" w:type="dxa"/>
              <w:bottom w:w="80" w:type="dxa"/>
              <w:end w:w="120" w:type="dxa"/>
            </w:tcMar>
          </w:tcPr>
          <w:p>
            <w:pPr>
              <w:jc w:val="center"/>
            </w:pPr>
            <w:r>
              <w:t>0.981</w:t>
            </w:r>
          </w:p>
        </w:tc>
      </w:tr>
    </w:tbl>
    <w:p/>
    <w:p>
      <w:pPr>
        <w:spacing w:before="120" w:after="80"/>
      </w:pPr>
      <w:r>
        <w:rPr>
          <w:b/>
        </w:rPr>
        <w:t>Table 3. Final tuned model result.</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088"/>
            <w:shd w:fill="F2F4F7"/>
            <w:vAlign w:val="center"/>
            <w:tcMar>
              <w:top w:w="80" w:type="dxa"/>
              <w:start w:w="120" w:type="dxa"/>
              <w:bottom w:w="80" w:type="dxa"/>
              <w:end w:w="120" w:type="dxa"/>
            </w:tcMar>
          </w:tcPr>
          <w:p>
            <w:pPr>
              <w:jc w:val="center"/>
            </w:pPr>
            <w:r>
              <w:rPr>
                <w:b/>
              </w:rPr>
              <w:t>Model</w:t>
            </w:r>
          </w:p>
        </w:tc>
        <w:tc>
          <w:tcPr>
            <w:tcW w:type="dxa" w:w="1728"/>
            <w:shd w:fill="F2F4F7"/>
            <w:vAlign w:val="center"/>
            <w:tcMar>
              <w:top w:w="80" w:type="dxa"/>
              <w:start w:w="120" w:type="dxa"/>
              <w:bottom w:w="80" w:type="dxa"/>
              <w:end w:w="120" w:type="dxa"/>
            </w:tcMar>
          </w:tcPr>
          <w:p>
            <w:pPr>
              <w:jc w:val="center"/>
            </w:pPr>
            <w:r>
              <w:rPr>
                <w:b/>
              </w:rPr>
              <w:t>Best parameter</w:t>
            </w:r>
          </w:p>
        </w:tc>
        <w:tc>
          <w:tcPr>
            <w:tcW w:type="dxa" w:w="1080"/>
            <w:shd w:fill="F2F4F7"/>
            <w:vAlign w:val="center"/>
            <w:tcMar>
              <w:top w:w="80" w:type="dxa"/>
              <w:start w:w="120" w:type="dxa"/>
              <w:bottom w:w="80" w:type="dxa"/>
              <w:end w:w="120" w:type="dxa"/>
            </w:tcMar>
          </w:tcPr>
          <w:p>
            <w:pPr>
              <w:jc w:val="center"/>
            </w:pPr>
            <w:r>
              <w:rPr>
                <w:b/>
              </w:rPr>
              <w:t>Accuracy</w:t>
            </w:r>
          </w:p>
        </w:tc>
        <w:tc>
          <w:tcPr>
            <w:tcW w:type="dxa" w:w="1224"/>
            <w:shd w:fill="F2F4F7"/>
            <w:vAlign w:val="center"/>
            <w:tcMar>
              <w:top w:w="80" w:type="dxa"/>
              <w:start w:w="120" w:type="dxa"/>
              <w:bottom w:w="80" w:type="dxa"/>
              <w:end w:w="120" w:type="dxa"/>
            </w:tcMar>
          </w:tcPr>
          <w:p>
            <w:pPr>
              <w:jc w:val="center"/>
            </w:pPr>
            <w:r>
              <w:rPr>
                <w:b/>
              </w:rPr>
              <w:t>Precision</w:t>
            </w:r>
          </w:p>
        </w:tc>
        <w:tc>
          <w:tcPr>
            <w:tcW w:type="dxa" w:w="1080"/>
            <w:shd w:fill="F2F4F7"/>
            <w:vAlign w:val="center"/>
            <w:tcMar>
              <w:top w:w="80" w:type="dxa"/>
              <w:start w:w="120" w:type="dxa"/>
              <w:bottom w:w="80" w:type="dxa"/>
              <w:end w:w="120" w:type="dxa"/>
            </w:tcMar>
          </w:tcPr>
          <w:p>
            <w:pPr>
              <w:jc w:val="center"/>
            </w:pPr>
            <w:r>
              <w:rPr>
                <w:b/>
              </w:rPr>
              <w:t>Recall</w:t>
            </w:r>
          </w:p>
        </w:tc>
        <w:tc>
          <w:tcPr>
            <w:tcW w:type="dxa" w:w="1080"/>
            <w:shd w:fill="F2F4F7"/>
            <w:vAlign w:val="center"/>
            <w:tcMar>
              <w:top w:w="80" w:type="dxa"/>
              <w:start w:w="120" w:type="dxa"/>
              <w:bottom w:w="80" w:type="dxa"/>
              <w:end w:w="120" w:type="dxa"/>
            </w:tcMar>
          </w:tcPr>
          <w:p>
            <w:pPr>
              <w:jc w:val="center"/>
            </w:pPr>
            <w:r>
              <w:rPr>
                <w:b/>
              </w:rPr>
              <w:t>F1</w:t>
            </w:r>
          </w:p>
        </w:tc>
        <w:tc>
          <w:tcPr>
            <w:tcW w:type="dxa" w:w="1080"/>
            <w:shd w:fill="F2F4F7"/>
            <w:vAlign w:val="center"/>
            <w:tcMar>
              <w:top w:w="80" w:type="dxa"/>
              <w:start w:w="120" w:type="dxa"/>
              <w:bottom w:w="80" w:type="dxa"/>
              <w:end w:w="120" w:type="dxa"/>
            </w:tcMar>
          </w:tcPr>
          <w:p>
            <w:pPr>
              <w:jc w:val="center"/>
            </w:pPr>
            <w:r>
              <w:rPr>
                <w:b/>
              </w:rPr>
              <w:t>ROC-AUC</w:t>
            </w:r>
          </w:p>
        </w:tc>
      </w:tr>
      <w:tr>
        <w:tc>
          <w:tcPr>
            <w:tcW w:type="dxa" w:w="2088"/>
            <w:vAlign w:val="center"/>
            <w:tcMar>
              <w:top w:w="80" w:type="dxa"/>
              <w:start w:w="120" w:type="dxa"/>
              <w:bottom w:w="80" w:type="dxa"/>
              <w:end w:w="120" w:type="dxa"/>
            </w:tcMar>
          </w:tcPr>
          <w:p>
            <w:r>
              <w:t>Logistic Regression</w:t>
            </w:r>
          </w:p>
        </w:tc>
        <w:tc>
          <w:tcPr>
            <w:tcW w:type="dxa" w:w="1728"/>
            <w:vAlign w:val="center"/>
            <w:tcMar>
              <w:top w:w="80" w:type="dxa"/>
              <w:start w:w="120" w:type="dxa"/>
              <w:bottom w:w="80" w:type="dxa"/>
              <w:end w:w="120" w:type="dxa"/>
            </w:tcMar>
          </w:tcPr>
          <w:p>
            <w:pPr>
              <w:jc w:val="center"/>
            </w:pPr>
            <w:r>
              <w:t>C = 1.0</w:t>
            </w:r>
          </w:p>
        </w:tc>
        <w:tc>
          <w:tcPr>
            <w:tcW w:type="dxa" w:w="1080"/>
            <w:vAlign w:val="center"/>
            <w:tcMar>
              <w:top w:w="80" w:type="dxa"/>
              <w:start w:w="120" w:type="dxa"/>
              <w:bottom w:w="80" w:type="dxa"/>
              <w:end w:w="120" w:type="dxa"/>
            </w:tcMar>
          </w:tcPr>
          <w:p>
            <w:pPr>
              <w:jc w:val="center"/>
            </w:pPr>
            <w:r>
              <w:t>0.952</w:t>
            </w:r>
          </w:p>
        </w:tc>
        <w:tc>
          <w:tcPr>
            <w:tcW w:type="dxa" w:w="1224"/>
            <w:vAlign w:val="center"/>
            <w:tcMar>
              <w:top w:w="80" w:type="dxa"/>
              <w:start w:w="120" w:type="dxa"/>
              <w:bottom w:w="80" w:type="dxa"/>
              <w:end w:w="120" w:type="dxa"/>
            </w:tcMar>
          </w:tcPr>
          <w:p>
            <w:pPr>
              <w:jc w:val="center"/>
            </w:pPr>
            <w:r>
              <w:t>0.550</w:t>
            </w:r>
          </w:p>
        </w:tc>
        <w:tc>
          <w:tcPr>
            <w:tcW w:type="dxa" w:w="1080"/>
            <w:vAlign w:val="center"/>
            <w:tcMar>
              <w:top w:w="80" w:type="dxa"/>
              <w:start w:w="120" w:type="dxa"/>
              <w:bottom w:w="80" w:type="dxa"/>
              <w:end w:w="120" w:type="dxa"/>
            </w:tcMar>
          </w:tcPr>
          <w:p>
            <w:pPr>
              <w:jc w:val="center"/>
            </w:pPr>
            <w:r>
              <w:t>0.994</w:t>
            </w:r>
          </w:p>
        </w:tc>
        <w:tc>
          <w:tcPr>
            <w:tcW w:type="dxa" w:w="1080"/>
            <w:vAlign w:val="center"/>
            <w:tcMar>
              <w:top w:w="80" w:type="dxa"/>
              <w:start w:w="120" w:type="dxa"/>
              <w:bottom w:w="80" w:type="dxa"/>
              <w:end w:w="120" w:type="dxa"/>
            </w:tcMar>
          </w:tcPr>
          <w:p>
            <w:pPr>
              <w:jc w:val="center"/>
            </w:pPr>
            <w:r>
              <w:t>0.708</w:t>
            </w:r>
          </w:p>
        </w:tc>
        <w:tc>
          <w:tcPr>
            <w:tcW w:type="dxa" w:w="1080"/>
            <w:vAlign w:val="center"/>
            <w:tcMar>
              <w:top w:w="80" w:type="dxa"/>
              <w:start w:w="120" w:type="dxa"/>
              <w:bottom w:w="80" w:type="dxa"/>
              <w:end w:w="120" w:type="dxa"/>
            </w:tcMar>
          </w:tcPr>
          <w:p>
            <w:pPr>
              <w:jc w:val="center"/>
            </w:pPr>
            <w:r>
              <w:t>0.986</w:t>
            </w:r>
          </w:p>
        </w:tc>
      </w:tr>
    </w:tbl>
    <w:p/>
    <w:p>
      <w:r>
        <w:t>The final confusion matrix was [[2337, 125], [1, 153]]. The model missed only one stronger event in the held-out test set, producing very high recall. The cost was lower precision, meaning the model also flagged some lower-magnitude events as stronger events.</w:t>
      </w:r>
    </w:p>
    <w:p>
      <w:pPr>
        <w:pStyle w:val="Heading1"/>
      </w:pPr>
      <w:r>
        <w:t>4. Discussion</w:t>
      </w:r>
    </w:p>
    <w:p>
      <w:r>
        <w:t>The best model was Logistic Regression, which suggests that the engineered feature space separated stronger reported events in a mostly linear way after preprocessing. The high ROC-AUC indicates strong ranking ability, while the precision-recall pattern shows a model that favors sensitivity to stronger events. In risk-oriented screening contexts, high recall can be useful, although it must be balanced against false positives.</w:t>
      </w:r>
    </w:p>
    <w:p>
      <w:r>
        <w:t>A key methodological choice was to exclude raw magnitude and USGS significance from the model. Because the target was defined using magnitude, including magnitude would make the task trivial. USGS significance is also partly derived from magnitude, so excluding it avoids a misleadingly perfect model.</w:t>
      </w:r>
    </w:p>
    <w:p>
      <w:r>
        <w:t>The main professional lesson is that leakage control is not a minor preprocessing detail; it defines whether the modelling exercise is meaningful. By removing magnitude and a magnitude-derived significance score, the workflow forces the model to learn from secondary event characteristics rather than from the target definition itself. This creates a more honest benchmark and gives practitioners a reusable checklist for similar projects: identify target-derived fields, exclude or isolate them before modelling, and explain the trade-off between realism and performance.</w:t>
      </w:r>
    </w:p>
    <w:p>
      <w:r>
        <w:t>Logistic Regression outperforming more complex models is also practically important. It suggests that, after scaling and one-hot encoding, the engineered event features were sufficiently separable for a linear decision boundary. For data science teams, this result is a reminder to keep simple, interpretable baselines in the comparison set; when they perform as well as or better than ensembles, they can reduce deployment complexity, improve explainability, and make model review easier.</w:t>
      </w:r>
    </w:p>
    <w:p>
      <w:pPr>
        <w:pStyle w:val="Heading1"/>
      </w:pPr>
      <w:r>
        <w:t>5. Limitations</w:t>
      </w:r>
    </w:p>
    <w:p>
      <w:pPr>
        <w:pStyle w:val="ListBullet"/>
      </w:pPr>
      <w:r>
        <w:t>This is a classification study of already reported earthquake events, not a forecasting model.</w:t>
      </w:r>
    </w:p>
    <w:p>
      <w:pPr>
        <w:pStyle w:val="ListBullet"/>
      </w:pPr>
      <w:r>
        <w:t>The dataset is a one-month snapshot; results may shift as the USGS feed changes over time.</w:t>
      </w:r>
    </w:p>
    <w:p>
      <w:pPr>
        <w:pStyle w:val="ListBullet"/>
      </w:pPr>
      <w:r>
        <w:t>The model does not include plate boundary data, fault-line proximity, soil conditions, or seismological sensor waveforms.</w:t>
      </w:r>
    </w:p>
    <w:p>
      <w:pPr>
        <w:pStyle w:val="ListBullet"/>
      </w:pPr>
      <w:r>
        <w:t>The strong-event threshold of magnitude 4.5 is practical but somewhat arbitrary and should be adjusted for other research questions.</w:t>
      </w:r>
    </w:p>
    <w:p>
      <w:pPr>
        <w:pStyle w:val="Heading1"/>
      </w:pPr>
      <w:r>
        <w:t>6. Reproducibility and Availability</w:t>
      </w:r>
    </w:p>
    <w:p>
      <w:r>
        <w:t>Repository: https://github.com/Edy-King/global-earthquake-activity-analysis</w:t>
      </w:r>
    </w:p>
    <w:p>
      <w:r>
        <w:t>Dataset source: https://earthquake.usgs.gov/earthquakes/feed/v1.0/summary/all_month.geojson</w:t>
      </w:r>
    </w:p>
    <w:p>
      <w:r>
        <w:t>Saved model artifact: models/best_earthquake_strength_model.joblib</w:t>
      </w:r>
    </w:p>
    <w:p>
      <w:pPr>
        <w:pStyle w:val="Heading1"/>
      </w:pPr>
      <w:r>
        <w:t>Declarations</w:t>
      </w:r>
    </w:p>
    <w:p>
      <w:r>
        <w:t>Data availability: The earthquake event data are publicly available from the USGS Earthquake Hazards Program. The repository includes a downloaded snapshot, generated analysis outputs, and the saved model artifact.</w:t>
      </w:r>
    </w:p>
    <w:p>
      <w:r>
        <w:t>Ethics statement: This study used public geophysical event records and did not involve human participants, animal subjects, or private personal data.</w:t>
      </w:r>
    </w:p>
    <w:p>
      <w:r>
        <w:t>Competing interests: The author declares no competing interests.</w:t>
      </w:r>
    </w:p>
    <w:p>
      <w:r>
        <w:t>Funding: No external funding was received for this work.</w:t>
      </w:r>
    </w:p>
    <w:p>
      <w:r>
        <w:t>Author contributions: Edward Osikem Okhumaile designed the analysis workflow, processed the USGS data, produced the visual analysis, evaluated the models, interpreted the results, and prepared the manuscript.</w:t>
      </w:r>
    </w:p>
    <w:p>
      <w:pPr>
        <w:pStyle w:val="Heading1"/>
      </w:pPr>
      <w:r>
        <w:t>References</w:t>
      </w:r>
    </w:p>
    <w:p>
      <w:pPr>
        <w:ind w:left="360" w:hanging="360"/>
      </w:pPr>
      <w:r>
        <w:rPr>
          <w:b/>
        </w:rPr>
        <w:t xml:space="preserve">1. </w:t>
      </w:r>
      <w:r>
        <w:t>United States Geological Survey. Earthquake Hazards Program: all earthquakes, past month GeoJSON feed. https://earthquake.usgs.gov/earthquakes/feed/v1.0/summary/all_month.geojson</w:t>
      </w:r>
    </w:p>
    <w:p>
      <w:pPr>
        <w:ind w:left="360" w:hanging="360"/>
      </w:pPr>
      <w:r>
        <w:rPr>
          <w:b/>
        </w:rPr>
        <w:t xml:space="preserve">2. </w:t>
      </w:r>
      <w:r>
        <w:t>Pedregosa, F. et al. Scikit-learn: Machine Learning in Python. Journal of Machine Learning Research, 2011.</w:t>
      </w:r>
    </w:p>
    <w:p>
      <w:pPr>
        <w:ind w:left="360" w:hanging="360"/>
      </w:pPr>
      <w:r>
        <w:rPr>
          <w:b/>
        </w:rPr>
        <w:t xml:space="preserve">3. </w:t>
      </w:r>
      <w:r>
        <w:t>Breiman, L. Random Forests. Machine Learning, 2001.</w:t>
      </w:r>
    </w:p>
    <w:p>
      <w:pPr>
        <w:ind w:left="360" w:hanging="360"/>
      </w:pPr>
      <w:r>
        <w:rPr>
          <w:b/>
        </w:rPr>
        <w:t xml:space="preserve">4. </w:t>
      </w:r>
      <w:r>
        <w:t>Geurts, P., Ernst, D., and Wehenkel, L. Extremely randomized trees. Machine Learning, 2006.</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