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Leakage-Aware</w:t>
      </w:r>
      <w:r>
        <w:t xml:space="preserve"> </w:t>
      </w:r>
      <w:r>
        <w:t xml:space="preserve">Classification</w:t>
      </w:r>
      <w:r>
        <w:t xml:space="preserve"> </w:t>
      </w:r>
      <w:r>
        <w:t xml:space="preserve">of</w:t>
      </w:r>
      <w:r>
        <w:t xml:space="preserve"> </w:t>
      </w:r>
      <w:r>
        <w:t xml:space="preserve">Strong</w:t>
      </w:r>
      <w:r>
        <w:t xml:space="preserve"> </w:t>
      </w:r>
      <w:r>
        <w:t xml:space="preserve">Earthquake</w:t>
      </w:r>
      <w:r>
        <w:t xml:space="preserve"> </w:t>
      </w:r>
      <w:r>
        <w:t xml:space="preserve">Events</w:t>
      </w:r>
      <w:r>
        <w:t xml:space="preserve"> </w:t>
      </w:r>
      <w:r>
        <w:t xml:space="preserve">Using</w:t>
      </w:r>
      <w:r>
        <w:t xml:space="preserve"> </w:t>
      </w:r>
      <w:r>
        <w:t xml:space="preserve">Global</w:t>
      </w:r>
      <w:r>
        <w:t xml:space="preserve"> </w:t>
      </w:r>
      <w:r>
        <w:t xml:space="preserve">USGS</w:t>
      </w:r>
      <w:r>
        <w:t xml:space="preserve"> </w:t>
      </w:r>
      <w:r>
        <w:t xml:space="preserve">Records</w:t>
      </w:r>
    </w:p>
    <w:p>
      <w:pPr>
        <w:pStyle w:val="Subtitle"/>
      </w:pPr>
      <w:r>
        <w:t xml:space="preserve">A</w:t>
      </w:r>
      <w:r>
        <w:t xml:space="preserve"> </w:t>
      </w:r>
      <w:r>
        <w:t xml:space="preserve">reproducible</w:t>
      </w:r>
      <w:r>
        <w:t xml:space="preserve"> </w:t>
      </w:r>
      <w:r>
        <w:t xml:space="preserve">machine-learning</w:t>
      </w:r>
      <w:r>
        <w:t xml:space="preserve"> </w:t>
      </w:r>
      <w:r>
        <w:t xml:space="preserve">study</w:t>
      </w:r>
      <w:r>
        <w:t xml:space="preserve"> </w:t>
      </w:r>
      <w:r>
        <w:t xml:space="preserve">of</w:t>
      </w:r>
      <w:r>
        <w:t xml:space="preserve"> </w:t>
      </w:r>
      <w:r>
        <w:t xml:space="preserve">post-event</w:t>
      </w:r>
      <w:r>
        <w:t xml:space="preserve"> </w:t>
      </w:r>
      <w:r>
        <w:t xml:space="preserve">classification</w:t>
      </w:r>
    </w:p>
    <w:p>
      <w:pPr>
        <w:pStyle w:val="Author"/>
      </w:pPr>
      <w:r>
        <w:t xml:space="preserve">Edward</w:t>
      </w:r>
      <w:r>
        <w:t xml:space="preserve"> </w:t>
      </w:r>
      <w:r>
        <w:t xml:space="preserve">Osikem</w:t>
      </w:r>
      <w:r>
        <w:t xml:space="preserve"> </w:t>
      </w:r>
      <w:r>
        <w:t xml:space="preserve">Okhumaile</w:t>
      </w:r>
    </w:p>
    <w:p>
      <w:pPr/>
      <w:r>
        <w:t>ORCID: 0009-0003-9909-5969</w:t>
      </w:r>
    </w:p>
    <w:p>
      <w:pPr>
        <w:pStyle w:val="Date"/>
      </w:pPr>
      <w:r>
        <w:t xml:space="preserve">July</w:t>
      </w:r>
      <w:r>
        <w:t xml:space="preserve"> </w:t>
      </w:r>
      <w:r>
        <w:t xml:space="preserve">2026</w:t>
      </w:r>
    </w:p>
    <w:p>
      <w:pPr>
        <w:pStyle w:val="FirstParagraph"/>
      </w:pPr>
      <w:r>
        <w:rPr>
          <w:bCs/>
          <w:b/>
        </w:rPr>
        <w:t xml:space="preserve">Scope note.</w:t>
      </w:r>
      <w:r>
        <w:t xml:space="preserve"> </w:t>
      </w:r>
      <w:r>
        <w:t xml:space="preserve">This study classifies already reported earthquake events. It does not forecast the timing, location, or magnitude of future earthquakes.</w:t>
      </w:r>
    </w:p>
    <w:bookmarkStart w:id="20" w:name="abstract"/>
    <w:p>
      <w:pPr>
        <w:pStyle w:val="Heading1"/>
      </w:pPr>
      <w:r>
        <w:t xml:space="preserve">Abstract</w:t>
      </w:r>
    </w:p>
    <w:p>
      <w:pPr>
        <w:pStyle w:val="FirstParagraph"/>
      </w:pPr>
      <w:r>
        <w:rPr>
          <w:bCs/>
          <w:b/>
        </w:rPr>
        <w:t xml:space="preserve">Background:</w:t>
      </w:r>
      <w:r>
        <w:t xml:space="preserve"> </w:t>
      </w:r>
      <w:r>
        <w:t xml:space="preserve">Public earthquake feeds enable reproducible geospatial analysis and machine-learning research, but models can appear unrealistically strong when target-derived variables are retained as predictors.</w:t>
      </w:r>
    </w:p>
    <w:p>
      <w:pPr>
        <w:pStyle w:val="BodyText"/>
      </w:pPr>
      <w:r>
        <w:rPr>
          <w:bCs/>
          <w:b/>
        </w:rPr>
        <w:t xml:space="preserve">Objective:</w:t>
      </w:r>
      <w:r>
        <w:t xml:space="preserve"> </w:t>
      </w:r>
      <w:r>
        <w:t xml:space="preserve">To characterize a recent one-month snapshot of global earthquake activity and evaluate whether secondary event attributes could classify strong reported events, defined as magnitude ≥ 4.5, after removing direct and derived magnitude information.</w:t>
      </w:r>
    </w:p>
    <w:p>
      <w:pPr>
        <w:pStyle w:val="BodyText"/>
      </w:pPr>
      <w:r>
        <w:t>Methods: The United States Geological Survey (USGS) all-earthquakes monthly GeoJSON feed was downloaded on 5 July 2026. After cleaning, 10,464 of 10,699 records were retained. Temporal, spatial, depth-derived, hemisphere, quadrant, and event-metadata features were processed in a supervised-learning pipeline. Raw magnitude and USGS significance were excluded to reduce target leakage. Logistic regression, random forest, extremely randomized trees, and histogram-based gradient boosting were compared using a stratified 75:25 train-test split. To test geographic generalisation more strictly, a leave-one-geographic-quadrant-out validation was added: each broad global quadrant was held out once while the model was trained on the other three quadrants.</w:t>
      </w:r>
    </w:p>
    <w:p>
      <w:pPr>
        <w:pStyle w:val="BodyText"/>
      </w:pPr>
      <w:r>
        <w:t>Results: In the random held-out test set, logistic regression achieved the highest ROC-AUC (0.986), with accuracy 0.952, precision 0.550, recall 0.994, and F1-score 0.708. In the stricter spatial holdout analysis, mean logistic-regression ROC-AUC fell to 0.752 across the four held-out quadrants, with a minimum quadrant ROC-AUC of 0.586. Extra Trees had a similar mean spatial ROC-AUC (0.751) and higher mean balanced accuracy (0.682), but lower mean recall than logistic regression.</w:t>
      </w:r>
    </w:p>
    <w:p>
      <w:pPr>
        <w:pStyle w:val="BodyText"/>
      </w:pPr>
      <w:r>
        <w:t>Conclusion: A leakage-aware linear model distinguished strong from lower-magnitude reported events in a random split, but spatial holdout validation showed materially weaker geographic generalisation. The findings demonstrate post-event classification rather than earthquake prediction and should be interpreted as a reproducible methodological case study until tested on later time windows and independent geographic settings.</w:t>
      </w:r>
    </w:p>
    <w:p>
      <w:pPr>
        <w:pStyle w:val="BodyText"/>
      </w:pPr>
      <w:r>
        <w:rPr>
          <w:bCs/>
          <w:b/>
        </w:rPr>
        <w:t xml:space="preserve">Keywords:</w:t>
      </w:r>
      <w:r>
        <w:t xml:space="preserve"> </w:t>
      </w:r>
      <w:r>
        <w:t xml:space="preserve">earthquakes; USGS; target leakage; imbalanced classification; logistic regression; geospatial data; reproducible research</w:t>
      </w:r>
    </w:p>
    <w:bookmarkEnd w:id="20"/>
    <w:bookmarkStart w:id="21" w:name="introduction"/>
    <w:p>
      <w:pPr>
        <w:pStyle w:val="Heading1"/>
      </w:pPr>
      <w:r>
        <w:t xml:space="preserve">1. Introduction</w:t>
      </w:r>
    </w:p>
    <w:p>
      <w:pPr>
        <w:pStyle w:val="FirstParagraph"/>
      </w:pPr>
      <w:r>
        <w:t xml:space="preserve">Earthquake monitoring systems generate large volumes of structured event data that support scientific communication, exploratory analysis, and reproducible data-science workflows. The USGS Earthquake Hazards Program distributes near-real-time event information through public feeds, including GeoJSON records that describe magnitude, time, geographic coordinates, depth, reporting networks, and related metadata (U.S. Geological Survey [USGS], n.d.-a, n.d.-b). These feeds are useful for demonstrating end-to-end analytical practice because they combine temporal, spatial, numeric, and categorical information in a continuously updated public resource.</w:t>
      </w:r>
    </w:p>
    <w:p>
      <w:pPr>
        <w:pStyle w:val="BodyText"/>
      </w:pPr>
      <w:r>
        <w:t xml:space="preserve">Machine learning can be applied to such records for descriptive or classification purposes, but the prediction target must be defined carefully. In the present study, a strong event is operationally defined as an already reported earthquake with magnitude 4.5 or greater. The task is therefore retrospective event classification: given secondary attributes recorded for an event, can a model distinguish observations above and below the chosen magnitude threshold? It is not a forecasting task and offers no estimate of when or where a future earthquake will occur.</w:t>
      </w:r>
    </w:p>
    <w:p>
      <w:pPr>
        <w:pStyle w:val="BodyText"/>
      </w:pPr>
      <w:r>
        <w:t xml:space="preserve">This distinction also exposes a central methodological hazard. If magnitude is used both to construct the outcome and as an input feature, the model receives the answer it is expected to predict. Target-derived proxies can create the same problem. Data leakage occurs when information unavailable under the intended prediction setting enters model development and can yield misleading estimates of performance (Kaufman et al., 2012). Empirical work has further shown that leakage can materially distort predictive evaluation and model interpretation (Rosenblatt et al., 2024). Accordingly, raw magnitude and the USGS significance score—which is partly informed by magnitude—were removed from the predictor set.</w:t>
      </w:r>
    </w:p>
    <w:p>
      <w:pPr>
        <w:pStyle w:val="BodyText"/>
      </w:pPr>
      <w:r>
        <w:t xml:space="preserve">The study had three objectives: (1) to create a reproducible snapshot of recent global earthquake records; (2) to compare an interpretable linear classifier with three tree-based ensemble families; and (3) to evaluate whether strong-event classification remained feasible after explicit leakage controls. The contribution is methodological rather than seismological: it demonstrates how target definition, feature eligibility, and evaluation choices determine whether a public-data machine-learning exercise is credible.</w:t>
      </w:r>
    </w:p>
    <w:bookmarkEnd w:id="21"/>
    <w:bookmarkStart w:id="27" w:name="materials-and-methods"/>
    <w:p>
      <w:pPr>
        <w:pStyle w:val="Heading1"/>
      </w:pPr>
      <w:r>
        <w:t xml:space="preserve">2. Materials and Methods</w:t>
      </w:r>
    </w:p>
    <w:bookmarkStart w:id="22" w:name="study-design-and-data-source"/>
    <w:p>
      <w:pPr>
        <w:pStyle w:val="Heading2"/>
      </w:pPr>
      <w:r>
        <w:t xml:space="preserve">2.1 Study design and data source</w:t>
      </w:r>
    </w:p>
    <w:p>
      <w:pPr>
        <w:pStyle w:val="FirstParagraph"/>
      </w:pPr>
      <w:r>
        <w:t xml:space="preserve">A retrospective computational study was conducted using the USGS all-earthquakes, past-month GeoJSON summary feed. GeoJSON represents events as geographic features with associated properties and coordinates (USGS, n.d.-b). The feed was downloaded on 5 July 2026 and converted into a structured comma-separated snapshot to preserve the exact analysis input. The raw download contained 10,699 records; 10,464 records remained after filtering and cleaning.</w:t>
      </w:r>
    </w:p>
    <w:p>
      <w:pPr>
        <w:pStyle w:val="BodyText"/>
      </w:pPr>
      <w:r>
        <w:rPr>
          <w:bCs/>
          <w:b/>
        </w:rPr>
        <w:t xml:space="preserve">Table 1. Dataset and analytical design</w:t>
      </w:r>
    </w:p>
    <w:tbl>
      <w:tblPr>
        <w:tblStyle w:val="TableGrid"/>
        <w:tblW w:type="auto" w:w="0"/>
        <w:jc w:val="center"/>
        <w:tblLayout w:type="fixed"/>
        <w:tblLook w:firstColumn="1" w:firstRow="1" w:lastColumn="0" w:lastRow="0" w:noHBand="0" w:noVBand="1" w:val="04A0"/>
      </w:tblPr>
      <w:tblGrid>
        <w:gridCol w:w="4824"/>
        <w:gridCol w:w="4824"/>
      </w:tblGrid>
      <w:tr>
        <w:tc>
          <w:tcPr>
            <w:tcW w:type="dxa" w:w="2592"/>
            <w:vAlign w:val="center"/>
            <w:shd w:fill="17365D"/>
          </w:tcPr>
          <w:p>
            <w:pPr>
              <w:spacing w:before="0" w:after="0"/>
              <w:jc w:val="left"/>
            </w:pPr>
            <w:r>
              <w:rPr>
                <w:rFonts w:ascii="Aptos" w:hAnsi="Aptos"/>
                <w:b/>
                <w:color w:val="FFFFFF"/>
                <w:sz w:val="17"/>
              </w:rPr>
              <w:t>Component</w:t>
            </w:r>
          </w:p>
        </w:tc>
        <w:tc>
          <w:tcPr>
            <w:tcW w:type="dxa" w:w="6480"/>
            <w:vAlign w:val="center"/>
            <w:shd w:fill="17365D"/>
          </w:tcPr>
          <w:p>
            <w:pPr>
              <w:spacing w:before="0" w:after="0"/>
              <w:jc w:val="center"/>
            </w:pPr>
            <w:r>
              <w:rPr>
                <w:rFonts w:ascii="Aptos" w:hAnsi="Aptos"/>
                <w:b/>
                <w:color w:val="FFFFFF"/>
                <w:sz w:val="17"/>
              </w:rPr>
              <w:t>Specification</w:t>
            </w:r>
          </w:p>
        </w:tc>
      </w:tr>
      <w:tr>
        <w:tc>
          <w:tcPr>
            <w:tcW w:type="dxa" w:w="2592"/>
            <w:vAlign w:val="center"/>
          </w:tcPr>
          <w:p>
            <w:pPr>
              <w:spacing w:before="0" w:after="0"/>
              <w:jc w:val="left"/>
            </w:pPr>
            <w:r>
              <w:rPr>
                <w:rFonts w:ascii="Aptos" w:hAnsi="Aptos"/>
                <w:sz w:val="17"/>
              </w:rPr>
              <w:t>Source</w:t>
            </w:r>
          </w:p>
        </w:tc>
        <w:tc>
          <w:tcPr>
            <w:tcW w:type="dxa" w:w="6480"/>
            <w:vAlign w:val="center"/>
          </w:tcPr>
          <w:p>
            <w:pPr>
              <w:spacing w:before="0" w:after="0"/>
              <w:jc w:val="center"/>
            </w:pPr>
            <w:r>
              <w:rPr>
                <w:rFonts w:ascii="Aptos" w:hAnsi="Aptos"/>
                <w:sz w:val="17"/>
              </w:rPr>
              <w:t>USGS all-earthquakes, past-month GeoJSON summary feed</w:t>
            </w:r>
          </w:p>
        </w:tc>
      </w:tr>
      <w:tr>
        <w:tc>
          <w:tcPr>
            <w:tcW w:type="dxa" w:w="2592"/>
            <w:vAlign w:val="center"/>
            <w:shd w:fill="EEF4F7"/>
          </w:tcPr>
          <w:p>
            <w:pPr>
              <w:spacing w:before="0" w:after="0"/>
              <w:jc w:val="left"/>
            </w:pPr>
            <w:r>
              <w:rPr>
                <w:rFonts w:ascii="Aptos" w:hAnsi="Aptos"/>
                <w:sz w:val="17"/>
              </w:rPr>
              <w:t>Acquisition date</w:t>
            </w:r>
          </w:p>
        </w:tc>
        <w:tc>
          <w:tcPr>
            <w:tcW w:type="dxa" w:w="6480"/>
            <w:vAlign w:val="center"/>
            <w:shd w:fill="EEF4F7"/>
          </w:tcPr>
          <w:p>
            <w:pPr>
              <w:spacing w:before="0" w:after="0"/>
              <w:jc w:val="center"/>
            </w:pPr>
            <w:r>
              <w:rPr>
                <w:rFonts w:ascii="Aptos" w:hAnsi="Aptos"/>
                <w:sz w:val="17"/>
              </w:rPr>
              <w:t>5 July 2026</w:t>
            </w:r>
          </w:p>
        </w:tc>
      </w:tr>
      <w:tr>
        <w:tc>
          <w:tcPr>
            <w:tcW w:type="dxa" w:w="2592"/>
            <w:vAlign w:val="center"/>
          </w:tcPr>
          <w:p>
            <w:pPr>
              <w:spacing w:before="0" w:after="0"/>
              <w:jc w:val="left"/>
            </w:pPr>
            <w:r>
              <w:rPr>
                <w:rFonts w:ascii="Aptos" w:hAnsi="Aptos"/>
                <w:sz w:val="17"/>
              </w:rPr>
              <w:t>Downloaded records</w:t>
            </w:r>
          </w:p>
        </w:tc>
        <w:tc>
          <w:tcPr>
            <w:tcW w:type="dxa" w:w="6480"/>
            <w:vAlign w:val="center"/>
          </w:tcPr>
          <w:p>
            <w:pPr>
              <w:spacing w:before="0" w:after="0"/>
              <w:jc w:val="center"/>
            </w:pPr>
            <w:r>
              <w:rPr>
                <w:rFonts w:ascii="Aptos" w:hAnsi="Aptos"/>
                <w:sz w:val="17"/>
              </w:rPr>
              <w:t>10,699</w:t>
            </w:r>
          </w:p>
        </w:tc>
      </w:tr>
      <w:tr>
        <w:tc>
          <w:tcPr>
            <w:tcW w:type="dxa" w:w="2592"/>
            <w:vAlign w:val="center"/>
            <w:shd w:fill="EEF4F7"/>
          </w:tcPr>
          <w:p>
            <w:pPr>
              <w:spacing w:before="0" w:after="0"/>
              <w:jc w:val="left"/>
            </w:pPr>
            <w:r>
              <w:rPr>
                <w:rFonts w:ascii="Aptos" w:hAnsi="Aptos"/>
                <w:sz w:val="17"/>
              </w:rPr>
              <w:t>Records after cleaning</w:t>
            </w:r>
          </w:p>
        </w:tc>
        <w:tc>
          <w:tcPr>
            <w:tcW w:type="dxa" w:w="6480"/>
            <w:vAlign w:val="center"/>
            <w:shd w:fill="EEF4F7"/>
          </w:tcPr>
          <w:p>
            <w:pPr>
              <w:spacing w:before="0" w:after="0"/>
              <w:jc w:val="center"/>
            </w:pPr>
            <w:r>
              <w:rPr>
                <w:rFonts w:ascii="Aptos" w:hAnsi="Aptos"/>
                <w:sz w:val="17"/>
              </w:rPr>
              <w:t>10,464</w:t>
            </w:r>
          </w:p>
        </w:tc>
      </w:tr>
      <w:tr>
        <w:tc>
          <w:tcPr>
            <w:tcW w:type="dxa" w:w="2592"/>
            <w:vAlign w:val="center"/>
          </w:tcPr>
          <w:p>
            <w:pPr>
              <w:spacing w:before="0" w:after="0"/>
              <w:jc w:val="left"/>
            </w:pPr>
            <w:r>
              <w:rPr>
                <w:rFonts w:ascii="Aptos" w:hAnsi="Aptos"/>
                <w:sz w:val="17"/>
              </w:rPr>
              <w:t>Outcome</w:t>
            </w:r>
          </w:p>
        </w:tc>
        <w:tc>
          <w:tcPr>
            <w:tcW w:type="dxa" w:w="6480"/>
            <w:vAlign w:val="center"/>
          </w:tcPr>
          <w:p>
            <w:pPr>
              <w:spacing w:before="0" w:after="0"/>
              <w:jc w:val="center"/>
            </w:pPr>
            <w:r>
              <w:rPr>
                <w:rFonts w:ascii="Aptos" w:hAnsi="Aptos"/>
                <w:sz w:val="17"/>
              </w:rPr>
              <w:t>Strong event: magnitude ≥ 4.5</w:t>
            </w:r>
          </w:p>
        </w:tc>
      </w:tr>
      <w:tr>
        <w:tc>
          <w:tcPr>
            <w:tcW w:type="dxa" w:w="2592"/>
            <w:vAlign w:val="center"/>
            <w:shd w:fill="EEF4F7"/>
          </w:tcPr>
          <w:p>
            <w:pPr>
              <w:spacing w:before="0" w:after="0"/>
              <w:jc w:val="left"/>
            </w:pPr>
            <w:r>
              <w:rPr>
                <w:rFonts w:ascii="Aptos" w:hAnsi="Aptos"/>
                <w:sz w:val="17"/>
              </w:rPr>
              <w:t>Leakage controls</w:t>
            </w:r>
          </w:p>
        </w:tc>
        <w:tc>
          <w:tcPr>
            <w:tcW w:type="dxa" w:w="6480"/>
            <w:vAlign w:val="center"/>
            <w:shd w:fill="EEF4F7"/>
          </w:tcPr>
          <w:p>
            <w:pPr>
              <w:spacing w:before="0" w:after="0"/>
              <w:jc w:val="center"/>
            </w:pPr>
            <w:r>
              <w:rPr>
                <w:rFonts w:ascii="Aptos" w:hAnsi="Aptos"/>
                <w:sz w:val="17"/>
              </w:rPr>
              <w:t>Raw magnitude and USGS significance excluded</w:t>
            </w:r>
          </w:p>
        </w:tc>
      </w:tr>
      <w:tr>
        <w:tc>
          <w:tcPr>
            <w:tcW w:type="dxa" w:w="2592"/>
            <w:vAlign w:val="center"/>
          </w:tcPr>
          <w:p>
            <w:pPr>
              <w:spacing w:before="0" w:after="0"/>
              <w:jc w:val="left"/>
            </w:pPr>
            <w:r>
              <w:rPr>
                <w:rFonts w:ascii="Aptos" w:hAnsi="Aptos"/>
                <w:sz w:val="17"/>
              </w:rPr>
              <w:t>Evaluation split</w:t>
            </w:r>
          </w:p>
        </w:tc>
        <w:tc>
          <w:tcPr>
            <w:tcW w:type="dxa" w:w="6480"/>
            <w:vAlign w:val="center"/>
          </w:tcPr>
          <w:p>
            <w:pPr>
              <w:spacing w:before="0" w:after="0"/>
              <w:jc w:val="center"/>
            </w:pPr>
            <w:r>
              <w:rPr>
                <w:rFonts w:ascii="Aptos" w:hAnsi="Aptos"/>
                <w:sz w:val="17"/>
              </w:rPr>
              <w:t>75% training; 25% test; stratified by outcome</w:t>
            </w:r>
          </w:p>
        </w:tc>
      </w:tr>
      <w:tr>
        <w:tc>
          <w:tcPr>
            <w:tcW w:type="dxa" w:w="2592"/>
            <w:vAlign w:val="center"/>
            <w:shd w:fill="EEF4F7"/>
          </w:tcPr>
          <w:p>
            <w:pPr>
              <w:spacing w:before="0" w:after="0"/>
              <w:jc w:val="left"/>
            </w:pPr>
            <w:r>
              <w:rPr>
                <w:rFonts w:ascii="Aptos" w:hAnsi="Aptos"/>
                <w:sz w:val="17"/>
              </w:rPr>
              <w:t>Primary ranking metric</w:t>
            </w:r>
          </w:p>
        </w:tc>
        <w:tc>
          <w:tcPr>
            <w:tcW w:type="dxa" w:w="6480"/>
            <w:vAlign w:val="center"/>
            <w:shd w:fill="EEF4F7"/>
          </w:tcPr>
          <w:p>
            <w:pPr>
              <w:spacing w:before="0" w:after="0"/>
              <w:jc w:val="center"/>
            </w:pPr>
            <w:r>
              <w:rPr>
                <w:rFonts w:ascii="Aptos" w:hAnsi="Aptos"/>
                <w:sz w:val="17"/>
              </w:rPr>
              <w:t>Area under the receiver operating characteristic curve (ROC-AUC)</w:t>
            </w:r>
          </w:p>
        </w:tc>
      </w:tr>
    </w:tbl>
    <w:bookmarkEnd w:id="22"/>
    <w:bookmarkStart w:id="23" w:name="X3ec3e83d2c9478c6fdd2ce546fd7be6ee782128"/>
    <w:p>
      <w:pPr>
        <w:pStyle w:val="Heading2"/>
      </w:pPr>
      <w:r>
        <w:t xml:space="preserve">2.2 Outcome definition and feature eligibility</w:t>
      </w:r>
    </w:p>
    <w:p>
      <w:pPr>
        <w:pStyle w:val="FirstParagraph"/>
      </w:pPr>
      <w:r>
        <w:t xml:space="preserve">The binary outcome,</w:t>
      </w:r>
      <w:r>
        <w:t xml:space="preserve"> </w:t>
      </w:r>
      <w:r>
        <w:rPr>
          <w:iCs/>
          <w:i/>
        </w:rPr>
        <w:t xml:space="preserve">is_strong_event</w:t>
      </w:r>
      <w:r>
        <w:t xml:space="preserve">, was assigned a value of 1 for magnitudes ≥ 4.5 and 0 otherwise. The threshold was selected as a practical classification boundary for this workflow; it should not be interpreted as a universal definition of damaging or hazardous seismic activity. Consequences depend on additional factors—including exposure, local geology, building vulnerability, depth, and distance from populated areas—that were outside the scope of the dataset.</w:t>
      </w:r>
    </w:p>
    <w:p>
      <w:pPr>
        <w:pStyle w:val="BodyText"/>
      </w:pPr>
      <w:r>
        <w:t xml:space="preserve">Raw magnitude was excluded because it directly defined the outcome. USGS significance was also excluded because it incorporates event characteristics that include magnitude and would therefore act as a target-associated proxy. The retained predictors comprised temporal features (hour, weekday, and day of month), spatial features (latitude, longitude, absolute latitude, hemisphere, east/west hemisphere, and broad geographic quadrant), log-transformed depth, and compact event metadata available in the cleaned feed. The analysis was intentionally restricted to attributes recorded after event reporting.</w:t>
      </w:r>
    </w:p>
    <w:bookmarkEnd w:id="23"/>
    <w:bookmarkStart w:id="24" w:name="preprocessing"/>
    <w:p>
      <w:pPr>
        <w:pStyle w:val="Heading2"/>
      </w:pPr>
      <w:r>
        <w:t xml:space="preserve">2.3 Preprocessing</w:t>
      </w:r>
    </w:p>
    <w:p>
      <w:pPr>
        <w:pStyle w:val="FirstParagraph"/>
      </w:pPr>
      <w:r>
        <w:t xml:space="preserve">Numeric predictors were median-imputed and standardized. Categorical predictors were imputed and one-hot encoded. These transformations were incorporated into the modelling workflow so that learned preprocessing parameters could be estimated from training data rather than from held-out test observations. This separation is necessary because transformations estimated on the full dataset can transmit information from evaluation observations into model development (Kaufman et al., 2012). Depth was transformed using</w:t>
      </w:r>
      <w:r>
        <w:t xml:space="preserve"> </w:t>
      </w:r>
      <w:r>
        <w:rPr>
          <w:rStyle w:val="VerbatimChar"/>
        </w:rPr>
        <w:t xml:space="preserve">log1p</w:t>
      </w:r>
      <w:r>
        <w:t xml:space="preserve"> </w:t>
      </w:r>
      <w:r>
        <w:t xml:space="preserve">to reduce right-skew while retaining zero and near-zero values.</w:t>
      </w:r>
    </w:p>
    <w:bookmarkEnd w:id="24"/>
    <w:bookmarkStart w:id="25" w:name="model-development"/>
    <w:p>
      <w:pPr>
        <w:pStyle w:val="Heading2"/>
      </w:pPr>
      <w:r>
        <w:t xml:space="preserve">2.4 Model development</w:t>
      </w:r>
    </w:p>
    <w:p>
      <w:pPr>
        <w:pStyle w:val="FirstParagraph"/>
      </w:pPr>
      <w:r>
        <w:t xml:space="preserve">Four classifier families were evaluated. Logistic regression provided an interpretable linear baseline for a binary outcome (Cox, 1958). Random forest represented a bagged ensemble of randomized decision trees (Breiman, 2001), whereas Extra Trees introduced stronger randomization in both candidate attributes and cut-points (Geurts et al., 2006). Histogram-based gradient boosting represented a stagewise boosting approach related to gradient boosting machines (Friedman, 2001). Models were implemented with scikit-learn, an open-source Python library for supervised and unsupervised learning (Pedregosa et al., 2011).</w:t>
      </w:r>
    </w:p>
    <w:p>
      <w:pPr>
        <w:pStyle w:val="BodyText"/>
      </w:pPr>
      <w:r>
        <w:t xml:space="preserve">The cleaned dataset was divided into training (75%) and held-out test (25%) partitions with stratification by the binary outcome. Baseline models were compared on the same test partition. The leading baseline was subsequently tuned using randomized hyperparameter search with stratified cross-validation; the selected logistic-regression regularization parameter was</w:t>
      </w:r>
      <w:r>
        <w:t xml:space="preserve"> </w:t>
      </w:r>
      <w:r>
        <w:rPr>
          <w:iCs/>
          <w:i/>
        </w:rPr>
        <w:t xml:space="preserve">C</w:t>
      </w:r>
      <w:r>
        <w:t xml:space="preserve"> </w:t>
      </w:r>
      <w:r>
        <w:t xml:space="preserve">= 1.0. For a definitive journal submission, the repository release should archive the software environment, random seed, cross-validation fold count, full search space, and exact preprocessing column list alongside the manuscript.</w:t>
      </w:r>
    </w:p>
    <w:bookmarkEnd w:id="25"/>
    <w:bookmarkStart w:id="26" w:name="evaluation"/>
    <w:p>
      <w:pPr>
        <w:pStyle w:val="Heading2"/>
      </w:pPr>
      <w:r>
        <w:t xml:space="preserve">2.5 Evaluation</w:t>
      </w:r>
    </w:p>
    <w:p>
      <w:pPr>
        <w:pStyle w:val="FirstParagraph"/>
      </w:pPr>
      <w:r>
        <w:t>ROC-AUC was the primary ranking metric. Accuracy, precision, recall (sensitivity), F1-score, balanced accuracy, average precision, Brier score, and confusion-matrix counts were reported to describe threshold-dependent and probability-ranking behaviour. Because only 154 of 2,616 observations in the random held-out test partition were strong events (5.9%), accuracy alone would provide an incomplete account of performance. Precision-recall measures are especially informative when the positive class is uncommon (Saito &amp; Rehmsmeier, 2015). Specificity and negative predictive value were additionally calculated from the reported matrix.</w:t>
      </w:r>
    </w:p>
    <w:p>
      <w:pPr>
        <w:pStyle w:val="FirstParagraph"/>
      </w:pPr>
      <w:r>
        <w:t>To address the risk that a random split could place geographically related event patterns in both training and test partitions, a stricter spatial validation analysis was added. Four broad quadrants were defined from latitude and longitude: Northern/Eastern, Northern/Western, Southern/Eastern, and Southern/Western. Each quadrant was held out once, the models were trained on the other three quadrants, and performance was evaluated only on the omitted quadrant. This analysis was treated as a sensitivity test of geographic generalisation rather than as an independent external validation dataset.</w:t>
      </w:r>
    </w:p>
    <w:bookmarkEnd w:id="26"/>
    <w:bookmarkEnd w:id="27"/>
    <w:bookmarkStart w:id="33" w:name="results"/>
    <w:p>
      <w:pPr>
        <w:pStyle w:val="Heading1"/>
      </w:pPr>
      <w:r>
        <w:t xml:space="preserve">3. Results</w:t>
      </w:r>
    </w:p>
    <w:bookmarkStart w:id="28" w:name="model-comparison"/>
    <w:p>
      <w:pPr>
        <w:pStyle w:val="Heading2"/>
      </w:pPr>
      <w:r>
        <w:t xml:space="preserve">3.1 Model comparison</w:t>
      </w:r>
    </w:p>
    <w:p>
      <w:pPr>
        <w:pStyle w:val="FirstParagraph"/>
      </w:pPr>
      <w:r>
        <w:t xml:space="preserve">Logistic regression produced the highest test ROC-AUC (0.986). Random forest, Extra Trees, and histogram gradient boosting achieved slightly higher accuracy (0.962–0.963), but their ROC-AUC values were marginally lower (0.981–0.983). The most consequential difference concerned sensitivity: logistic regression recalled 99.4% of strong events, compared with 66.2%–84.4% for the tree-based models. Its precision of 0.550 indicates that this sensitivity was achieved by accepting more false-positive classifications.</w:t>
      </w:r>
    </w:p>
    <w:p>
      <w:pPr>
        <w:pStyle w:val="BodyText"/>
      </w:pPr>
      <w:r>
        <w:rPr>
          <w:bCs/>
          <w:b/>
        </w:rPr>
        <w:t xml:space="preserve">Table 2. Baseline performance on the held-out test set</w:t>
      </w:r>
    </w:p>
    <w:tbl>
      <w:tblPr>
        <w:tblStyle w:val="TableGrid"/>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736"/>
            <w:vAlign w:val="center"/>
            <w:shd w:fill="17365D"/>
          </w:tcPr>
          <w:p>
            <w:pPr>
              <w:spacing w:before="0" w:after="0"/>
              <w:jc w:val="left"/>
            </w:pPr>
            <w:r>
              <w:rPr>
                <w:rFonts w:ascii="Aptos" w:hAnsi="Aptos"/>
                <w:b/>
                <w:color w:val="FFFFFF"/>
                <w:sz w:val="17"/>
              </w:rPr>
              <w:t>Model</w:t>
            </w:r>
          </w:p>
        </w:tc>
        <w:tc>
          <w:tcPr>
            <w:tcW w:type="dxa" w:w="1296"/>
            <w:vAlign w:val="center"/>
            <w:shd w:fill="17365D"/>
          </w:tcPr>
          <w:p>
            <w:pPr>
              <w:spacing w:before="0" w:after="0"/>
              <w:jc w:val="center"/>
            </w:pPr>
            <w:r>
              <w:rPr>
                <w:rFonts w:ascii="Aptos" w:hAnsi="Aptos"/>
                <w:b/>
                <w:color w:val="FFFFFF"/>
                <w:sz w:val="17"/>
              </w:rPr>
              <w:t>Accuracy</w:t>
            </w:r>
          </w:p>
        </w:tc>
        <w:tc>
          <w:tcPr>
            <w:tcW w:type="dxa" w:w="1296"/>
            <w:vAlign w:val="center"/>
            <w:shd w:fill="17365D"/>
          </w:tcPr>
          <w:p>
            <w:pPr>
              <w:spacing w:before="0" w:after="0"/>
              <w:jc w:val="center"/>
            </w:pPr>
            <w:r>
              <w:rPr>
                <w:rFonts w:ascii="Aptos" w:hAnsi="Aptos"/>
                <w:b/>
                <w:color w:val="FFFFFF"/>
                <w:sz w:val="17"/>
              </w:rPr>
              <w:t>Precision</w:t>
            </w:r>
          </w:p>
        </w:tc>
        <w:tc>
          <w:tcPr>
            <w:tcW w:type="dxa" w:w="1123"/>
            <w:vAlign w:val="center"/>
            <w:shd w:fill="17365D"/>
          </w:tcPr>
          <w:p>
            <w:pPr>
              <w:spacing w:before="0" w:after="0"/>
              <w:jc w:val="center"/>
            </w:pPr>
            <w:r>
              <w:rPr>
                <w:rFonts w:ascii="Aptos" w:hAnsi="Aptos"/>
                <w:b/>
                <w:color w:val="FFFFFF"/>
                <w:sz w:val="17"/>
              </w:rPr>
              <w:t>Recall</w:t>
            </w:r>
          </w:p>
        </w:tc>
        <w:tc>
          <w:tcPr>
            <w:tcW w:type="dxa" w:w="1036"/>
            <w:vAlign w:val="center"/>
            <w:shd w:fill="17365D"/>
          </w:tcPr>
          <w:p>
            <w:pPr>
              <w:spacing w:before="0" w:after="0"/>
              <w:jc w:val="center"/>
            </w:pPr>
            <w:r>
              <w:rPr>
                <w:rFonts w:ascii="Aptos" w:hAnsi="Aptos"/>
                <w:b/>
                <w:color w:val="FFFFFF"/>
                <w:sz w:val="17"/>
              </w:rPr>
              <w:t>F1</w:t>
            </w:r>
          </w:p>
        </w:tc>
        <w:tc>
          <w:tcPr>
            <w:tcW w:type="dxa" w:w="1296"/>
            <w:vAlign w:val="center"/>
            <w:shd w:fill="17365D"/>
          </w:tcPr>
          <w:p>
            <w:pPr>
              <w:spacing w:before="0" w:after="0"/>
              <w:jc w:val="center"/>
            </w:pPr>
            <w:r>
              <w:rPr>
                <w:rFonts w:ascii="Aptos" w:hAnsi="Aptos"/>
                <w:b/>
                <w:color w:val="FFFFFF"/>
                <w:sz w:val="17"/>
              </w:rPr>
              <w:t>ROC-AUC</w:t>
            </w:r>
          </w:p>
        </w:tc>
      </w:tr>
      <w:tr>
        <w:tc>
          <w:tcPr>
            <w:tcW w:type="dxa" w:w="2736"/>
            <w:vAlign w:val="center"/>
          </w:tcPr>
          <w:p>
            <w:pPr>
              <w:spacing w:before="0" w:after="0"/>
              <w:jc w:val="left"/>
            </w:pPr>
            <w:r>
              <w:rPr>
                <w:rFonts w:ascii="Aptos" w:hAnsi="Aptos"/>
                <w:sz w:val="17"/>
              </w:rPr>
              <w:t>Logistic regression</w:t>
            </w:r>
          </w:p>
        </w:tc>
        <w:tc>
          <w:tcPr>
            <w:tcW w:type="dxa" w:w="1296"/>
            <w:vAlign w:val="center"/>
          </w:tcPr>
          <w:p>
            <w:pPr>
              <w:spacing w:before="0" w:after="0"/>
              <w:jc w:val="center"/>
            </w:pPr>
            <w:r>
              <w:rPr>
                <w:rFonts w:ascii="Aptos" w:hAnsi="Aptos"/>
                <w:sz w:val="17"/>
              </w:rPr>
              <w:t>0.952</w:t>
            </w:r>
          </w:p>
        </w:tc>
        <w:tc>
          <w:tcPr>
            <w:tcW w:type="dxa" w:w="1296"/>
            <w:vAlign w:val="center"/>
          </w:tcPr>
          <w:p>
            <w:pPr>
              <w:spacing w:before="0" w:after="0"/>
              <w:jc w:val="center"/>
            </w:pPr>
            <w:r>
              <w:rPr>
                <w:rFonts w:ascii="Aptos" w:hAnsi="Aptos"/>
                <w:sz w:val="17"/>
              </w:rPr>
              <w:t>0.550</w:t>
            </w:r>
          </w:p>
        </w:tc>
        <w:tc>
          <w:tcPr>
            <w:tcW w:type="dxa" w:w="1123"/>
            <w:vAlign w:val="center"/>
          </w:tcPr>
          <w:p>
            <w:pPr>
              <w:spacing w:before="0" w:after="0"/>
              <w:jc w:val="center"/>
            </w:pPr>
            <w:r>
              <w:rPr>
                <w:rFonts w:ascii="Aptos" w:hAnsi="Aptos"/>
                <w:sz w:val="17"/>
              </w:rPr>
              <w:t>0.994</w:t>
            </w:r>
          </w:p>
        </w:tc>
        <w:tc>
          <w:tcPr>
            <w:tcW w:type="dxa" w:w="1036"/>
            <w:vAlign w:val="center"/>
          </w:tcPr>
          <w:p>
            <w:pPr>
              <w:spacing w:before="0" w:after="0"/>
              <w:jc w:val="center"/>
            </w:pPr>
            <w:r>
              <w:rPr>
                <w:rFonts w:ascii="Aptos" w:hAnsi="Aptos"/>
                <w:sz w:val="17"/>
              </w:rPr>
              <w:t>0.708</w:t>
            </w:r>
          </w:p>
        </w:tc>
        <w:tc>
          <w:tcPr>
            <w:tcW w:type="dxa" w:w="1296"/>
            <w:vAlign w:val="center"/>
          </w:tcPr>
          <w:p>
            <w:pPr>
              <w:spacing w:before="0" w:after="0"/>
              <w:jc w:val="center"/>
            </w:pPr>
            <w:r>
              <w:rPr>
                <w:rFonts w:ascii="Aptos" w:hAnsi="Aptos"/>
                <w:sz w:val="17"/>
              </w:rPr>
              <w:t>0.986</w:t>
            </w:r>
          </w:p>
        </w:tc>
      </w:tr>
      <w:tr>
        <w:tc>
          <w:tcPr>
            <w:tcW w:type="dxa" w:w="2736"/>
            <w:vAlign w:val="center"/>
            <w:shd w:fill="EEF4F7"/>
          </w:tcPr>
          <w:p>
            <w:pPr>
              <w:spacing w:before="0" w:after="0"/>
              <w:jc w:val="left"/>
            </w:pPr>
            <w:r>
              <w:rPr>
                <w:rFonts w:ascii="Aptos" w:hAnsi="Aptos"/>
                <w:sz w:val="17"/>
              </w:rPr>
              <w:t>Extra Trees</w:t>
            </w:r>
          </w:p>
        </w:tc>
        <w:tc>
          <w:tcPr>
            <w:tcW w:type="dxa" w:w="1296"/>
            <w:vAlign w:val="center"/>
            <w:shd w:fill="EEF4F7"/>
          </w:tcPr>
          <w:p>
            <w:pPr>
              <w:spacing w:before="0" w:after="0"/>
              <w:jc w:val="center"/>
            </w:pPr>
            <w:r>
              <w:rPr>
                <w:rFonts w:ascii="Aptos" w:hAnsi="Aptos"/>
                <w:sz w:val="17"/>
              </w:rPr>
              <w:t>0.962</w:t>
            </w:r>
          </w:p>
        </w:tc>
        <w:tc>
          <w:tcPr>
            <w:tcW w:type="dxa" w:w="1296"/>
            <w:vAlign w:val="center"/>
            <w:shd w:fill="EEF4F7"/>
          </w:tcPr>
          <w:p>
            <w:pPr>
              <w:spacing w:before="0" w:after="0"/>
              <w:jc w:val="center"/>
            </w:pPr>
            <w:r>
              <w:rPr>
                <w:rFonts w:ascii="Aptos" w:hAnsi="Aptos"/>
                <w:sz w:val="17"/>
              </w:rPr>
              <w:t>0.634</w:t>
            </w:r>
          </w:p>
        </w:tc>
        <w:tc>
          <w:tcPr>
            <w:tcW w:type="dxa" w:w="1123"/>
            <w:vAlign w:val="center"/>
            <w:shd w:fill="EEF4F7"/>
          </w:tcPr>
          <w:p>
            <w:pPr>
              <w:spacing w:before="0" w:after="0"/>
              <w:jc w:val="center"/>
            </w:pPr>
            <w:r>
              <w:rPr>
                <w:rFonts w:ascii="Aptos" w:hAnsi="Aptos"/>
                <w:sz w:val="17"/>
              </w:rPr>
              <w:t>0.831</w:t>
            </w:r>
          </w:p>
        </w:tc>
        <w:tc>
          <w:tcPr>
            <w:tcW w:type="dxa" w:w="1036"/>
            <w:vAlign w:val="center"/>
            <w:shd w:fill="EEF4F7"/>
          </w:tcPr>
          <w:p>
            <w:pPr>
              <w:spacing w:before="0" w:after="0"/>
              <w:jc w:val="center"/>
            </w:pPr>
            <w:r>
              <w:rPr>
                <w:rFonts w:ascii="Aptos" w:hAnsi="Aptos"/>
                <w:sz w:val="17"/>
              </w:rPr>
              <w:t>0.719</w:t>
            </w:r>
          </w:p>
        </w:tc>
        <w:tc>
          <w:tcPr>
            <w:tcW w:type="dxa" w:w="1296"/>
            <w:vAlign w:val="center"/>
            <w:shd w:fill="EEF4F7"/>
          </w:tcPr>
          <w:p>
            <w:pPr>
              <w:spacing w:before="0" w:after="0"/>
              <w:jc w:val="center"/>
            </w:pPr>
            <w:r>
              <w:rPr>
                <w:rFonts w:ascii="Aptos" w:hAnsi="Aptos"/>
                <w:sz w:val="17"/>
              </w:rPr>
              <w:t>0.983</w:t>
            </w:r>
          </w:p>
        </w:tc>
      </w:tr>
      <w:tr>
        <w:tc>
          <w:tcPr>
            <w:tcW w:type="dxa" w:w="2736"/>
            <w:vAlign w:val="center"/>
          </w:tcPr>
          <w:p>
            <w:pPr>
              <w:spacing w:before="0" w:after="0"/>
              <w:jc w:val="left"/>
            </w:pPr>
            <w:r>
              <w:rPr>
                <w:rFonts w:ascii="Aptos" w:hAnsi="Aptos"/>
                <w:sz w:val="17"/>
              </w:rPr>
              <w:t>Random forest</w:t>
            </w:r>
          </w:p>
        </w:tc>
        <w:tc>
          <w:tcPr>
            <w:tcW w:type="dxa" w:w="1296"/>
            <w:vAlign w:val="center"/>
          </w:tcPr>
          <w:p>
            <w:pPr>
              <w:spacing w:before="0" w:after="0"/>
              <w:jc w:val="center"/>
            </w:pPr>
            <w:r>
              <w:rPr>
                <w:rFonts w:ascii="Aptos" w:hAnsi="Aptos"/>
                <w:sz w:val="17"/>
              </w:rPr>
              <w:t>0.962</w:t>
            </w:r>
          </w:p>
        </w:tc>
        <w:tc>
          <w:tcPr>
            <w:tcW w:type="dxa" w:w="1296"/>
            <w:vAlign w:val="center"/>
          </w:tcPr>
          <w:p>
            <w:pPr>
              <w:spacing w:before="0" w:after="0"/>
              <w:jc w:val="center"/>
            </w:pPr>
            <w:r>
              <w:rPr>
                <w:rFonts w:ascii="Aptos" w:hAnsi="Aptos"/>
                <w:sz w:val="17"/>
              </w:rPr>
              <w:t>0.631</w:t>
            </w:r>
          </w:p>
        </w:tc>
        <w:tc>
          <w:tcPr>
            <w:tcW w:type="dxa" w:w="1123"/>
            <w:vAlign w:val="center"/>
          </w:tcPr>
          <w:p>
            <w:pPr>
              <w:spacing w:before="0" w:after="0"/>
              <w:jc w:val="center"/>
            </w:pPr>
            <w:r>
              <w:rPr>
                <w:rFonts w:ascii="Aptos" w:hAnsi="Aptos"/>
                <w:sz w:val="17"/>
              </w:rPr>
              <w:t>0.844</w:t>
            </w:r>
          </w:p>
        </w:tc>
        <w:tc>
          <w:tcPr>
            <w:tcW w:type="dxa" w:w="1036"/>
            <w:vAlign w:val="center"/>
          </w:tcPr>
          <w:p>
            <w:pPr>
              <w:spacing w:before="0" w:after="0"/>
              <w:jc w:val="center"/>
            </w:pPr>
            <w:r>
              <w:rPr>
                <w:rFonts w:ascii="Aptos" w:hAnsi="Aptos"/>
                <w:sz w:val="17"/>
              </w:rPr>
              <w:t>0.722</w:t>
            </w:r>
          </w:p>
        </w:tc>
        <w:tc>
          <w:tcPr>
            <w:tcW w:type="dxa" w:w="1296"/>
            <w:vAlign w:val="center"/>
          </w:tcPr>
          <w:p>
            <w:pPr>
              <w:spacing w:before="0" w:after="0"/>
              <w:jc w:val="center"/>
            </w:pPr>
            <w:r>
              <w:rPr>
                <w:rFonts w:ascii="Aptos" w:hAnsi="Aptos"/>
                <w:sz w:val="17"/>
              </w:rPr>
              <w:t>0.982</w:t>
            </w:r>
          </w:p>
        </w:tc>
      </w:tr>
      <w:tr>
        <w:tc>
          <w:tcPr>
            <w:tcW w:type="dxa" w:w="2736"/>
            <w:vAlign w:val="center"/>
            <w:shd w:fill="EEF4F7"/>
          </w:tcPr>
          <w:p>
            <w:pPr>
              <w:spacing w:before="0" w:after="0"/>
              <w:jc w:val="left"/>
            </w:pPr>
            <w:r>
              <w:rPr>
                <w:rFonts w:ascii="Aptos" w:hAnsi="Aptos"/>
                <w:sz w:val="17"/>
              </w:rPr>
              <w:t>Histogram gradient boosting</w:t>
            </w:r>
          </w:p>
        </w:tc>
        <w:tc>
          <w:tcPr>
            <w:tcW w:type="dxa" w:w="1296"/>
            <w:vAlign w:val="center"/>
            <w:shd w:fill="EEF4F7"/>
          </w:tcPr>
          <w:p>
            <w:pPr>
              <w:spacing w:before="0" w:after="0"/>
              <w:jc w:val="center"/>
            </w:pPr>
            <w:r>
              <w:rPr>
                <w:rFonts w:ascii="Aptos" w:hAnsi="Aptos"/>
                <w:sz w:val="17"/>
              </w:rPr>
              <w:t>0.963</w:t>
            </w:r>
          </w:p>
        </w:tc>
        <w:tc>
          <w:tcPr>
            <w:tcW w:type="dxa" w:w="1296"/>
            <w:vAlign w:val="center"/>
            <w:shd w:fill="EEF4F7"/>
          </w:tcPr>
          <w:p>
            <w:pPr>
              <w:spacing w:before="0" w:after="0"/>
              <w:jc w:val="center"/>
            </w:pPr>
            <w:r>
              <w:rPr>
                <w:rFonts w:ascii="Aptos" w:hAnsi="Aptos"/>
                <w:sz w:val="17"/>
              </w:rPr>
              <w:t>0.699</w:t>
            </w:r>
          </w:p>
        </w:tc>
        <w:tc>
          <w:tcPr>
            <w:tcW w:type="dxa" w:w="1123"/>
            <w:vAlign w:val="center"/>
            <w:shd w:fill="EEF4F7"/>
          </w:tcPr>
          <w:p>
            <w:pPr>
              <w:spacing w:before="0" w:after="0"/>
              <w:jc w:val="center"/>
            </w:pPr>
            <w:r>
              <w:rPr>
                <w:rFonts w:ascii="Aptos" w:hAnsi="Aptos"/>
                <w:sz w:val="17"/>
              </w:rPr>
              <w:t>0.662</w:t>
            </w:r>
          </w:p>
        </w:tc>
        <w:tc>
          <w:tcPr>
            <w:tcW w:type="dxa" w:w="1036"/>
            <w:vAlign w:val="center"/>
            <w:shd w:fill="EEF4F7"/>
          </w:tcPr>
          <w:p>
            <w:pPr>
              <w:spacing w:before="0" w:after="0"/>
              <w:jc w:val="center"/>
            </w:pPr>
            <w:r>
              <w:rPr>
                <w:rFonts w:ascii="Aptos" w:hAnsi="Aptos"/>
                <w:sz w:val="17"/>
              </w:rPr>
              <w:t>0.680</w:t>
            </w:r>
          </w:p>
        </w:tc>
        <w:tc>
          <w:tcPr>
            <w:tcW w:type="dxa" w:w="1296"/>
            <w:vAlign w:val="center"/>
            <w:shd w:fill="EEF4F7"/>
          </w:tcPr>
          <w:p>
            <w:pPr>
              <w:spacing w:before="0" w:after="0"/>
              <w:jc w:val="center"/>
            </w:pPr>
            <w:r>
              <w:rPr>
                <w:rFonts w:ascii="Aptos" w:hAnsi="Aptos"/>
                <w:sz w:val="17"/>
              </w:rPr>
              <w:t>0.981</w:t>
            </w:r>
          </w:p>
        </w:tc>
      </w:tr>
    </w:tbl>
    <w:bookmarkEnd w:id="28"/>
    <w:bookmarkStart w:id="32" w:name="final-model-and-error-profile"/>
    <w:p>
      <w:pPr>
        <w:pStyle w:val="Heading2"/>
      </w:pPr>
      <w:r>
        <w:t xml:space="preserve">3.2 Final model and error profile</w:t>
      </w:r>
    </w:p>
    <w:p>
      <w:pPr>
        <w:pStyle w:val="FirstParagraph"/>
      </w:pPr>
      <w:r>
        <w:t xml:space="preserve">Randomized search retained logistic regression with</w:t>
      </w:r>
      <w:r>
        <w:t xml:space="preserve"> </w:t>
      </w:r>
      <w:r>
        <w:rPr>
          <w:iCs/>
          <w:i/>
        </w:rPr>
        <w:t xml:space="preserve">C</w:t>
      </w:r>
      <w:r>
        <w:t xml:space="preserve"> </w:t>
      </w:r>
      <w:r>
        <w:t xml:space="preserve">= 1.0. On the held-out test set, the final model correctly classified 2,337 lower-magnitude events and 153 strong events. It produced 125 false positives and one false negative. These counts yield a specificity of 0.949 and a negative predictive value of 0.9996 (1.000 when rounded to three decimals). The balanced accuracy calculated from sensitivity and specificity was 0.971.</w:t>
      </w:r>
    </w:p>
    <w:p>
      <w:pPr>
        <w:pStyle w:val="BodyText"/>
      </w:pPr>
      <w:r>
        <w:rPr>
          <w:bCs/>
          <w:b/>
        </w:rPr>
        <w:t xml:space="preserve">Table 3. Final logistic-regression performance</w:t>
      </w:r>
    </w:p>
    <w:tbl>
      <w:tblPr>
        <w:tblStyle w:val="TableGrid"/>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76"/>
            <w:vAlign w:val="center"/>
            <w:shd w:fill="17365D"/>
          </w:tcPr>
          <w:p>
            <w:pPr>
              <w:spacing w:before="0" w:after="0"/>
              <w:jc w:val="left"/>
            </w:pPr>
            <w:r>
              <w:rPr>
                <w:rFonts w:ascii="Aptos" w:hAnsi="Aptos"/>
                <w:b/>
                <w:color w:val="FFFFFF"/>
                <w:sz w:val="17"/>
              </w:rPr>
              <w:t>Selected parameter</w:t>
            </w:r>
          </w:p>
        </w:tc>
        <w:tc>
          <w:tcPr>
            <w:tcW w:type="dxa" w:w="1339"/>
            <w:vAlign w:val="center"/>
            <w:shd w:fill="17365D"/>
          </w:tcPr>
          <w:p>
            <w:pPr>
              <w:spacing w:before="0" w:after="0"/>
              <w:jc w:val="center"/>
            </w:pPr>
            <w:r>
              <w:rPr>
                <w:rFonts w:ascii="Aptos" w:hAnsi="Aptos"/>
                <w:b/>
                <w:color w:val="FFFFFF"/>
                <w:sz w:val="17"/>
              </w:rPr>
              <w:t>Accuracy</w:t>
            </w:r>
          </w:p>
        </w:tc>
        <w:tc>
          <w:tcPr>
            <w:tcW w:type="dxa" w:w="1339"/>
            <w:vAlign w:val="center"/>
            <w:shd w:fill="17365D"/>
          </w:tcPr>
          <w:p>
            <w:pPr>
              <w:spacing w:before="0" w:after="0"/>
              <w:jc w:val="center"/>
            </w:pPr>
            <w:r>
              <w:rPr>
                <w:rFonts w:ascii="Aptos" w:hAnsi="Aptos"/>
                <w:b/>
                <w:color w:val="FFFFFF"/>
                <w:sz w:val="17"/>
              </w:rPr>
              <w:t>Precision</w:t>
            </w:r>
          </w:p>
        </w:tc>
        <w:tc>
          <w:tcPr>
            <w:tcW w:type="dxa" w:w="1195"/>
            <w:vAlign w:val="center"/>
            <w:shd w:fill="17365D"/>
          </w:tcPr>
          <w:p>
            <w:pPr>
              <w:spacing w:before="0" w:after="0"/>
              <w:jc w:val="center"/>
            </w:pPr>
            <w:r>
              <w:rPr>
                <w:rFonts w:ascii="Aptos" w:hAnsi="Aptos"/>
                <w:b/>
                <w:color w:val="FFFFFF"/>
                <w:sz w:val="17"/>
              </w:rPr>
              <w:t>Recall</w:t>
            </w:r>
          </w:p>
        </w:tc>
        <w:tc>
          <w:tcPr>
            <w:tcW w:type="dxa" w:w="1123"/>
            <w:vAlign w:val="center"/>
            <w:shd w:fill="17365D"/>
          </w:tcPr>
          <w:p>
            <w:pPr>
              <w:spacing w:before="0" w:after="0"/>
              <w:jc w:val="center"/>
            </w:pPr>
            <w:r>
              <w:rPr>
                <w:rFonts w:ascii="Aptos" w:hAnsi="Aptos"/>
                <w:b/>
                <w:color w:val="FFFFFF"/>
                <w:sz w:val="17"/>
              </w:rPr>
              <w:t>F1</w:t>
            </w:r>
          </w:p>
        </w:tc>
        <w:tc>
          <w:tcPr>
            <w:tcW w:type="dxa" w:w="1555"/>
            <w:vAlign w:val="center"/>
            <w:shd w:fill="17365D"/>
          </w:tcPr>
          <w:p>
            <w:pPr>
              <w:spacing w:before="0" w:after="0"/>
              <w:jc w:val="center"/>
            </w:pPr>
            <w:r>
              <w:rPr>
                <w:rFonts w:ascii="Aptos" w:hAnsi="Aptos"/>
                <w:b/>
                <w:color w:val="FFFFFF"/>
                <w:sz w:val="17"/>
              </w:rPr>
              <w:t>ROC-AUC</w:t>
            </w:r>
          </w:p>
        </w:tc>
      </w:tr>
      <w:tr>
        <w:tc>
          <w:tcPr>
            <w:tcW w:type="dxa" w:w="2376"/>
            <w:vAlign w:val="center"/>
          </w:tcPr>
          <w:p>
            <w:pPr>
              <w:spacing w:before="0" w:after="0"/>
              <w:jc w:val="left"/>
            </w:pPr>
            <w:r>
              <w:rPr>
                <w:rFonts w:ascii="Aptos" w:hAnsi="Aptos"/>
                <w:sz w:val="17"/>
              </w:rPr>
              <w:t>C = 1.0</w:t>
            </w:r>
          </w:p>
        </w:tc>
        <w:tc>
          <w:tcPr>
            <w:tcW w:type="dxa" w:w="1339"/>
            <w:vAlign w:val="center"/>
          </w:tcPr>
          <w:p>
            <w:pPr>
              <w:spacing w:before="0" w:after="0"/>
              <w:jc w:val="center"/>
            </w:pPr>
            <w:r>
              <w:rPr>
                <w:rFonts w:ascii="Aptos" w:hAnsi="Aptos"/>
                <w:sz w:val="17"/>
              </w:rPr>
              <w:t>0.952</w:t>
            </w:r>
          </w:p>
        </w:tc>
        <w:tc>
          <w:tcPr>
            <w:tcW w:type="dxa" w:w="1339"/>
            <w:vAlign w:val="center"/>
          </w:tcPr>
          <w:p>
            <w:pPr>
              <w:spacing w:before="0" w:after="0"/>
              <w:jc w:val="center"/>
            </w:pPr>
            <w:r>
              <w:rPr>
                <w:rFonts w:ascii="Aptos" w:hAnsi="Aptos"/>
                <w:sz w:val="17"/>
              </w:rPr>
              <w:t>0.550</w:t>
            </w:r>
          </w:p>
        </w:tc>
        <w:tc>
          <w:tcPr>
            <w:tcW w:type="dxa" w:w="1195"/>
            <w:vAlign w:val="center"/>
          </w:tcPr>
          <w:p>
            <w:pPr>
              <w:spacing w:before="0" w:after="0"/>
              <w:jc w:val="center"/>
            </w:pPr>
            <w:r>
              <w:rPr>
                <w:rFonts w:ascii="Aptos" w:hAnsi="Aptos"/>
                <w:sz w:val="17"/>
              </w:rPr>
              <w:t>0.994</w:t>
            </w:r>
          </w:p>
        </w:tc>
        <w:tc>
          <w:tcPr>
            <w:tcW w:type="dxa" w:w="1123"/>
            <w:vAlign w:val="center"/>
          </w:tcPr>
          <w:p>
            <w:pPr>
              <w:spacing w:before="0" w:after="0"/>
              <w:jc w:val="center"/>
            </w:pPr>
            <w:r>
              <w:rPr>
                <w:rFonts w:ascii="Aptos" w:hAnsi="Aptos"/>
                <w:sz w:val="17"/>
              </w:rPr>
              <w:t>0.708</w:t>
            </w:r>
          </w:p>
        </w:tc>
        <w:tc>
          <w:tcPr>
            <w:tcW w:type="dxa" w:w="1555"/>
            <w:vAlign w:val="center"/>
          </w:tcPr>
          <w:p>
            <w:pPr>
              <w:spacing w:before="0" w:after="0"/>
              <w:jc w:val="center"/>
            </w:pPr>
            <w:r>
              <w:rPr>
                <w:rFonts w:ascii="Aptos" w:hAnsi="Aptos"/>
                <w:sz w:val="17"/>
              </w:rPr>
              <w:t>0.986</w:t>
            </w:r>
          </w:p>
        </w:tc>
      </w:tr>
    </w:tbl>
    <w:p>
      <w:pPr>
        <w:pStyle w:val="CaptionedFigure"/>
      </w:pPr>
      <w:r>
        <w:drawing>
          <wp:inline>
            <wp:extent cx="3672840" cy="3002065"/>
            <wp:effectExtent b="0" l="0" r="0" t="0"/>
            <wp:docPr descr="Figure 1. Confusion matrix for the final logistic-regression classifier. Rows represent actual labels and columns represent predicted labels." title="" id="30" name="Picture"/>
            <a:graphic>
              <a:graphicData uri="http://schemas.openxmlformats.org/drawingml/2006/picture">
                <pic:pic>
                  <pic:nvPicPr>
                    <pic:cNvPr descr="confusion_matrix.png" id="31" name="Picture"/>
                    <pic:cNvPicPr>
                      <a:picLocks noChangeArrowheads="1" noChangeAspect="1"/>
                    </pic:cNvPicPr>
                  </pic:nvPicPr>
                  <pic:blipFill>
                    <a:blip r:embed="rId29"/>
                    <a:stretch>
                      <a:fillRect/>
                    </a:stretch>
                  </pic:blipFill>
                  <pic:spPr bwMode="auto">
                    <a:xfrm>
                      <a:off x="0" y="0"/>
                      <a:ext cx="3672840" cy="300206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Confusion matrix for the final logistic-regression classifier. Rows represent actual labels and columns represent predicted labels.</w:t>
      </w:r>
    </w:p>
    <w:p>
      <w:pPr>
        <w:pStyle w:val="Heading2"/>
      </w:pPr>
      <w:r>
        <w:t>3.3 Spatial holdout validation</w:t>
      </w:r>
    </w:p>
    <w:p>
      <w:pPr/>
      <w:r>
        <w:t>The stricter geographic validation produced a more conservative estimate of model performance. Logistic regression retained the highest mean spatial ROC-AUC by a narrow margin (0.752), but this was substantially lower than the random split ROC-AUC of 0.986. Its minimum quadrant ROC-AUC was 0.586, and its mean balanced accuracy was 0.617. Extra Trees achieved nearly the same mean spatial ROC-AUC (0.751) and a higher mean balanced accuracy (0.682), but with lower mean recall. The pattern indicates that the random split likely overstated geographic generalisation, particularly because the dataset was heavily concentrated in the Northern/Western quadrant while the Southern/Eastern and Southern/Western holdouts had much higher strong-event prevalence.</w:t>
      </w:r>
    </w:p>
    <w:p>
      <w:pPr/>
      <w:r>
        <w:t>Table 4. Leave-one-geographic-quadrant-out validation summary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Pr>
          <w:p>
            <w:r>
              <w:rPr>
                <w:b/>
                <w:sz w:val="17"/>
              </w:rPr>
              <w:t>Model</w:t>
            </w:r>
          </w:p>
        </w:tc>
        <w:tc>
          <w:tcPr>
            <w:tcW w:type="dxa" w:w="1337"/>
            <w:vAlign w:val="center"/>
          </w:tcPr>
          <w:p>
            <w:r>
              <w:rPr>
                <w:b/>
                <w:sz w:val="17"/>
              </w:rPr>
              <w:t>Mean ROC-AUC</w:t>
            </w:r>
          </w:p>
        </w:tc>
        <w:tc>
          <w:tcPr>
            <w:tcW w:type="dxa" w:w="1337"/>
            <w:vAlign w:val="center"/>
          </w:tcPr>
          <w:p>
            <w:r>
              <w:rPr>
                <w:b/>
                <w:sz w:val="17"/>
              </w:rPr>
              <w:t>Minimum ROC-AUC</w:t>
            </w:r>
          </w:p>
        </w:tc>
        <w:tc>
          <w:tcPr>
            <w:tcW w:type="dxa" w:w="1337"/>
            <w:vAlign w:val="center"/>
          </w:tcPr>
          <w:p>
            <w:r>
              <w:rPr>
                <w:b/>
                <w:sz w:val="17"/>
              </w:rPr>
              <w:t>Mean AP</w:t>
            </w:r>
          </w:p>
        </w:tc>
        <w:tc>
          <w:tcPr>
            <w:tcW w:type="dxa" w:w="1337"/>
            <w:vAlign w:val="center"/>
          </w:tcPr>
          <w:p>
            <w:r>
              <w:rPr>
                <w:b/>
                <w:sz w:val="17"/>
              </w:rPr>
              <w:t>Mean recall</w:t>
            </w:r>
          </w:p>
        </w:tc>
        <w:tc>
          <w:tcPr>
            <w:tcW w:type="dxa" w:w="1337"/>
            <w:vAlign w:val="center"/>
          </w:tcPr>
          <w:p>
            <w:r>
              <w:rPr>
                <w:b/>
                <w:sz w:val="17"/>
              </w:rPr>
              <w:t>Mean balanced accuracy</w:t>
            </w:r>
          </w:p>
        </w:tc>
        <w:tc>
          <w:tcPr>
            <w:tcW w:type="dxa" w:w="1337"/>
            <w:vAlign w:val="center"/>
          </w:tcPr>
          <w:p>
            <w:r>
              <w:rPr>
                <w:b/>
                <w:sz w:val="17"/>
              </w:rPr>
              <w:t>Mean Brier</w:t>
            </w:r>
          </w:p>
        </w:tc>
      </w:tr>
      <w:tr>
        <w:tc>
          <w:tcPr>
            <w:tcW w:type="dxa" w:w="1337"/>
            <w:vAlign w:val="center"/>
          </w:tcPr>
          <w:p>
            <w:r>
              <w:rPr>
                <w:sz w:val="17"/>
              </w:rPr>
              <w:t>Logistic regression</w:t>
            </w:r>
          </w:p>
        </w:tc>
        <w:tc>
          <w:tcPr>
            <w:tcW w:type="dxa" w:w="1337"/>
            <w:vAlign w:val="center"/>
          </w:tcPr>
          <w:p>
            <w:r>
              <w:rPr>
                <w:sz w:val="17"/>
              </w:rPr>
              <w:t>0.752</w:t>
            </w:r>
          </w:p>
        </w:tc>
        <w:tc>
          <w:tcPr>
            <w:tcW w:type="dxa" w:w="1337"/>
            <w:vAlign w:val="center"/>
          </w:tcPr>
          <w:p>
            <w:r>
              <w:rPr>
                <w:sz w:val="17"/>
              </w:rPr>
              <w:t>0.586</w:t>
            </w:r>
          </w:p>
        </w:tc>
        <w:tc>
          <w:tcPr>
            <w:tcW w:type="dxa" w:w="1337"/>
            <w:vAlign w:val="center"/>
          </w:tcPr>
          <w:p>
            <w:r>
              <w:rPr>
                <w:sz w:val="17"/>
              </w:rPr>
              <w:t>0.699</w:t>
            </w:r>
          </w:p>
        </w:tc>
        <w:tc>
          <w:tcPr>
            <w:tcW w:type="dxa" w:w="1337"/>
            <w:vAlign w:val="center"/>
          </w:tcPr>
          <w:p>
            <w:r>
              <w:rPr>
                <w:sz w:val="17"/>
              </w:rPr>
              <w:t>0.919</w:t>
            </w:r>
          </w:p>
        </w:tc>
        <w:tc>
          <w:tcPr>
            <w:tcW w:type="dxa" w:w="1337"/>
            <w:vAlign w:val="center"/>
          </w:tcPr>
          <w:p>
            <w:r>
              <w:rPr>
                <w:sz w:val="17"/>
              </w:rPr>
              <w:t>0.617</w:t>
            </w:r>
          </w:p>
        </w:tc>
        <w:tc>
          <w:tcPr>
            <w:tcW w:type="dxa" w:w="1337"/>
            <w:vAlign w:val="center"/>
          </w:tcPr>
          <w:p>
            <w:r>
              <w:rPr>
                <w:sz w:val="17"/>
              </w:rPr>
              <w:t>0.275</w:t>
            </w:r>
          </w:p>
        </w:tc>
      </w:tr>
      <w:tr>
        <w:tc>
          <w:tcPr>
            <w:tcW w:type="dxa" w:w="1337"/>
            <w:vAlign w:val="center"/>
          </w:tcPr>
          <w:p>
            <w:r>
              <w:rPr>
                <w:sz w:val="17"/>
              </w:rPr>
              <w:t>Extra Trees</w:t>
            </w:r>
          </w:p>
        </w:tc>
        <w:tc>
          <w:tcPr>
            <w:tcW w:type="dxa" w:w="1337"/>
            <w:vAlign w:val="center"/>
          </w:tcPr>
          <w:p>
            <w:r>
              <w:rPr>
                <w:sz w:val="17"/>
              </w:rPr>
              <w:t>0.751</w:t>
            </w:r>
          </w:p>
        </w:tc>
        <w:tc>
          <w:tcPr>
            <w:tcW w:type="dxa" w:w="1337"/>
            <w:vAlign w:val="center"/>
          </w:tcPr>
          <w:p>
            <w:r>
              <w:rPr>
                <w:sz w:val="17"/>
              </w:rPr>
              <w:t>0.623</w:t>
            </w:r>
          </w:p>
        </w:tc>
        <w:tc>
          <w:tcPr>
            <w:tcW w:type="dxa" w:w="1337"/>
            <w:vAlign w:val="center"/>
          </w:tcPr>
          <w:p>
            <w:r>
              <w:rPr>
                <w:sz w:val="17"/>
              </w:rPr>
              <w:t>0.739</w:t>
            </w:r>
          </w:p>
        </w:tc>
        <w:tc>
          <w:tcPr>
            <w:tcW w:type="dxa" w:w="1337"/>
            <w:vAlign w:val="center"/>
          </w:tcPr>
          <w:p>
            <w:r>
              <w:rPr>
                <w:sz w:val="17"/>
              </w:rPr>
              <w:t>0.735</w:t>
            </w:r>
          </w:p>
        </w:tc>
        <w:tc>
          <w:tcPr>
            <w:tcW w:type="dxa" w:w="1337"/>
            <w:vAlign w:val="center"/>
          </w:tcPr>
          <w:p>
            <w:r>
              <w:rPr>
                <w:sz w:val="17"/>
              </w:rPr>
              <w:t>0.682</w:t>
            </w:r>
          </w:p>
        </w:tc>
        <w:tc>
          <w:tcPr>
            <w:tcW w:type="dxa" w:w="1337"/>
            <w:vAlign w:val="center"/>
          </w:tcPr>
          <w:p>
            <w:r>
              <w:rPr>
                <w:sz w:val="17"/>
              </w:rPr>
              <w:t>0.186</w:t>
            </w:r>
          </w:p>
        </w:tc>
      </w:tr>
      <w:tr>
        <w:tc>
          <w:tcPr>
            <w:tcW w:type="dxa" w:w="1337"/>
            <w:vAlign w:val="center"/>
          </w:tcPr>
          <w:p>
            <w:r>
              <w:rPr>
                <w:sz w:val="17"/>
              </w:rPr>
              <w:t>Histogram gradient boosting</w:t>
            </w:r>
          </w:p>
        </w:tc>
        <w:tc>
          <w:tcPr>
            <w:tcW w:type="dxa" w:w="1337"/>
            <w:vAlign w:val="center"/>
          </w:tcPr>
          <w:p>
            <w:r>
              <w:rPr>
                <w:sz w:val="17"/>
              </w:rPr>
              <w:t>0.749</w:t>
            </w:r>
          </w:p>
        </w:tc>
        <w:tc>
          <w:tcPr>
            <w:tcW w:type="dxa" w:w="1337"/>
            <w:vAlign w:val="center"/>
          </w:tcPr>
          <w:p>
            <w:r>
              <w:rPr>
                <w:sz w:val="17"/>
              </w:rPr>
              <w:t>0.643</w:t>
            </w:r>
          </w:p>
        </w:tc>
        <w:tc>
          <w:tcPr>
            <w:tcW w:type="dxa" w:w="1337"/>
            <w:vAlign w:val="center"/>
          </w:tcPr>
          <w:p>
            <w:r>
              <w:rPr>
                <w:sz w:val="17"/>
              </w:rPr>
              <w:t>0.705</w:t>
            </w:r>
          </w:p>
        </w:tc>
        <w:tc>
          <w:tcPr>
            <w:tcW w:type="dxa" w:w="1337"/>
            <w:vAlign w:val="center"/>
          </w:tcPr>
          <w:p>
            <w:r>
              <w:rPr>
                <w:sz w:val="17"/>
              </w:rPr>
              <w:t>0.594</w:t>
            </w:r>
          </w:p>
        </w:tc>
        <w:tc>
          <w:tcPr>
            <w:tcW w:type="dxa" w:w="1337"/>
            <w:vAlign w:val="center"/>
          </w:tcPr>
          <w:p>
            <w:r>
              <w:rPr>
                <w:sz w:val="17"/>
              </w:rPr>
              <w:t>0.663</w:t>
            </w:r>
          </w:p>
        </w:tc>
        <w:tc>
          <w:tcPr>
            <w:tcW w:type="dxa" w:w="1337"/>
            <w:vAlign w:val="center"/>
          </w:tcPr>
          <w:p>
            <w:r>
              <w:rPr>
                <w:sz w:val="17"/>
              </w:rPr>
              <w:t>0.205</w:t>
            </w:r>
          </w:p>
        </w:tc>
      </w:tr>
      <w:tr>
        <w:tc>
          <w:tcPr>
            <w:tcW w:type="dxa" w:w="1337"/>
            <w:vAlign w:val="center"/>
          </w:tcPr>
          <w:p>
            <w:r>
              <w:rPr>
                <w:sz w:val="17"/>
              </w:rPr>
              <w:t>Random forest</w:t>
            </w:r>
          </w:p>
        </w:tc>
        <w:tc>
          <w:tcPr>
            <w:tcW w:type="dxa" w:w="1337"/>
            <w:vAlign w:val="center"/>
          </w:tcPr>
          <w:p>
            <w:r>
              <w:rPr>
                <w:sz w:val="17"/>
              </w:rPr>
              <w:t>0.714</w:t>
            </w:r>
          </w:p>
        </w:tc>
        <w:tc>
          <w:tcPr>
            <w:tcW w:type="dxa" w:w="1337"/>
            <w:vAlign w:val="center"/>
          </w:tcPr>
          <w:p>
            <w:r>
              <w:rPr>
                <w:sz w:val="17"/>
              </w:rPr>
              <w:t>0.524</w:t>
            </w:r>
          </w:p>
        </w:tc>
        <w:tc>
          <w:tcPr>
            <w:tcW w:type="dxa" w:w="1337"/>
            <w:vAlign w:val="center"/>
          </w:tcPr>
          <w:p>
            <w:r>
              <w:rPr>
                <w:sz w:val="17"/>
              </w:rPr>
              <w:t>0.693</w:t>
            </w:r>
          </w:p>
        </w:tc>
        <w:tc>
          <w:tcPr>
            <w:tcW w:type="dxa" w:w="1337"/>
            <w:vAlign w:val="center"/>
          </w:tcPr>
          <w:p>
            <w:r>
              <w:rPr>
                <w:sz w:val="17"/>
              </w:rPr>
              <w:t>0.574</w:t>
            </w:r>
          </w:p>
        </w:tc>
        <w:tc>
          <w:tcPr>
            <w:tcW w:type="dxa" w:w="1337"/>
            <w:vAlign w:val="center"/>
          </w:tcPr>
          <w:p>
            <w:r>
              <w:rPr>
                <w:sz w:val="17"/>
              </w:rPr>
              <w:t>0.663</w:t>
            </w:r>
          </w:p>
        </w:tc>
        <w:tc>
          <w:tcPr>
            <w:tcW w:type="dxa" w:w="1337"/>
            <w:vAlign w:val="center"/>
          </w:tcPr>
          <w:p>
            <w:r>
              <w:rPr>
                <w:sz w:val="17"/>
              </w:rPr>
              <w:t>0.211</w:t>
            </w:r>
          </w:p>
        </w:tc>
      </w:tr>
    </w:tbl>
    <w:bookmarkEnd w:id="32"/>
    <w:bookmarkEnd w:id="33"/>
    <w:bookmarkStart w:id="38" w:name="discussion"/>
    <w:p>
      <w:pPr>
        <w:pStyle w:val="Heading1"/>
      </w:pPr>
      <w:r>
        <w:t xml:space="preserve">4. Discussion</w:t>
      </w:r>
    </w:p>
    <w:bookmarkStart w:id="34" w:name="principal-findings"/>
    <w:p>
      <w:pPr>
        <w:pStyle w:val="Heading2"/>
      </w:pPr>
      <w:r>
        <w:t xml:space="preserve">4.1 Principal findings</w:t>
      </w:r>
    </w:p>
    <w:p>
      <w:pPr>
        <w:pStyle w:val="FirstParagraph"/>
      </w:pPr>
      <w:r>
        <w:t>The central finding is more cautious after the added spatial validation. A leakage-aware logistic-regression model separated strong from lower-magnitude reported events with high ranking performance in the random July 2026 split, missing only one of 154 strong events in that held-out partition. However, leave-one-geographic-quadrant-out validation reduced mean ROC-AUC to 0.752 and exposed weaker geographic transfer. The random split result is therefore best interpreted as within-snapshot discrimination, not as evidence that the model generalises reliably across regions.</w:t>
      </w:r>
    </w:p>
    <w:p>
      <w:pPr>
        <w:pStyle w:val="BodyText"/>
      </w:pPr>
      <w:r>
        <w:t xml:space="preserve">The result does not imply that secondary metadata can forecast earthquakes. All predictors describe events that had already occurred and been reported. Rather, it shows that recorded spatial, temporal, depth-related, and event metadata contained patterns associated with the magnitude-defined class. Any operational claim beyond post-event screening would require a prediction time-point specification, predictors genuinely available before that time, prospective testing, and seismological validation.</w:t>
      </w:r>
    </w:p>
    <w:bookmarkEnd w:id="34"/>
    <w:bookmarkStart w:id="35" w:name="interpretation-of-model-performance"/>
    <w:p>
      <w:pPr>
        <w:pStyle w:val="Heading2"/>
      </w:pPr>
      <w:r>
        <w:t xml:space="preserve">4.2 Interpretation of model performance</w:t>
      </w:r>
    </w:p>
    <w:p>
      <w:pPr>
        <w:pStyle w:val="FirstParagraph"/>
      </w:pPr>
      <w:r>
        <w:t>Logistic regression slightly outperformed the ensemble models in random-split ROC-AUC even though the ensembles obtained marginally greater accuracy. This apparent difference is consistent with class imbalance: a classifier can improve aggregate accuracy by being conservative about the minority class, while missing a larger proportion of strong events. The spatial holdout results add an important qualification: model ranking was less stable across regions, and Extra Trees produced stronger mean balanced accuracy while logistic regression preserved higher mean recall. The precision, recall, F1-score, balanced accuracy, average precision, Brier score, and confusion matrix therefore provide essential context alongside ROC-AUC and accuracy (Saito &amp; Rehmsmeier, 2015).</w:t>
      </w:r>
    </w:p>
    <w:p>
      <w:pPr>
        <w:pStyle w:val="BodyText"/>
      </w:pPr>
      <w:r>
        <w:t xml:space="preserve">The strong performance of the linear baseline suggests that, after transformation and encoding, the retained attributes supported an approximately linear separation in log-odds space. This does not establish that the underlying geophysical process is linear. It only indicates that, for this dataset and outcome definition, additional nonlinear flexibility did not improve the primary ranking metric. Simpler models may be preferable when their performance is competitive because coefficients and decision behaviour are easier to inspect, reproduce, and challenge.</w:t>
      </w:r>
    </w:p>
    <w:bookmarkEnd w:id="35"/>
    <w:bookmarkStart w:id="36" w:name="leakage-control-and-scientific-validity"/>
    <w:p>
      <w:pPr>
        <w:pStyle w:val="Heading2"/>
      </w:pPr>
      <w:r>
        <w:t xml:space="preserve">4.3 Leakage control and scientific validity</w:t>
      </w:r>
    </w:p>
    <w:p>
      <w:pPr>
        <w:pStyle w:val="FirstParagraph"/>
      </w:pPr>
      <w:r>
        <w:t xml:space="preserve">Excluding magnitude was indispensable: because magnitude defined the label, retaining it would reduce classification to a restatement of the outcome rule. Removing significance was also a conservative choice because magnitude contributes to that composite field. Leakage-aware design requires each candidate feature to be evaluated against the intended moment of prediction and the mechanism by which the outcome was constructed (Kaufman et al., 2012). This eligibility audit is more important than selecting a sophisticated algorithm; no evaluation metric can rescue a model that has been given illegitimate outcome information.</w:t>
      </w:r>
    </w:p>
    <w:p>
      <w:pPr>
        <w:pStyle w:val="BodyText"/>
      </w:pPr>
      <w:r>
        <w:t xml:space="preserve">The remaining high ROC-AUC should nevertheless be interpreted cautiously. Other metadata may contain indirect magnitude signals even when they are not formally derived from magnitude. A stronger follow-up analysis should conduct feature ablation, permutation tests, coefficient inspection, and geographically or temporally separated validation to determine which variables carry the discrimination and whether those associations persist across feed windows.</w:t>
      </w:r>
    </w:p>
    <w:bookmarkEnd w:id="36"/>
    <w:bookmarkStart w:id="37" w:name="practical-implications"/>
    <w:p>
      <w:pPr>
        <w:pStyle w:val="Heading2"/>
      </w:pPr>
      <w:r>
        <w:t xml:space="preserve">4.4 Practical implications</w:t>
      </w:r>
    </w:p>
    <w:p>
      <w:pPr>
        <w:pStyle w:val="FirstParagraph"/>
      </w:pPr>
      <w:r>
        <w:t xml:space="preserve">For data-science practice, the workflow offers three transferable lessons. First, define the prediction task and time point before feature engineering. Second, remove direct and proxy representations of the target before model comparison. Third, report class-specific performance rather than relying on accuracy alone. These principles apply broadly to public administrative, health, environmental, and operational datasets in which downstream fields often encode earlier decisions or measurements.</w:t>
      </w:r>
    </w:p>
    <w:bookmarkEnd w:id="37"/>
    <w:bookmarkEnd w:id="38"/>
    <w:bookmarkStart w:id="39" w:name="limitations"/>
    <w:p>
      <w:pPr>
        <w:pStyle w:val="Heading1"/>
      </w:pPr>
      <w:r>
        <w:t xml:space="preserve">5. Limitations</w:t>
      </w:r>
    </w:p>
    <w:p>
      <w:pPr>
        <w:numPr>
          <w:ilvl w:val="0"/>
          <w:numId w:val="1001"/>
        </w:numPr>
        <w:pStyle w:val="Compact"/>
      </w:pPr>
      <w:r>
        <w:t>The analysis used a single one-month snapshot. Earthquake frequency, reporting completeness, network coverage, and regional composition can vary over time; performance should therefore be tested on later, untouched feed windows. The added spatial holdout is stricter than a random split, but it remains an internal geographic validation rather than a true external validation dataset.</w:t>
      </w:r>
    </w:p>
    <w:p>
      <w:pPr>
        <w:numPr>
          <w:ilvl w:val="0"/>
          <w:numId w:val="1001"/>
        </w:numPr>
        <w:pStyle w:val="Compact"/>
      </w:pPr>
      <w:r>
        <w:t xml:space="preserve">The study classified already reported events and cannot support claims about earthquake forecasting, early warning, hazard, damage, or societal impact.</w:t>
      </w:r>
    </w:p>
    <w:p>
      <w:pPr>
        <w:numPr>
          <w:ilvl w:val="0"/>
          <w:numId w:val="1001"/>
        </w:numPr>
        <w:pStyle w:val="Compact"/>
      </w:pPr>
      <w:r>
        <w:t xml:space="preserve">The magnitude ≥ 4.5 threshold was an analytical choice rather than a universal seismological or risk threshold. Results are conditional on this definition.</w:t>
      </w:r>
    </w:p>
    <w:p>
      <w:pPr>
        <w:numPr>
          <w:ilvl w:val="0"/>
          <w:numId w:val="1001"/>
        </w:numPr>
        <w:pStyle w:val="Compact"/>
      </w:pPr>
      <w:r>
        <w:t xml:space="preserve">The predictors omitted tectonic plate boundaries, fault proximity, waveform data, station geometry, soil conditions, population exposure, and built-environment vulnerability.</w:t>
      </w:r>
    </w:p>
    <w:p>
      <w:pPr>
        <w:numPr>
          <w:ilvl w:val="0"/>
          <w:numId w:val="1001"/>
        </w:numPr>
        <w:pStyle w:val="Compact"/>
      </w:pPr>
      <w:r>
        <w:t>A random stratified split may place geographically or temporally related events in both training and test sets. This manuscript now includes a broad leave-one-quadrant-out validation, but finer spatial blocks, tectonic-region grouping, and forward-time validation would still provide stricter estimates of generalisation.</w:t>
      </w:r>
    </w:p>
    <w:p>
      <w:pPr>
        <w:numPr>
          <w:ilvl w:val="0"/>
          <w:numId w:val="1001"/>
        </w:numPr>
        <w:pStyle w:val="Compact"/>
      </w:pPr>
      <w:r>
        <w:t xml:space="preserve">The original summary did not specify the cross-validation fold count, random seed, complete parameter distributions, or software versions. These details should be frozen in a release manifest before journal submission.</w:t>
      </w:r>
    </w:p>
    <w:p>
      <w:pPr>
        <w:numPr>
          <w:ilvl w:val="0"/>
          <w:numId w:val="1001"/>
        </w:numPr>
        <w:pStyle w:val="Compact"/>
      </w:pPr>
      <w:r>
        <w:t>The reported metrics assess discrimination at one threshold; calibration, decision-curve analysis, uncertainty intervals, and threshold selection based on explicit costs were not evaluated. The Brier score was added for the spatial validation summary, but fuller calibration assessment remains necessary before any applied interpretation.</w:t>
      </w:r>
    </w:p>
    <w:bookmarkEnd w:id="39"/>
    <w:bookmarkStart w:id="40" w:name="conclusion"/>
    <w:p>
      <w:pPr>
        <w:pStyle w:val="Heading1"/>
      </w:pPr>
      <w:r>
        <w:t xml:space="preserve">6. Conclusion</w:t>
      </w:r>
    </w:p>
    <w:p>
      <w:pPr>
        <w:pStyle w:val="FirstParagraph"/>
      </w:pPr>
      <w:r>
        <w:t>Using 10,464 cleaned records from the USGS all-earthquakes monthly feed, this study found that logistic regression classified magnitude-defined strong reported events with ROC-AUC 0.986 and recall 0.994 in a random held-out split after raw magnitude and USGS significance were excluded. A stricter leave-one-geographic-quadrant-out validation reduced mean logistic-regression ROC-AUC to 0.752, showing that the random split overstated geographic generalisation. The study supports careful feature eligibility, interpretable baselines, and class-sensitive evaluation, but it does not demonstrate earthquake forecasting. Later-window temporal validation, finer geographic validation, fuller reporting of computational settings, and investigation of residual proxy features are required before the model can be interpreted beyond this reproducible retrospective case study.</w:t>
      </w:r>
    </w:p>
    <w:bookmarkEnd w:id="40"/>
    <w:bookmarkStart w:id="42" w:name="declarations"/>
    <w:p>
      <w:pPr>
        <w:pStyle w:val="Heading1"/>
      </w:pPr>
      <w:r>
        <w:t xml:space="preserve">Declarations</w:t>
      </w:r>
    </w:p>
    <w:p>
      <w:pPr>
        <w:pStyle w:val="FirstParagraph"/>
      </w:pPr>
      <w:r>
        <w:rPr>
          <w:bCs/>
          <w:b/>
        </w:rPr>
        <w:t xml:space="preserve">Data availability:</w:t>
      </w:r>
      <w:r>
        <w:t xml:space="preserve"> </w:t>
      </w:r>
      <w:r>
        <w:t xml:space="preserve">The source event data are publicly available through the USGS Earthquake Hazards Program. The project repository contains the downloaded analytical snapshot and generated outputs.</w:t>
      </w:r>
    </w:p>
    <w:p>
      <w:pPr>
        <w:pStyle w:val="BodyText"/>
      </w:pPr>
      <w:r>
        <w:t>Code availability: Analysis code, model artefacts, and the added spatial-validation script are available at https://github.com/Edy-King/global-earthquake-activity-analysis. A versioned release with an environment lock file, random seed, cross-validation fold count, and validation outputs is recommended for submission.</w:t>
      </w:r>
    </w:p>
    <w:p>
      <w:pPr>
        <w:pStyle w:val="BodyText"/>
      </w:pPr>
      <w:r>
        <w:rPr>
          <w:bCs/>
          <w:b/>
        </w:rPr>
        <w:t xml:space="preserve">Ethics statement:</w:t>
      </w:r>
      <w:r>
        <w:t xml:space="preserve"> </w:t>
      </w:r>
      <w:r>
        <w:t xml:space="preserve">The study used public geophysical event records and involved no human participants, animal subjects, or private personal data.</w:t>
      </w:r>
    </w:p>
    <w:p>
      <w:pPr>
        <w:pStyle w:val="BodyText"/>
      </w:pPr>
      <w:r>
        <w:rPr>
          <w:bCs/>
          <w:b/>
        </w:rPr>
        <w:t xml:space="preserve">Competing interests:</w:t>
      </w:r>
      <w:r>
        <w:t xml:space="preserve"> </w:t>
      </w:r>
      <w:r>
        <w:t xml:space="preserve">The author declares no competing interests.</w:t>
      </w:r>
    </w:p>
    <w:p>
      <w:pPr>
        <w:pStyle w:val="BodyText"/>
      </w:pPr>
      <w:r>
        <w:rPr>
          <w:bCs/>
          <w:b/>
        </w:rPr>
        <w:t xml:space="preserve">Funding:</w:t>
      </w:r>
      <w:r>
        <w:t xml:space="preserve"> </w:t>
      </w:r>
      <w:r>
        <w:t xml:space="preserve">No external funding was received for this work.</w:t>
      </w:r>
    </w:p>
    <w:p>
      <w:pPr>
        <w:pStyle w:val="BodyText"/>
      </w:pPr>
      <w:r>
        <w:rPr>
          <w:bCs/>
          <w:b/>
        </w:rPr>
        <w:t xml:space="preserve">Author contributions:</w:t>
      </w:r>
      <w:r>
        <w:t xml:space="preserve"> </w:t>
      </w:r>
      <w:r>
        <w:t xml:space="preserve">Edward Osikem Okhumaile conceptualized the study, curated and analysed the data, developed and evaluated the models, interpreted the results, and prepared the manuscript.</w:t>
      </w:r>
    </w:p>
    <w:bookmarkEnd w:id="42"/>
    <w:bookmarkStart w:id="53" w:name="references"/>
    <w:p>
      <w:pPr>
        <w:pStyle w:val="Heading1"/>
      </w:pPr>
      <w:r>
        <w:t xml:space="preserve">References</w:t>
      </w:r>
    </w:p>
    <w:p>
      <w:pPr>
        <w:pStyle w:val="FirstParagraph"/>
      </w:pPr>
      <w:r>
        <w:t xml:space="preserve">Breiman, L. (2001). Random forests.</w:t>
      </w:r>
      <w:r>
        <w:t xml:space="preserve"> </w:t>
      </w:r>
      <w:r>
        <w:rPr>
          <w:iCs/>
          <w:i/>
        </w:rPr>
        <w:t xml:space="preserve">Machine Learning, 45</w:t>
      </w:r>
      <w:r>
        <w:t xml:space="preserve">, 5–32.</w:t>
      </w:r>
      <w:r>
        <w:t xml:space="preserve"> </w:t>
      </w:r>
      <w:hyperlink r:id="rId43">
        <w:r>
          <w:rPr>
            <w:rStyle w:val="Hyperlink"/>
          </w:rPr>
          <w:t xml:space="preserve">https://doi.org/10.1023/A:1010933404324</w:t>
        </w:r>
      </w:hyperlink>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215–242.</w:t>
      </w:r>
      <w:r>
        <w:t xml:space="preserve"> </w:t>
      </w:r>
      <w:hyperlink r:id="rId44">
        <w:r>
          <w:rPr>
            <w:rStyle w:val="Hyperlink"/>
          </w:rPr>
          <w:t xml:space="preserve">https://www.jstor.org/stable/2983890</w:t>
        </w:r>
      </w:hyperlink>
    </w:p>
    <w:p>
      <w:pPr>
        <w:pStyle w:val="BodyText"/>
      </w:pPr>
      <w:r>
        <w:t xml:space="preserve">Friedman, J. H. (2001). Greedy function approximation: A gradient boosting machine.</w:t>
      </w:r>
      <w:r>
        <w:t xml:space="preserve"> </w:t>
      </w:r>
      <w:r>
        <w:rPr>
          <w:iCs/>
          <w:i/>
        </w:rPr>
        <w:t xml:space="preserve">The Annals of Statistics, 29</w:t>
      </w:r>
      <w:r>
        <w:t xml:space="preserve">(5), 1189–1232.</w:t>
      </w:r>
      <w:r>
        <w:t xml:space="preserve"> </w:t>
      </w:r>
      <w:hyperlink r:id="rId45">
        <w:r>
          <w:rPr>
            <w:rStyle w:val="Hyperlink"/>
          </w:rPr>
          <w:t xml:space="preserve">https://doi.org/10.1214/aos/1013203451</w:t>
        </w:r>
      </w:hyperlink>
    </w:p>
    <w:p>
      <w:pPr>
        <w:pStyle w:val="BodyText"/>
      </w:pPr>
      <w:r>
        <w:t xml:space="preserve">Geurts, P., Ernst, D., &amp; Wehenkel, L. (2006). Extremely randomized trees.</w:t>
      </w:r>
      <w:r>
        <w:t xml:space="preserve"> </w:t>
      </w:r>
      <w:r>
        <w:rPr>
          <w:iCs/>
          <w:i/>
        </w:rPr>
        <w:t xml:space="preserve">Machine Learning, 63</w:t>
      </w:r>
      <w:r>
        <w:t xml:space="preserve">, 3–42.</w:t>
      </w:r>
      <w:r>
        <w:t xml:space="preserve"> </w:t>
      </w:r>
      <w:hyperlink r:id="rId46">
        <w:r>
          <w:rPr>
            <w:rStyle w:val="Hyperlink"/>
          </w:rPr>
          <w:t xml:space="preserve">https://doi.org/10.1007/s10994-006-6226-1</w:t>
        </w:r>
      </w:hyperlink>
    </w:p>
    <w:p>
      <w:pPr>
        <w:pStyle w:val="BodyText"/>
      </w:pPr>
      <w:r>
        <w:t xml:space="preserve">Kaufman, S., Rosset, S., Perlich, C., &amp; Stitelman, O. (2012). Leakage in data mining: Formulation, detection, and avoidance.</w:t>
      </w:r>
      <w:r>
        <w:t xml:space="preserve"> </w:t>
      </w:r>
      <w:r>
        <w:rPr>
          <w:iCs/>
          <w:i/>
        </w:rPr>
        <w:t xml:space="preserve">ACM Transactions on Knowledge Discovery from Data, 6</w:t>
      </w:r>
      <w:r>
        <w:t xml:space="preserve">(4), Article 15.</w:t>
      </w:r>
      <w:r>
        <w:t xml:space="preserve"> </w:t>
      </w:r>
      <w:hyperlink r:id="rId47">
        <w:r>
          <w:rPr>
            <w:rStyle w:val="Hyperlink"/>
          </w:rPr>
          <w:t xml:space="preserve">https://doi.org/10.1145/2382577.2382579</w:t>
        </w:r>
      </w:hyperlink>
    </w:p>
    <w:p>
      <w:pPr>
        <w:pStyle w:val="BodyText"/>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Cs/>
          <w:i/>
        </w:rPr>
        <w:t xml:space="preserve">Journal of Machine Learning Research, 12</w:t>
      </w:r>
      <w:r>
        <w:t xml:space="preserve">, 2825–2830.</w:t>
      </w:r>
      <w:r>
        <w:t xml:space="preserve"> </w:t>
      </w:r>
      <w:hyperlink r:id="rId48">
        <w:r>
          <w:rPr>
            <w:rStyle w:val="Hyperlink"/>
          </w:rPr>
          <w:t xml:space="preserve">https://jmlr.org/papers/v12/pedregosa11a.html</w:t>
        </w:r>
      </w:hyperlink>
    </w:p>
    <w:p>
      <w:pPr>
        <w:pStyle w:val="BodyText"/>
      </w:pPr>
      <w:r>
        <w:t xml:space="preserve">Rosenblatt, M., Tejavibulya, L., Jiang, R., Noble, S., &amp; Scheinost, D. (2024). Data leakage inflates prediction performance in connectome-based machine learning models.</w:t>
      </w:r>
      <w:r>
        <w:t xml:space="preserve"> </w:t>
      </w:r>
      <w:r>
        <w:rPr>
          <w:iCs/>
          <w:i/>
        </w:rPr>
        <w:t xml:space="preserve">Nature Communications, 15</w:t>
      </w:r>
      <w:r>
        <w:t xml:space="preserve">, 1829.</w:t>
      </w:r>
      <w:r>
        <w:t xml:space="preserve"> </w:t>
      </w:r>
      <w:hyperlink r:id="rId49">
        <w:r>
          <w:rPr>
            <w:rStyle w:val="Hyperlink"/>
          </w:rPr>
          <w:t xml:space="preserve">https://doi.org/10.1038/s41467-024-46150-w</w:t>
        </w:r>
      </w:hyperlink>
    </w:p>
    <w:p>
      <w:pPr>
        <w:pStyle w:val="BodyText"/>
      </w:pPr>
      <w:r>
        <w:t xml:space="preserve">Saito, T., &amp; Rehmsmeier, M. (2015). The precision–recall plot is more informative than the ROC plot when evaluating binary classifiers on imbalanced datasets.</w:t>
      </w:r>
      <w:r>
        <w:t xml:space="preserve"> </w:t>
      </w:r>
      <w:r>
        <w:rPr>
          <w:iCs/>
          <w:i/>
        </w:rPr>
        <w:t xml:space="preserve">PLOS ONE, 10</w:t>
      </w:r>
      <w:r>
        <w:t xml:space="preserve">(3), e0118432.</w:t>
      </w:r>
      <w:r>
        <w:t xml:space="preserve"> </w:t>
      </w:r>
      <w:hyperlink r:id="rId50">
        <w:r>
          <w:rPr>
            <w:rStyle w:val="Hyperlink"/>
          </w:rPr>
          <w:t xml:space="preserve">https://doi.org/10.1371/journal.pone.0118432</w:t>
        </w:r>
      </w:hyperlink>
    </w:p>
    <w:p>
      <w:pPr>
        <w:pStyle w:val="BodyText"/>
      </w:pPr>
      <w:r>
        <w:t xml:space="preserve">U.S. Geological Survey. (n.d.-a).</w:t>
      </w:r>
      <w:r>
        <w:t xml:space="preserve"> </w:t>
      </w:r>
      <w:r>
        <w:rPr>
          <w:iCs/>
          <w:i/>
        </w:rPr>
        <w:t xml:space="preserve">Real-time notifications, feeds, and web services</w:t>
      </w:r>
      <w:r>
        <w:t xml:space="preserve">. Retrieved July 5, 2026, from</w:t>
      </w:r>
      <w:r>
        <w:t xml:space="preserve"> </w:t>
      </w:r>
      <w:hyperlink r:id="rId51">
        <w:r>
          <w:rPr>
            <w:rStyle w:val="Hyperlink"/>
          </w:rPr>
          <w:t xml:space="preserve">https://earthquake.usgs.gov/earthquakes/feed/</w:t>
        </w:r>
      </w:hyperlink>
    </w:p>
    <w:p>
      <w:pPr>
        <w:pStyle w:val="BodyText"/>
      </w:pPr>
      <w:r>
        <w:t xml:space="preserve">U.S. Geological Survey. (n.d.-b).</w:t>
      </w:r>
      <w:r>
        <w:t xml:space="preserve"> </w:t>
      </w:r>
      <w:r>
        <w:rPr>
          <w:iCs/>
          <w:i/>
        </w:rPr>
        <w:t xml:space="preserve">GeoJSON summary format</w:t>
      </w:r>
      <w:r>
        <w:t xml:space="preserve">. Retrieved July 5, 2026, from</w:t>
      </w:r>
      <w:r>
        <w:t xml:space="preserve"> </w:t>
      </w:r>
      <w:hyperlink r:id="rId52">
        <w:r>
          <w:rPr>
            <w:rStyle w:val="Hyperlink"/>
          </w:rPr>
          <w:t xml:space="preserve">https://earthquake.usgs.gov/earthquakes/feed/v1.0/geojson.php</w:t>
        </w:r>
      </w:hyperlink>
    </w:p>
    <w:bookmarkEnd w:id="53"/>
    <w:sectPr w:rsidR="00FC693F" w:rsidRPr="0006063C" w:rsidSect="00034616">
      <w:headerReference r:id="rId9" w:type="default"/>
      <w:footerReference r:id="rId10" w:type="default"/>
      <w:pgSz w:h="15840" w:w="12240"/>
      <w:pgMar w:bottom="1080"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667788"/>
        <w:sz w:val="16"/>
      </w:rPr>
      <w:t>LEAKAGE-AWARE CLASSIFICATION OF STRONG EARTHQUAKE EVENTS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69"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40"/>
      <w:outlineLvl w:val="0"/>
    </w:pPr>
    <w:rPr>
      <w:rFonts w:ascii="Aptos Display" w:asciiTheme="majorHAnsi" w:cstheme="majorBidi" w:eastAsiaTheme="majorEastAsia" w:hAnsi="Aptos Display" w:hAnsiTheme="majorHAnsi"/>
      <w:b/>
      <w:bCs/>
      <w:color w:val="17365D"/>
      <w:sz w:val="30"/>
      <w:szCs w:val="28"/>
    </w:rPr>
  </w:style>
  <w:style w:styleId="Heading2" w:type="paragraph">
    <w:name w:val="heading 2"/>
    <w:basedOn w:val="Normal"/>
    <w:next w:val="Normal"/>
    <w:link w:val="Heading2Char"/>
    <w:uiPriority w:val="9"/>
    <w:unhideWhenUsed/>
    <w:qFormat/>
    <w:rsid w:val="00FC693F"/>
    <w:pPr>
      <w:keepNext/>
      <w:keepLines/>
      <w:spacing w:after="60" w:before="180"/>
      <w:outlineLvl w:val="1"/>
    </w:pPr>
    <w:rPr>
      <w:rFonts w:ascii="Aptos Display" w:asciiTheme="majorHAnsi" w:cstheme="majorBidi" w:eastAsiaTheme="majorEastAsia" w:hAnsi="Aptos Display" w:hAnsiTheme="majorHAnsi"/>
      <w:b/>
      <w:bCs/>
      <w:color w:val="245B78"/>
      <w:sz w:val="24"/>
      <w:szCs w:val="26"/>
    </w:rPr>
  </w:style>
  <w:style w:styleId="Heading3" w:type="paragraph">
    <w:name w:val="heading 3"/>
    <w:basedOn w:val="Normal"/>
    <w:next w:val="Normal"/>
    <w:link w:val="Heading3Char"/>
    <w:uiPriority w:val="9"/>
    <w:unhideWhenUsed/>
    <w:qFormat/>
    <w:rsid w:val="00FC693F"/>
    <w:pPr>
      <w:keepNext/>
      <w:keepLines/>
      <w:spacing w:after="40" w:before="140"/>
      <w:outlineLvl w:val="2"/>
    </w:pPr>
    <w:rPr>
      <w:rFonts w:ascii="Aptos Display" w:asciiTheme="majorHAnsi" w:cstheme="majorBidi" w:eastAsiaTheme="majorEastAsia" w:hAnsi="Aptos Display" w:hAnsiTheme="majorHAnsi"/>
      <w:b/>
      <w:bCs/>
      <w:color w:val="245B78"/>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00" w:before="0" w:line="240" w:lineRule="auto"/>
      <w:contextualSpacing/>
    </w:pPr>
    <w:rPr>
      <w:rFonts w:ascii="Aptos Display" w:asciiTheme="majorHAnsi" w:cstheme="majorBidi" w:eastAsiaTheme="majorEastAsia" w:hAnsi="Aptos Display" w:hAnsiTheme="majorHAnsi"/>
      <w:b/>
      <w:color w:val="17365D"/>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60" w:before="0"/>
    </w:pPr>
    <w:rPr>
      <w:rFonts w:ascii="Aptos Display" w:asciiTheme="majorHAnsi" w:cstheme="majorBidi" w:eastAsiaTheme="majorEastAsia" w:hAnsi="Aptos Display" w:hAnsiTheme="majorHAnsi"/>
      <w:b w:val="0"/>
      <w:i/>
      <w:iCs/>
      <w:color w:val="4C647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60" w:before="120" w:line="240" w:lineRule="auto"/>
    </w:pPr>
    <w:rPr>
      <w:rFonts w:ascii="Aptos" w:hAnsi="Aptos"/>
      <w:b/>
      <w:bCs/>
      <w:color w:val="17365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9" Type="http://schemas.openxmlformats.org/officeDocument/2006/relationships/image" Target="media/rId29.png"/><Relationship Id="rId46" Type="http://schemas.openxmlformats.org/officeDocument/2006/relationships/hyperlink" Target="https://doi.org/10.1007/s10994-006-6226-1" TargetMode="External"/><Relationship Id="rId43" Type="http://schemas.openxmlformats.org/officeDocument/2006/relationships/hyperlink" Target="https://doi.org/10.1023/A:1010933404324" TargetMode="External"/><Relationship Id="rId49" Type="http://schemas.openxmlformats.org/officeDocument/2006/relationships/hyperlink" Target="https://doi.org/10.1038/s41467-024-46150-w" TargetMode="External"/><Relationship Id="rId47" Type="http://schemas.openxmlformats.org/officeDocument/2006/relationships/hyperlink" Target="https://doi.org/10.1145/2382577.2382579" TargetMode="External"/><Relationship Id="rId45" Type="http://schemas.openxmlformats.org/officeDocument/2006/relationships/hyperlink" Target="https://doi.org/10.1214/aos/1013203451" TargetMode="External"/><Relationship Id="rId50" Type="http://schemas.openxmlformats.org/officeDocument/2006/relationships/hyperlink" Target="https://doi.org/10.1371/journal.pone.0118432" TargetMode="External"/><Relationship Id="rId51" Type="http://schemas.openxmlformats.org/officeDocument/2006/relationships/hyperlink" Target="https://earthquake.usgs.gov/earthquakes/feed/" TargetMode="External"/><Relationship Id="rId52" Type="http://schemas.openxmlformats.org/officeDocument/2006/relationships/hyperlink" Target="https://earthquake.usgs.gov/earthquakes/feed/v1.0/geojson.php" TargetMode="External"/><Relationship Id="rId41" Type="http://schemas.openxmlformats.org/officeDocument/2006/relationships/hyperlink" Target="https://github.com/Edy-King/global-earthquake-activity-analysis" TargetMode="External"/><Relationship Id="rId48" Type="http://schemas.openxmlformats.org/officeDocument/2006/relationships/hyperlink" Target="https://jmlr.org/papers/v12/pedregosa11a.html" TargetMode="External"/><Relationship Id="rId44" Type="http://schemas.openxmlformats.org/officeDocument/2006/relationships/hyperlink" Target="https://www.jstor.org/stable/2983890"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doi.org/10.1007/s10994-006-6226-1" TargetMode="External"/><Relationship Id="rId43" Type="http://schemas.openxmlformats.org/officeDocument/2006/relationships/hyperlink" Target="https://doi.org/10.1023/A:1010933404324" TargetMode="External"/><Relationship Id="rId49" Type="http://schemas.openxmlformats.org/officeDocument/2006/relationships/hyperlink" Target="https://doi.org/10.1038/s41467-024-46150-w" TargetMode="External"/><Relationship Id="rId47" Type="http://schemas.openxmlformats.org/officeDocument/2006/relationships/hyperlink" Target="https://doi.org/10.1145/2382577.2382579" TargetMode="External"/><Relationship Id="rId45" Type="http://schemas.openxmlformats.org/officeDocument/2006/relationships/hyperlink" Target="https://doi.org/10.1214/aos/1013203451" TargetMode="External"/><Relationship Id="rId50" Type="http://schemas.openxmlformats.org/officeDocument/2006/relationships/hyperlink" Target="https://doi.org/10.1371/journal.pone.0118432" TargetMode="External"/><Relationship Id="rId51" Type="http://schemas.openxmlformats.org/officeDocument/2006/relationships/hyperlink" Target="https://earthquake.usgs.gov/earthquakes/feed/" TargetMode="External"/><Relationship Id="rId52" Type="http://schemas.openxmlformats.org/officeDocument/2006/relationships/hyperlink" Target="https://earthquake.usgs.gov/earthquakes/feed/v1.0/geojson.php" TargetMode="External"/><Relationship Id="rId41" Type="http://schemas.openxmlformats.org/officeDocument/2006/relationships/hyperlink" Target="https://github.com/Edy-King/global-earthquake-activity-analysis" TargetMode="External"/><Relationship Id="rId48" Type="http://schemas.openxmlformats.org/officeDocument/2006/relationships/hyperlink" Target="https://jmlr.org/papers/v12/pedregosa11a.html" TargetMode="External"/><Relationship Id="rId44" Type="http://schemas.openxmlformats.org/officeDocument/2006/relationships/hyperlink" Target="https://www.jstor.org/stable/29838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Leakage-Aware Classification of Strong Earthquake Events Using Global USGS Records</dc:title>
  <dc:creator>Edward Osikem Okhumaile</dc:creator>
  <cp:keywords>earthquakes, USGS, target leakage, imbalanced classification, logistic regression, reproducible research</cp:keywords>
  <dcterms:created xsi:type="dcterms:W3CDTF">2026-07-21T20:57:57Z</dcterms:created>
  <dcterms:modified xsi:type="dcterms:W3CDTF">2026-07-21T20:57:57Z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subtitle">
    <vt:lpwstr>A reproducible machine-learning study of post-event classification</vt:lpwstr>
  </property>
</Properties>
</file>