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LITE pad wired to A0 for backlight PWM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(being replaced)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will be replaced with tactile switch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SDA/SCL/MI/MO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PWM on A1 allows variable motor strength via duty cycle. Five pins free for future expansion.</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Future Features</w:t>
      </w:r>
    </w:p>
    <w:p>
      <w:pPr>
        <w:pStyle w:val="Heading2"/>
      </w:pPr>
      <w:r>
        <w:t xml:space="preserve">Planned —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 IoT Button BFF with tactile switches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tactile switches wired to A2 and BOOT castellated pads. Enables case design with positioned buttons. Stack becomes EYESPI BFF → QT Py → Charger BFF (3 boards).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button parallel wire or remap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Option 1: wire tactile switch in parallel with onboard BOOT button. Option 2: remap to SDA or SCL in code.</w:t>
            </w:r>
          </w:p>
        </w:tc>
      </w:tr>
    </w:tbl>
    <w:p/>
    <w:p>
      <w:pPr>
        <w:pStyle w:val="Heading2"/>
      </w:pPr>
      <w:r>
        <w:t xml:space="preserve">Planned —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sync with metronome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beat colour through translucent case window. Needs memory headroom check first.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Was implemented but caused BAT label interference due to variable-width lbl_note bounding box. Fix: use fixed-width label text so bounding box never changes.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rtc.calibration offset available once drift measured over 24h.</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2026-04-03T20:42:10.505Z</dcterms:created>
  <dcterms:modified xsi:type="dcterms:W3CDTF">2026-04-03T20:42:10.507Z</dcterms:modified>
</cp:coreProperties>
</file>

<file path=docProps/custom.xml><?xml version="1.0" encoding="utf-8"?>
<Properties xmlns="http://schemas.openxmlformats.org/officeDocument/2006/custom-properties" xmlns:vt="http://schemas.openxmlformats.org/officeDocument/2006/docPropsVTypes"/>
</file>