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38A" w14:textId="10B69F72" w:rsidR="0015106E" w:rsidRDefault="0015106E" w:rsidP="0015106E">
      <w:pPr>
        <w:rPr>
          <w:rFonts w:hint="eastAsia"/>
        </w:rPr>
      </w:pPr>
      <w:r>
        <w:rPr>
          <w:rFonts w:hint="eastAsia"/>
        </w:rPr>
        <w:t>评价指标：对冲标准差缩小比率即1</w:t>
      </w:r>
      <w:r>
        <w:t xml:space="preserve">- </w:t>
      </w:r>
      <w:r>
        <w:rPr>
          <w:rFonts w:hint="eastAsia"/>
        </w:rPr>
        <w:t>Hedge</w:t>
      </w:r>
      <w:r>
        <w:t xml:space="preserve"> Std / BondYield std</w:t>
      </w:r>
    </w:p>
    <w:p w14:paraId="6A34DB6F" w14:textId="527A2F33" w:rsidR="0015106E" w:rsidRDefault="0015106E" w:rsidP="0015106E">
      <w:r>
        <w:rPr>
          <w:rFonts w:hint="eastAsia"/>
        </w:rPr>
        <w:t>valid：验证集2</w:t>
      </w:r>
      <w:r>
        <w:t>015-2019</w:t>
      </w:r>
      <w:r>
        <w:rPr>
          <w:rFonts w:hint="eastAsia"/>
        </w:rPr>
        <w:t>年</w:t>
      </w:r>
    </w:p>
    <w:p w14:paraId="08D3156F" w14:textId="77777777" w:rsidR="0015106E" w:rsidRDefault="0015106E" w:rsidP="0015106E">
      <w:pPr>
        <w:rPr>
          <w:rFonts w:hint="eastAsia"/>
        </w:rPr>
      </w:pPr>
      <w:r>
        <w:rPr>
          <w:rFonts w:hint="eastAsia"/>
        </w:rPr>
        <w:t>test：测试集2</w:t>
      </w:r>
      <w:r>
        <w:t>020-2022</w:t>
      </w:r>
      <w:r>
        <w:rPr>
          <w:rFonts w:hint="eastAsia"/>
        </w:rPr>
        <w:t>年</w:t>
      </w:r>
    </w:p>
    <w:p w14:paraId="3CCAFDDF" w14:textId="3F38FEAE" w:rsidR="0015106E" w:rsidRDefault="0015106E"/>
    <w:p w14:paraId="088F292A" w14:textId="389EA21B" w:rsidR="0015106E" w:rsidRDefault="0015106E" w:rsidP="001510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模型测试</w:t>
      </w:r>
    </w:p>
    <w:p w14:paraId="301283B7" w14:textId="60DED0FC" w:rsidR="00EF704D" w:rsidRDefault="003C1CC3">
      <w:r>
        <w:t>model_val.csv</w:t>
      </w:r>
      <w:r>
        <w:rPr>
          <w:rFonts w:hint="eastAsia"/>
        </w:rPr>
        <w:t>为不同模型及对应参数对应的对冲结果。</w:t>
      </w:r>
    </w:p>
    <w:p w14:paraId="0B297B94" w14:textId="3D72C1CE" w:rsidR="003C1CC3" w:rsidRDefault="003C1CC3">
      <w:r>
        <w:rPr>
          <w:rFonts w:hint="eastAsia"/>
        </w:rPr>
        <w:t>model</w:t>
      </w:r>
      <w:r>
        <w:t>: OLS, WLS, VAR</w:t>
      </w:r>
    </w:p>
    <w:p w14:paraId="7681DB71" w14:textId="52A11E45" w:rsidR="003C1CC3" w:rsidRDefault="003C1CC3">
      <w:r>
        <w:rPr>
          <w:rFonts w:hint="eastAsia"/>
        </w:rPr>
        <w:t>frequency：对冲频率</w:t>
      </w:r>
    </w:p>
    <w:p w14:paraId="0A132FC9" w14:textId="32BBE21B" w:rsidR="003C1CC3" w:rsidRDefault="003C1CC3">
      <w:r>
        <w:rPr>
          <w:rFonts w:hint="eastAsia"/>
        </w:rPr>
        <w:t>trace</w:t>
      </w:r>
      <w:r>
        <w:t xml:space="preserve">_back: </w:t>
      </w:r>
      <w:r>
        <w:rPr>
          <w:rFonts w:hint="eastAsia"/>
        </w:rPr>
        <w:t>回归回看的数据天数</w:t>
      </w:r>
    </w:p>
    <w:p w14:paraId="2A5A8CF4" w14:textId="788ADBE3" w:rsidR="0015106E" w:rsidRDefault="0015106E">
      <w:r>
        <w:rPr>
          <w:rFonts w:hint="eastAsia"/>
        </w:rPr>
        <w:t>注：W</w:t>
      </w:r>
      <w:r>
        <w:t>LS</w:t>
      </w:r>
      <w:r>
        <w:rPr>
          <w:rFonts w:hint="eastAsia"/>
        </w:rPr>
        <w:t>模型有额外的参数h</w:t>
      </w:r>
      <w:r>
        <w:t>alflife</w:t>
      </w:r>
      <w:r>
        <w:rPr>
          <w:rFonts w:hint="eastAsia"/>
        </w:rPr>
        <w:t>半衰期，代表数据的权重随时间的衰减，2代表半衰期为trace</w:t>
      </w:r>
      <w:r>
        <w:t>_back/2</w:t>
      </w:r>
      <w:r>
        <w:rPr>
          <w:rFonts w:hint="eastAsia"/>
        </w:rPr>
        <w:t>，4代表半衰期为t</w:t>
      </w:r>
      <w:r>
        <w:t>race_back/4</w:t>
      </w:r>
    </w:p>
    <w:p w14:paraId="02229372" w14:textId="037F392F" w:rsidR="0015106E" w:rsidRDefault="0015106E"/>
    <w:p w14:paraId="42C17F77" w14:textId="6ADCB94E" w:rsidR="0015106E" w:rsidRDefault="0015106E">
      <w:r>
        <w:rPr>
          <w:rFonts w:hint="eastAsia"/>
        </w:rPr>
        <w:t>从测试结果可以看出，daily频率对冲最优，周期上8</w:t>
      </w:r>
      <w:r>
        <w:t>0</w:t>
      </w:r>
      <w:r>
        <w:rPr>
          <w:rFonts w:hint="eastAsia"/>
        </w:rPr>
        <w:t>和1</w:t>
      </w:r>
      <w:r>
        <w:t>00</w:t>
      </w:r>
      <w:r>
        <w:rPr>
          <w:rFonts w:hint="eastAsia"/>
        </w:rPr>
        <w:t>更优，模型上W</w:t>
      </w:r>
      <w:r>
        <w:t>LS</w:t>
      </w:r>
      <w:r>
        <w:rPr>
          <w:rFonts w:hint="eastAsia"/>
        </w:rPr>
        <w:t>领先于O</w:t>
      </w:r>
      <w:r>
        <w:t>LS</w:t>
      </w:r>
      <w:r>
        <w:rPr>
          <w:rFonts w:hint="eastAsia"/>
        </w:rPr>
        <w:t>领先于</w:t>
      </w:r>
      <w:r>
        <w:t>VAR</w:t>
      </w:r>
      <w:r>
        <w:rPr>
          <w:rFonts w:hint="eastAsia"/>
        </w:rPr>
        <w:t>模型，但整体差距很小，验证集在1</w:t>
      </w:r>
      <w:r>
        <w:t>%</w:t>
      </w:r>
      <w:r>
        <w:rPr>
          <w:rFonts w:hint="eastAsia"/>
        </w:rPr>
        <w:t>以内，测试集在3</w:t>
      </w:r>
      <w:r>
        <w:t>%</w:t>
      </w:r>
      <w:r>
        <w:rPr>
          <w:rFonts w:hint="eastAsia"/>
        </w:rPr>
        <w:t>以内。</w:t>
      </w:r>
    </w:p>
    <w:p w14:paraId="30BDDC8C" w14:textId="77777777" w:rsidR="004F05D6" w:rsidRDefault="004F05D6">
      <w:pPr>
        <w:rPr>
          <w:rFonts w:hint="eastAsia"/>
        </w:rPr>
      </w:pPr>
    </w:p>
    <w:p w14:paraId="7807316C" w14:textId="1BB5ABA2" w:rsidR="0015106E" w:rsidRDefault="004F05D6">
      <w:r w:rsidRPr="004F05D6">
        <w:drawing>
          <wp:inline distT="0" distB="0" distL="0" distR="0" wp14:anchorId="470B8877" wp14:editId="564CAFAA">
            <wp:extent cx="3434715" cy="533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1B94" w14:textId="77777777" w:rsidR="004F05D6" w:rsidRDefault="004F05D6">
      <w:pPr>
        <w:rPr>
          <w:rFonts w:hint="eastAsia"/>
        </w:rPr>
      </w:pPr>
    </w:p>
    <w:p w14:paraId="273F374B" w14:textId="1EC0DBAC" w:rsidR="0015106E" w:rsidRDefault="0015106E" w:rsidP="00151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波动率调仓</w:t>
      </w:r>
    </w:p>
    <w:p w14:paraId="67B80D3B" w14:textId="27D238FC" w:rsidR="0015106E" w:rsidRDefault="0015106E" w:rsidP="0015106E">
      <w:r>
        <w:rPr>
          <w:rFonts w:hint="eastAsia"/>
        </w:rPr>
        <w:lastRenderedPageBreak/>
        <w:t>根据图形发现，收益率曲线波动率较大的时候，期货仓位过少，导致对冲曲线存在方向性，因而根据收益率曲线过去x天的年化波动率是否大于阈值进行加仓。</w:t>
      </w:r>
    </w:p>
    <w:p w14:paraId="46E0D0D2" w14:textId="4853C498" w:rsidR="0015106E" w:rsidRDefault="0015106E" w:rsidP="0015106E">
      <w:r>
        <w:t xml:space="preserve">std_adj.csv </w:t>
      </w:r>
      <w:r>
        <w:rPr>
          <w:rFonts w:hint="eastAsia"/>
        </w:rPr>
        <w:t>为波动率调仓后的结果。</w:t>
      </w:r>
    </w:p>
    <w:p w14:paraId="50A9C3C0" w14:textId="0B60608B" w:rsidR="0015106E" w:rsidRDefault="0015106E" w:rsidP="0015106E">
      <w:pPr>
        <w:rPr>
          <w:rFonts w:hint="eastAsia"/>
        </w:rPr>
      </w:pPr>
      <w:r>
        <w:t>L</w:t>
      </w:r>
      <w:r>
        <w:rPr>
          <w:rFonts w:hint="eastAsia"/>
        </w:rPr>
        <w:t>everage为仓位扩大比率，threshold为波动率阈值，adj</w:t>
      </w:r>
      <w:r>
        <w:t>_days</w:t>
      </w:r>
      <w:r>
        <w:rPr>
          <w:rFonts w:hint="eastAsia"/>
        </w:rPr>
        <w:t>为波动率回看天数。</w:t>
      </w:r>
    </w:p>
    <w:p w14:paraId="726FFB0A" w14:textId="7EC9E131" w:rsidR="004F05D6" w:rsidRDefault="006B28F5" w:rsidP="0015106E">
      <w:r>
        <w:rPr>
          <w:rFonts w:hint="eastAsia"/>
        </w:rPr>
        <w:t>对冲后的效果</w:t>
      </w:r>
      <w:r w:rsidR="004F05D6">
        <w:rPr>
          <w:rFonts w:hint="eastAsia"/>
        </w:rPr>
        <w:t>没有明显的改进，甚至存在部分下降。</w:t>
      </w:r>
    </w:p>
    <w:p w14:paraId="21D0FEE7" w14:textId="77777777" w:rsidR="004F05D6" w:rsidRDefault="004F05D6" w:rsidP="0015106E">
      <w:pPr>
        <w:rPr>
          <w:rFonts w:hint="eastAsia"/>
        </w:rPr>
      </w:pPr>
    </w:p>
    <w:p w14:paraId="59392F87" w14:textId="6127FE5B" w:rsidR="006B28F5" w:rsidRPr="0015106E" w:rsidRDefault="004F05D6" w:rsidP="0015106E">
      <w:pPr>
        <w:rPr>
          <w:rFonts w:hint="eastAsia"/>
        </w:rPr>
      </w:pPr>
      <w:r w:rsidRPr="004F05D6">
        <w:rPr>
          <w:rFonts w:hint="eastAsia"/>
        </w:rPr>
        <w:drawing>
          <wp:inline distT="0" distB="0" distL="0" distR="0" wp14:anchorId="390DE61E" wp14:editId="093F6C3C">
            <wp:extent cx="3968115" cy="4272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04D0" w14:textId="155FFEDB" w:rsidR="0015106E" w:rsidRPr="0015106E" w:rsidRDefault="0015106E" w:rsidP="001510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趋势性调仓</w:t>
      </w:r>
    </w:p>
    <w:p w14:paraId="21ED18F9" w14:textId="313F644A" w:rsidR="001E7DBE" w:rsidRDefault="001E7DBE" w:rsidP="001E7DBE">
      <w:r>
        <w:rPr>
          <w:rFonts w:hint="eastAsia"/>
        </w:rPr>
        <w:t>根据图形发现，收益率</w:t>
      </w:r>
      <w:r>
        <w:rPr>
          <w:rFonts w:hint="eastAsia"/>
        </w:rPr>
        <w:t>有较强的趋势性</w:t>
      </w:r>
      <w:r>
        <w:rPr>
          <w:rFonts w:hint="eastAsia"/>
        </w:rPr>
        <w:t>时，期货仓位过少，导致对冲曲线存在方向性，因而根据收益率曲线过去</w:t>
      </w:r>
      <w:r>
        <w:t>x天的</w:t>
      </w:r>
      <w:r>
        <w:rPr>
          <w:rFonts w:hint="eastAsia"/>
        </w:rPr>
        <w:t>收益率对日期序列回归观察其R</w:t>
      </w:r>
      <w:r>
        <w:t>-</w:t>
      </w:r>
      <w:r>
        <w:rPr>
          <w:rFonts w:hint="eastAsia"/>
        </w:rPr>
        <w:t>squared</w:t>
      </w:r>
      <w:r>
        <w:t>是否大于阈值进行加仓。</w:t>
      </w:r>
    </w:p>
    <w:p w14:paraId="1FE3DD6E" w14:textId="6C15F740" w:rsidR="001E7DBE" w:rsidRDefault="001E7DBE" w:rsidP="001E7DBE">
      <w:r>
        <w:rPr>
          <w:rFonts w:hint="eastAsia"/>
        </w:rPr>
        <w:t>trend</w:t>
      </w:r>
      <w:r>
        <w:t>_adj.csv 为</w:t>
      </w:r>
      <w:r>
        <w:rPr>
          <w:rFonts w:hint="eastAsia"/>
        </w:rPr>
        <w:t>趋势性</w:t>
      </w:r>
      <w:r>
        <w:t>调仓后的结果。</w:t>
      </w:r>
    </w:p>
    <w:p w14:paraId="03B277B1" w14:textId="45ADFA76" w:rsidR="001E7DBE" w:rsidRDefault="001E7DBE" w:rsidP="001E7DBE">
      <w:r>
        <w:t>Leverage为仓位扩大比率，threshold为</w:t>
      </w:r>
      <w:r>
        <w:rPr>
          <w:rFonts w:hint="eastAsia"/>
        </w:rPr>
        <w:t>R</w:t>
      </w:r>
      <w:r>
        <w:t>-squared</w:t>
      </w:r>
      <w:r>
        <w:t>阈值，adj_days为</w:t>
      </w:r>
      <w:r>
        <w:rPr>
          <w:rFonts w:hint="eastAsia"/>
        </w:rPr>
        <w:t>回归</w:t>
      </w:r>
      <w:r>
        <w:t>回看天数。</w:t>
      </w:r>
    </w:p>
    <w:p w14:paraId="4BA0CD41" w14:textId="363A2879" w:rsidR="0015106E" w:rsidRDefault="001E7DBE" w:rsidP="001E7DBE">
      <w:r>
        <w:rPr>
          <w:rFonts w:hint="eastAsia"/>
        </w:rPr>
        <w:t>对冲后的效果</w:t>
      </w:r>
      <w:r w:rsidR="004F05D6">
        <w:rPr>
          <w:rFonts w:hint="eastAsia"/>
        </w:rPr>
        <w:t>没有显著提高对冲效果，波动率降低程度没有提高。</w:t>
      </w:r>
    </w:p>
    <w:p w14:paraId="344AD5E8" w14:textId="0A814B15" w:rsidR="004F05D6" w:rsidRDefault="004F05D6" w:rsidP="001E7DBE">
      <w:pPr>
        <w:rPr>
          <w:rFonts w:hint="eastAsia"/>
        </w:rPr>
      </w:pPr>
      <w:r w:rsidRPr="004F05D6">
        <w:rPr>
          <w:rFonts w:hint="eastAsia"/>
        </w:rPr>
        <w:lastRenderedPageBreak/>
        <w:drawing>
          <wp:inline distT="0" distB="0" distL="0" distR="0" wp14:anchorId="6FB6BED7" wp14:editId="0E9F25FE">
            <wp:extent cx="3968115" cy="4448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C77"/>
    <w:multiLevelType w:val="hybridMultilevel"/>
    <w:tmpl w:val="C29C5808"/>
    <w:lvl w:ilvl="0" w:tplc="869EF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85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tLA0MDI3NjIyNjZQ0lEKTi0uzszPAykwqgUAKOTQdiwAAAA="/>
  </w:docVars>
  <w:rsids>
    <w:rsidRoot w:val="005316AC"/>
    <w:rsid w:val="0015106E"/>
    <w:rsid w:val="001E7DBE"/>
    <w:rsid w:val="003C1CC3"/>
    <w:rsid w:val="004F05D6"/>
    <w:rsid w:val="005316AC"/>
    <w:rsid w:val="006B28F5"/>
    <w:rsid w:val="00E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5EE8"/>
  <w15:chartTrackingRefBased/>
  <w15:docId w15:val="{EDFE82DC-A880-440A-8981-39182E5F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翼阁</dc:creator>
  <cp:keywords/>
  <dc:description/>
  <cp:lastModifiedBy>王 翼阁</cp:lastModifiedBy>
  <cp:revision>4</cp:revision>
  <dcterms:created xsi:type="dcterms:W3CDTF">2022-11-11T05:41:00Z</dcterms:created>
  <dcterms:modified xsi:type="dcterms:W3CDTF">2022-11-11T06:28:00Z</dcterms:modified>
</cp:coreProperties>
</file>