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077132"/>
            <wp:docPr id="1" name="Picture 1"/>
            <wp:cNvGraphicFramePr>
              <a:graphicFrameLocks noChangeAspect="1"/>
            </wp:cNvGraphicFramePr>
            <a:graphic>
              <a:graphicData uri="http://schemas.openxmlformats.org/drawingml/2006/picture">
                <pic:pic>
                  <pic:nvPicPr>
                    <pic:cNvPr id="0" name="AIONOS_logo.png"/>
                    <pic:cNvPicPr/>
                  </pic:nvPicPr>
                  <pic:blipFill>
                    <a:blip r:embed="rId10"/>
                    <a:stretch>
                      <a:fillRect/>
                    </a:stretch>
                  </pic:blipFill>
                  <pic:spPr>
                    <a:xfrm>
                      <a:off x="0" y="0"/>
                      <a:ext cx="2286000" cy="1077132"/>
                    </a:xfrm>
                    <a:prstGeom prst="rect"/>
                  </pic:spPr>
                </pic:pic>
              </a:graphicData>
            </a:graphic>
          </wp:inline>
        </w:drawing>
      </w:r>
    </w:p>
    <w:p>
      <w:pPr>
        <w:pStyle w:val="Title"/>
        <w:jc w:val="center"/>
      </w:pPr>
      <w:r>
        <w:t>Technical Solution Proposal</w:t>
      </w:r>
    </w:p>
    <w:p>
      <w:pPr>
        <w:jc w:val="center"/>
      </w:pPr>
      <w:r>
        <w:t>November 2025</w:t>
      </w:r>
    </w:p>
    <w:p>
      <w:r>
        <w:br w:type="page"/>
      </w:r>
    </w:p>
    <w:p>
      <w:pPr>
        <w:pStyle w:val="Heading1"/>
      </w:pPr>
      <w:r>
        <w:t>Contents</w:t>
      </w:r>
    </w:p>
    <w:p>
      <w:pPr>
        <w:jc w:val="left"/>
      </w:pPr>
      <w:r>
        <w:fldChar w:fldCharType="begin"/>
      </w:r>
      <w:r>
        <w:instrText xml:space="preserve"> TOC \o "1-1" \h \z \u </w:instrText>
      </w:r>
      <w:r>
        <w:fldChar w:fldCharType="separate"/>
      </w:r>
      <w:r>
        <w:fldChar w:fldCharType="end"/>
      </w:r>
    </w:p>
    <w:p>
      <w:r>
        <w:br w:type="page"/>
      </w:r>
    </w:p>
    <w:p>
      <w:bookmarkStart w:id="1" w:name="sec_about_company"/>
      <w:pPr>
        <w:pStyle w:val="Heading1"/>
      </w:pPr>
      <w:r>
        <w:t>About Company</w:t>
      </w:r>
      <w:bookmarkEnd w:id="1"/>
    </w:p>
    <w:p>
      <w:r>
        <w:t>AIonOS is a global enterprise AI company established in April 2024 as a joint venture between InterGlobe Enterprises (majority stakeholder) and Assago Group. The company represents a strategic alliance that combines InterGlobe's extensive experience in aviation, hospitality, and travel sectors with Assago Group's technology expertise. Headquartered in Singapore, AIonOS maintains operational centers across Noida, Hyderabad, the United States, the United Kingdom, Paris, Africa, and the Middle East, establishing a truly global presence.</w:t>
      </w:r>
    </w:p>
    <w:p>
      <w:r>
        <w:t>The company is co-founded by Rahul Bhatia, Group Managing Director of InterGlobe, and CP Gurnani, former CEO of Tech Mahindra and current Executive Vice Chairman of AIonOS. This leadership combination brings together decades of industry expertise spanning aviation, hospitality, travel, and technology services. Their shared vision focuses on transforming traditional businesses into AI-native enterprises through innovative solutions that address real-world operational challenges.</w:t>
      </w:r>
    </w:p>
    <w:p>
      <w:r>
        <w:t>AIonOS's fundamental mission centers on empowering businesses with advanced AI solutions that streamline workflows and elevate customer experiences. The company is dedicated to enabling enterprises to accelerate their digital transformation journey by enhancing both human capabilities and system functionalities through AI-powered solutions. The organizational culture emphasizes groundbreaking progress, teamwork, and inclusivity, fostering innovation through collaborative efforts across all business units.</w:t>
      </w:r>
    </w:p>
    <w:p>
      <w:r>
        <w:t>The company's flagship offering, the IntelliMate™ platform, serves as a proprietary agentic AI solution that unifies, orchestrates, and observes AI agents within enterprise environments. This platform integrates AI into every decision-making process, delivering tangible business results through task automation and predictive customer analytics. AIonOS provides comprehensive AI-driven solutions including custom IT implementations, industry-specific AI products, data intelligence services, and customer experience transformation tools.</w:t>
      </w:r>
    </w:p>
    <w:p>
      <w:r>
        <w:t>Initially targeting the Travel, Transportation, Logistics, and Hospitality (TTLH) sectors, AIonOS has strategically expanded its services across multiple industries including banking, retail, telecommunications, healthcare, education, and real estate. The company leverages predictive learning technologies using artificial intelligence and machine learning to deliver customized solutions that integrate operations and provide personalized services to end customers.</w:t>
      </w:r>
    </w:p>
    <w:p>
      <w:r>
        <w:t>With a workforce ranging from 51-200 employees and operating within an estimated addressable market of $150 billion, AIonOS maintains significant market presence. The company has established strategic partnerships and made key investments, including the recent acquisition of Cloud Analogy, a Salesforce Summit Partner, to enhance its AI-powered CRM capabilities and expand its global reach.</w:t>
      </w:r>
    </w:p>
    <w:p>
      <w:r>
        <w:t>AIonOS actively pursues strategic partnerships and collaborations to deliver industry-specific solutions at enterprise scale. The company has successfully secured launch customers across its target verticals and continues expanding its technological capabilities through strategic investments and partnership agreements. This approach positions AIonOS as a leading provider of AI-native enterprise solutions, committed to driving digital transformation across diverse industry sectors.</w:t>
      </w:r>
    </w:p>
    <w:p>
      <w:r>
        <w:br w:type="page"/>
      </w:r>
    </w:p>
    <w:p>
      <w:bookmarkStart w:id="1" w:name="sec_problem_statement"/>
      <w:pPr>
        <w:pStyle w:val="Heading1"/>
      </w:pPr>
      <w:r>
        <w:t>Problem Statement</w:t>
      </w:r>
      <w:bookmarkEnd w:id="1"/>
    </w:p>
    <w:p>
      <w:r>
        <w:t>Based on the RFP requirements, we need to develop a comprehensive technical solution.</w:t>
      </w:r>
    </w:p>
    <w:p>
      <w:bookmarkStart w:id="1" w:name="sec_key_challenges"/>
      <w:pPr>
        <w:pStyle w:val="Heading1"/>
      </w:pPr>
      <w:r>
        <w:t>Key Challenges</w:t>
      </w:r>
      <w:bookmarkEnd w:id="1"/>
    </w:p>
    <w:p>
      <w:pPr>
        <w:pStyle w:val="ListBullet"/>
      </w:pPr>
      <w:r>
        <w:t>Integration complexity with existing systems</w:t>
      </w:r>
    </w:p>
    <w:p>
      <w:pPr>
        <w:pStyle w:val="ListBullet"/>
      </w:pPr>
      <w:r>
        <w:t>Scalability and performance requirements</w:t>
      </w:r>
    </w:p>
    <w:p>
      <w:pPr>
        <w:pStyle w:val="ListBullet"/>
      </w:pPr>
      <w:r>
        <w:t>Data security and compliance</w:t>
      </w:r>
    </w:p>
    <w:p>
      <w:pPr>
        <w:pStyle w:val="ListBullet"/>
      </w:pPr>
      <w:r>
        <w:t>User adoption and training</w:t>
      </w:r>
    </w:p>
    <w:p>
      <w:bookmarkStart w:id="1" w:name="sec_solution_approach"/>
      <w:pPr>
        <w:pStyle w:val="Heading1"/>
      </w:pPr>
      <w:r>
        <w:t>Our Solution Approach</w:t>
      </w:r>
      <w:bookmarkEnd w:id="1"/>
    </w:p>
    <w:p>
      <w:pPr>
        <w:pStyle w:val="Heading2"/>
      </w:pPr>
      <w:r>
        <w:t>Step 1: Requirements Analysis &amp; Architecture Design</w:t>
      </w:r>
    </w:p>
    <w:p>
      <w:r>
        <w:t>Comprehensive analysis of requirements and design of solution architecture</w:t>
      </w:r>
    </w:p>
    <w:p>
      <w:pPr>
        <w:pStyle w:val="Heading2"/>
      </w:pPr>
      <w:r>
        <w:t>Step 2: Technology Stack Selection &amp; Setup</w:t>
      </w:r>
    </w:p>
    <w:p>
      <w:r>
        <w:t>Selection and configuration of appropriate technologies and frameworks</w:t>
      </w:r>
    </w:p>
    <w:p>
      <w:pPr>
        <w:pStyle w:val="Heading2"/>
      </w:pPr>
      <w:r>
        <w:t>Step 3: Development &amp; Implementation</w:t>
      </w:r>
    </w:p>
    <w:p>
      <w:r>
        <w:t>Agile development approach with iterative implementation</w:t>
      </w:r>
    </w:p>
    <w:p>
      <w:pPr>
        <w:pStyle w:val="Heading2"/>
      </w:pPr>
      <w:r>
        <w:t>Step 4: Testing &amp; Quality Assurance</w:t>
      </w:r>
    </w:p>
    <w:p>
      <w:r>
        <w:t>Comprehensive testing strategy including unit, integration, and user acceptance testing</w:t>
      </w:r>
    </w:p>
    <w:p>
      <w:pPr>
        <w:pStyle w:val="Heading2"/>
      </w:pPr>
      <w:r>
        <w:t>Step 5: Deployment &amp; Go-Live</w:t>
      </w:r>
    </w:p>
    <w:p>
      <w:r>
        <w:t>Production deployment with monitoring and support setup</w:t>
      </w:r>
    </w:p>
    <w:p>
      <w:bookmarkStart w:id="1" w:name="sec_architecture_diagram"/>
      <w:pPr>
        <w:pStyle w:val="Heading1"/>
      </w:pPr>
      <w:r>
        <w:t>Architecture Diagram</w:t>
      </w:r>
      <w:bookmarkEnd w:id="1"/>
    </w:p>
    <w:p>
      <w:r>
        <w:t>Architecture Diagram (fallback textual description):</w:t>
        <w:br/>
        <w:t>flowchart TD</w:t>
        <w:br/>
        <w:t xml:space="preserve">    subgraph CL[Client Layer]</w:t>
        <w:br/>
        <w:t xml:space="preserve">        Web[Web App]:::client</w:t>
        <w:br/>
        <w:t xml:space="preserve">        Mobile[Mobile App]:::client</w:t>
        <w:br/>
        <w:t xml:space="preserve">    end</w:t>
        <w:br/>
        <w:t xml:space="preserve">    </w:t>
        <w:br/>
        <w:t xml:space="preserve">    subgraph GW[Gateway Layer]</w:t>
        <w:br/>
        <w:t xml:space="preserve">        API[API Gateway]:::gateway</w:t>
        <w:br/>
        <w:t xml:space="preserve">        Auth[Auth Service]:::gateway</w:t>
        <w:br/>
        <w:t xml:space="preserve">    end</w:t>
        <w:br/>
        <w:t xml:space="preserve">    </w:t>
        <w:br/>
        <w:t xml:space="preserve">    subgraph SVC[Services]</w:t>
        <w:br/>
        <w:t xml:space="preserve">        Svc1[Service 1]:::service</w:t>
        <w:br/>
        <w:t xml:space="preserve">        Svc2[Service 2]:::service</w:t>
        <w:br/>
        <w:t xml:space="preserve">    end</w:t>
        <w:br/>
        <w:t xml:space="preserve">    </w:t>
        <w:br/>
        <w:t xml:space="preserve">    subgraph DB[Data Layer]</w:t>
        <w:br/>
        <w:t xml:space="preserve">        Store[(Database)]:::storage</w:t>
        <w:br/>
        <w:t xml:space="preserve">        Cache[(Redis)]:::cache</w:t>
        <w:br/>
        <w:t xml:space="preserve">    end</w:t>
        <w:br/>
        <w:t xml:space="preserve">    </w:t>
        <w:br/>
        <w:t xml:space="preserve">    Web --&gt; API</w:t>
        <w:br/>
        <w:t xml:space="preserve">    Mobile --&gt; API</w:t>
        <w:br/>
        <w:t xml:space="preserve">    API --&gt; Auth</w:t>
        <w:br/>
        <w:t xml:space="preserve">    Auth --&gt; Svc1</w:t>
        <w:br/>
        <w:t xml:space="preserve">    Auth --&gt; Svc2 </w:t>
        <w:br/>
        <w:t xml:space="preserve">    Svc1 --&gt; Store</w:t>
        <w:br/>
        <w:t xml:space="preserve">    Svc2 --&gt; Store</w:t>
        <w:br/>
        <w:t xml:space="preserve">    Svc1 --&gt; Cache</w:t>
        <w:br/>
        <w:t xml:space="preserve">    </w:t>
        <w:br/>
        <w:t xml:space="preserve">    classDef client fill:#e3f2fd,stroke:#1976d2,stroke-width:2px,color:#000</w:t>
        <w:br/>
        <w:t xml:space="preserve">    classDef gateway fill:#fff3e0,stroke:#f57c00,stroke-width:2px,color:#000</w:t>
        <w:br/>
        <w:t xml:space="preserve">    classDef service fill:#e8f5e9,stroke:#388e3c,stroke-width:2px,color:#000</w:t>
        <w:br/>
        <w:t xml:space="preserve">    classDef storage fill:#fffde7,stroke:#f9a825,stroke-width:2px,color:#000</w:t>
        <w:br/>
        <w:t xml:space="preserve">    classDef cache fill:#e1f5fe,stroke:#0277bd,stroke-width:2px,color:#000</w:t>
      </w:r>
    </w:p>
    <w:p>
      <w:bookmarkStart w:id="None" w:name="sec_technical_stack"/>
      <w:pPr>
        <w:pStyle w:val="Heading1"/>
      </w:pPr>
      <w:r>
        <w:t>Technology Stack</w:t>
      </w:r>
      <w:bookmarkEnd w:id="None"/>
    </w:p>
    <w:p>
      <w:pPr>
        <w:pStyle w:val="ListBullet"/>
      </w:pPr>
      <w:r>
        <w:t>Python</w:t>
      </w:r>
    </w:p>
    <w:p>
      <w:pPr>
        <w:pStyle w:val="ListBullet"/>
      </w:pPr>
      <w:r>
        <w:t>React</w:t>
      </w:r>
    </w:p>
    <w:p>
      <w:pPr>
        <w:pStyle w:val="ListBullet"/>
      </w:pPr>
      <w:r>
        <w:t>FastAPI</w:t>
      </w:r>
    </w:p>
    <w:p>
      <w:pPr>
        <w:pStyle w:val="ListBullet"/>
      </w:pPr>
      <w:r>
        <w:t>PostgreSQL</w:t>
      </w:r>
    </w:p>
    <w:p>
      <w:pPr>
        <w:pStyle w:val="ListBullet"/>
      </w:pPr>
      <w:r>
        <w:t>Docker</w:t>
      </w:r>
    </w:p>
    <w:p>
      <w:pPr>
        <w:pStyle w:val="ListBullet"/>
      </w:pPr>
      <w:r>
        <w:t>AWS</w:t>
      </w:r>
    </w:p>
    <w:p>
      <w:bookmarkStart w:id="None" w:name="sec_key_milestones"/>
      <w:pPr>
        <w:pStyle w:val="Heading1"/>
      </w:pPr>
      <w:r>
        <w:t>Key Milestones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Description</w:t>
            </w:r>
          </w:p>
        </w:tc>
      </w:tr>
      <w:tr>
        <w:tc>
          <w:tcPr>
            <w:tcW w:type="dxa" w:w="2880"/>
          </w:tcPr>
          <w:p>
            <w:r>
              <w:t>Planning &amp; Design</w:t>
            </w:r>
          </w:p>
        </w:tc>
        <w:tc>
          <w:tcPr>
            <w:tcW w:type="dxa" w:w="2880"/>
          </w:tcPr>
          <w:p>
            <w:r>
              <w:t>2 weeks</w:t>
            </w:r>
          </w:p>
        </w:tc>
        <w:tc>
          <w:tcPr>
            <w:tcW w:type="dxa" w:w="2880"/>
          </w:tcPr>
          <w:p>
            <w:r>
              <w:t>Requirements analysis and solution design</w:t>
            </w:r>
          </w:p>
        </w:tc>
      </w:tr>
      <w:tr>
        <w:tc>
          <w:tcPr>
            <w:tcW w:type="dxa" w:w="2880"/>
          </w:tcPr>
          <w:p>
            <w:r>
              <w:t>Development Phase 1</w:t>
            </w:r>
          </w:p>
        </w:tc>
        <w:tc>
          <w:tcPr>
            <w:tcW w:type="dxa" w:w="2880"/>
          </w:tcPr>
          <w:p>
            <w:r>
              <w:t>4 weeks</w:t>
            </w:r>
          </w:p>
        </w:tc>
        <w:tc>
          <w:tcPr>
            <w:tcW w:type="dxa" w:w="2880"/>
          </w:tcPr>
          <w:p>
            <w:r>
              <w:t>Core functionality development</w:t>
            </w:r>
          </w:p>
        </w:tc>
      </w:tr>
      <w:tr>
        <w:tc>
          <w:tcPr>
            <w:tcW w:type="dxa" w:w="2880"/>
          </w:tcPr>
          <w:p>
            <w:r>
              <w:t>Development Phase 2</w:t>
            </w:r>
          </w:p>
        </w:tc>
        <w:tc>
          <w:tcPr>
            <w:tcW w:type="dxa" w:w="2880"/>
          </w:tcPr>
          <w:p>
            <w:r>
              <w:t>4 weeks</w:t>
            </w:r>
          </w:p>
        </w:tc>
        <w:tc>
          <w:tcPr>
            <w:tcW w:type="dxa" w:w="2880"/>
          </w:tcPr>
          <w:p>
            <w:r>
              <w:t>Advanced features and integrations</w:t>
            </w:r>
          </w:p>
        </w:tc>
      </w:tr>
      <w:tr>
        <w:tc>
          <w:tcPr>
            <w:tcW w:type="dxa" w:w="2880"/>
          </w:tcPr>
          <w:p>
            <w:r>
              <w:t>Testing &amp; QA</w:t>
            </w:r>
          </w:p>
        </w:tc>
        <w:tc>
          <w:tcPr>
            <w:tcW w:type="dxa" w:w="2880"/>
          </w:tcPr>
          <w:p>
            <w:r>
              <w:t>2 weeks</w:t>
            </w:r>
          </w:p>
        </w:tc>
        <w:tc>
          <w:tcPr>
            <w:tcW w:type="dxa" w:w="2880"/>
          </w:tcPr>
          <w:p>
            <w:r>
              <w:t>Comprehensive testing and bug fixes</w:t>
            </w:r>
          </w:p>
        </w:tc>
      </w:tr>
      <w:tr>
        <w:tc>
          <w:tcPr>
            <w:tcW w:type="dxa" w:w="2880"/>
          </w:tcPr>
          <w:p>
            <w:r>
              <w:t>Deployment &amp; Launch</w:t>
            </w:r>
          </w:p>
        </w:tc>
        <w:tc>
          <w:tcPr>
            <w:tcW w:type="dxa" w:w="2880"/>
          </w:tcPr>
          <w:p>
            <w:r>
              <w:t>1 week</w:t>
            </w:r>
          </w:p>
        </w:tc>
        <w:tc>
          <w:tcPr>
            <w:tcW w:type="dxa" w:w="2880"/>
          </w:tcPr>
          <w:p>
            <w:r>
              <w:t>Production deployment and go-live</w:t>
            </w:r>
          </w:p>
        </w:tc>
      </w:tr>
      <w:tr>
        <w:tc>
          <w:tcPr>
            <w:tcW w:type="dxa" w:w="2880"/>
          </w:tcPr>
          <w:p>
            <w:r>
              <w:t>Support &amp; Maintenance</w:t>
            </w:r>
          </w:p>
        </w:tc>
        <w:tc>
          <w:tcPr>
            <w:tcW w:type="dxa" w:w="2880"/>
          </w:tcPr>
          <w:p>
            <w:r>
              <w:t>Ongoing</w:t>
            </w:r>
          </w:p>
        </w:tc>
        <w:tc>
          <w:tcPr>
            <w:tcW w:type="dxa" w:w="2880"/>
          </w:tcPr>
          <w:p>
            <w:r>
              <w:t>Post-launch support and maintenance</w:t>
            </w:r>
          </w:p>
        </w:tc>
      </w:tr>
    </w:tbl>
    <w:p>
      <w:bookmarkStart w:id="None" w:name="sec_objectives"/>
      <w:pPr>
        <w:pStyle w:val="Heading1"/>
      </w:pPr>
      <w:r>
        <w:t>Objectives</w:t>
      </w:r>
      <w:bookmarkEnd w:id="None"/>
    </w:p>
    <w:p>
      <w:pPr>
        <w:pStyle w:val="ListBullet"/>
      </w:pPr>
      <w:r>
        <w:t>Deliver a scalable and robust technical solution</w:t>
      </w:r>
    </w:p>
    <w:p>
      <w:pPr>
        <w:pStyle w:val="ListBullet"/>
      </w:pPr>
      <w:r>
        <w:t>Ensure seamless integration with existing systems</w:t>
      </w:r>
    </w:p>
    <w:p>
      <w:pPr>
        <w:pStyle w:val="ListBullet"/>
      </w:pPr>
      <w:r>
        <w:t>Provide comprehensive documentation and training</w:t>
      </w:r>
    </w:p>
    <w:p>
      <w:pPr>
        <w:pStyle w:val="ListBullet"/>
      </w:pPr>
      <w:r>
        <w:t>Achieve high user adoption and satisfaction</w:t>
      </w:r>
    </w:p>
    <w:p>
      <w:bookmarkStart w:id="None" w:name="sec_acceptance_criteria"/>
      <w:pPr>
        <w:pStyle w:val="Heading1"/>
      </w:pPr>
      <w:r>
        <w:t>Acceptance Criteria</w:t>
      </w:r>
      <w:bookmarkEnd w:id="None"/>
    </w:p>
    <w:p>
      <w:pPr>
        <w:pStyle w:val="ListBullet"/>
      </w:pPr>
      <w:r>
        <w:t>System meets all functional requirements</w:t>
      </w:r>
    </w:p>
    <w:p>
      <w:pPr>
        <w:pStyle w:val="ListBullet"/>
      </w:pPr>
      <w:r>
        <w:t>Performance benchmarks achieved</w:t>
      </w:r>
    </w:p>
    <w:p>
      <w:pPr>
        <w:pStyle w:val="ListBullet"/>
      </w:pPr>
      <w:r>
        <w:t>Security compliance verified</w:t>
      </w:r>
    </w:p>
    <w:p>
      <w:pPr>
        <w:pStyle w:val="ListBullet"/>
      </w:pPr>
      <w:r>
        <w:t>User acceptance testing completed successfully</w:t>
      </w:r>
    </w:p>
    <w:p>
      <w:bookmarkStart w:id="None" w:name="sec_resources"/>
      <w:pPr>
        <w:pStyle w:val="Heading1"/>
      </w:pPr>
      <w:r>
        <w:t>Resources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Count</w:t>
            </w:r>
          </w:p>
        </w:tc>
        <w:tc>
          <w:tcPr>
            <w:tcW w:type="dxa" w:w="2160"/>
          </w:tcPr>
          <w:p>
            <w:r>
              <w:rPr>
                <w:b/>
              </w:rPr>
              <w:t>Years of Experience</w:t>
            </w:r>
          </w:p>
        </w:tc>
        <w:tc>
          <w:tcPr>
            <w:tcW w:type="dxa" w:w="2160"/>
          </w:tcPr>
          <w:p>
            <w:r>
              <w:rPr>
                <w:b/>
              </w:rPr>
              <w:t>Responsibilities</w:t>
            </w:r>
          </w:p>
        </w:tc>
      </w:tr>
      <w:tr>
        <w:tc>
          <w:tcPr>
            <w:tcW w:type="dxa" w:w="2160"/>
          </w:tcPr>
          <w:p>
            <w:r>
              <w:t>Project Manager</w:t>
            </w:r>
          </w:p>
        </w:tc>
        <w:tc>
          <w:tcPr>
            <w:tcW w:type="dxa" w:w="2160"/>
          </w:tcPr>
          <w:p>
            <w:r>
              <w:t>1</w:t>
            </w:r>
          </w:p>
        </w:tc>
        <w:tc>
          <w:tcPr>
            <w:tcW w:type="dxa" w:w="2160"/>
          </w:tcPr>
          <w:p>
            <w:r>
              <w:t>10</w:t>
            </w:r>
          </w:p>
        </w:tc>
        <w:tc>
          <w:tcPr>
            <w:tcW w:type="dxa" w:w="2160"/>
          </w:tcPr>
          <w:p>
            <w:r>
              <w:t>Project governance and stakeholder communication</w:t>
            </w:r>
          </w:p>
        </w:tc>
      </w:tr>
      <w:tr>
        <w:tc>
          <w:tcPr>
            <w:tcW w:type="dxa" w:w="2160"/>
          </w:tcPr>
          <w:p>
            <w:r>
              <w:t>Solution Architect</w:t>
            </w:r>
          </w:p>
        </w:tc>
        <w:tc>
          <w:tcPr>
            <w:tcW w:type="dxa" w:w="2160"/>
          </w:tcPr>
          <w:p>
            <w:r>
              <w:t>1</w:t>
            </w:r>
          </w:p>
        </w:tc>
        <w:tc>
          <w:tcPr>
            <w:tcW w:type="dxa" w:w="2160"/>
          </w:tcPr>
          <w:p>
            <w:r>
              <w:t>8</w:t>
            </w:r>
          </w:p>
        </w:tc>
        <w:tc>
          <w:tcPr>
            <w:tcW w:type="dxa" w:w="2160"/>
          </w:tcPr>
          <w:p>
            <w:r>
              <w:t>Architecture and design oversight</w:t>
            </w:r>
          </w:p>
        </w:tc>
      </w:tr>
      <w:tr>
        <w:tc>
          <w:tcPr>
            <w:tcW w:type="dxa" w:w="2160"/>
          </w:tcPr>
          <w:p>
            <w:r>
              <w:t>Backend Engineer</w:t>
            </w:r>
          </w:p>
        </w:tc>
        <w:tc>
          <w:tcPr>
            <w:tcW w:type="dxa" w:w="2160"/>
          </w:tcPr>
          <w:p>
            <w:r>
              <w:t>2</w:t>
            </w:r>
          </w:p>
        </w:tc>
        <w:tc>
          <w:tcPr>
            <w:tcW w:type="dxa" w:w="2160"/>
          </w:tcPr>
          <w:p>
            <w:r>
              <w:t>5</w:t>
            </w:r>
          </w:p>
        </w:tc>
        <w:tc>
          <w:tcPr>
            <w:tcW w:type="dxa" w:w="2160"/>
          </w:tcPr>
          <w:p>
            <w:r>
              <w:t>API and data layer development</w:t>
            </w:r>
          </w:p>
        </w:tc>
      </w:tr>
      <w:tr>
        <w:tc>
          <w:tcPr>
            <w:tcW w:type="dxa" w:w="2160"/>
          </w:tcPr>
          <w:p>
            <w:r>
              <w:t>Frontend Engineer</w:t>
            </w:r>
          </w:p>
        </w:tc>
        <w:tc>
          <w:tcPr>
            <w:tcW w:type="dxa" w:w="2160"/>
          </w:tcPr>
          <w:p>
            <w:r>
              <w:t>2</w:t>
            </w:r>
          </w:p>
        </w:tc>
        <w:tc>
          <w:tcPr>
            <w:tcW w:type="dxa" w:w="2160"/>
          </w:tcPr>
          <w:p>
            <w:r>
              <w:t>4</w:t>
            </w:r>
          </w:p>
        </w:tc>
        <w:tc>
          <w:tcPr>
            <w:tcW w:type="dxa" w:w="2160"/>
          </w:tcPr>
          <w:p>
            <w:r>
              <w:t>UI implementation and integrations</w:t>
            </w:r>
          </w:p>
        </w:tc>
      </w:tr>
    </w:tbl>
    <w:p>
      <w:bookmarkStart w:id="None" w:name="sec_cost_analysis"/>
      <w:pPr>
        <w:pStyle w:val="Heading1"/>
      </w:pPr>
      <w:r>
        <w:t>Cost Analysis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Cost (INR)</w:t>
            </w:r>
          </w:p>
        </w:tc>
        <w:tc>
          <w:tcPr>
            <w:tcW w:type="dxa" w:w="2880"/>
          </w:tcPr>
          <w:p>
            <w:r>
              <w:rPr>
                <w:b/>
              </w:rPr>
              <w:t>Notes</w:t>
            </w:r>
          </w:p>
        </w:tc>
      </w:tr>
      <w:tr>
        <w:tc>
          <w:tcPr>
            <w:tcW w:type="dxa" w:w="2880"/>
          </w:tcPr>
          <w:p>
            <w:r>
              <w:t>Discovery &amp; Design</w:t>
            </w:r>
          </w:p>
        </w:tc>
        <w:tc>
          <w:tcPr>
            <w:tcW w:type="dxa" w:w="2880"/>
          </w:tcPr>
          <w:p>
            <w:r>
              <w:t>₹650,000</w:t>
            </w:r>
          </w:p>
        </w:tc>
        <w:tc>
          <w:tcPr>
            <w:tcW w:type="dxa" w:w="2880"/>
          </w:tcPr>
          <w:p>
            <w:r>
              <w:t>Requirements and architecture</w:t>
            </w:r>
          </w:p>
        </w:tc>
      </w:tr>
      <w:tr>
        <w:tc>
          <w:tcPr>
            <w:tcW w:type="dxa" w:w="2880"/>
          </w:tcPr>
          <w:p>
            <w:r>
              <w:t>Implementation</w:t>
            </w:r>
          </w:p>
        </w:tc>
        <w:tc>
          <w:tcPr>
            <w:tcW w:type="dxa" w:w="2880"/>
          </w:tcPr>
          <w:p>
            <w:r>
              <w:t>₹2,900,000</w:t>
            </w:r>
          </w:p>
        </w:tc>
        <w:tc>
          <w:tcPr>
            <w:tcW w:type="dxa" w:w="2880"/>
          </w:tcPr>
          <w:p>
            <w:r>
              <w:t>Core features and integrations</w:t>
            </w:r>
          </w:p>
        </w:tc>
      </w:tr>
      <w:tr>
        <w:tc>
          <w:tcPr>
            <w:tcW w:type="dxa" w:w="2880"/>
          </w:tcPr>
          <w:p>
            <w:r>
              <w:t>Testing &amp; QA</w:t>
            </w:r>
          </w:p>
        </w:tc>
        <w:tc>
          <w:tcPr>
            <w:tcW w:type="dxa" w:w="2880"/>
          </w:tcPr>
          <w:p>
            <w:r>
              <w:t>₹580,000</w:t>
            </w:r>
          </w:p>
        </w:tc>
        <w:tc>
          <w:tcPr>
            <w:tcW w:type="dxa" w:w="2880"/>
          </w:tcPr>
          <w:p>
            <w:r>
              <w:t>Automated and UAT</w:t>
            </w:r>
          </w:p>
        </w:tc>
      </w:tr>
      <w:tr>
        <w:tc>
          <w:tcPr>
            <w:tcW w:type="dxa" w:w="2880"/>
          </w:tcPr>
          <w:p>
            <w:r>
              <w:t>Deployment &amp; Training</w:t>
            </w:r>
          </w:p>
        </w:tc>
        <w:tc>
          <w:tcPr>
            <w:tcW w:type="dxa" w:w="2880"/>
          </w:tcPr>
          <w:p>
            <w:r>
              <w:t>₹420,000</w:t>
            </w:r>
          </w:p>
        </w:tc>
        <w:tc>
          <w:tcPr>
            <w:tcW w:type="dxa" w:w="2880"/>
          </w:tcPr>
          <w:p>
            <w:r>
              <w:t>Go-live and enablement</w:t>
            </w:r>
          </w:p>
        </w:tc>
      </w:tr>
    </w:tbl>
    <w:p>
      <w:bookmarkStart w:id="None" w:name="sec_kpi"/>
      <w:pPr>
        <w:pStyle w:val="Heading1"/>
      </w:pPr>
      <w:r>
        <w:t>Key Performance Indicators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Target</w:t>
            </w:r>
          </w:p>
        </w:tc>
        <w:tc>
          <w:tcPr>
            <w:tcW w:type="dxa" w:w="2160"/>
          </w:tcPr>
          <w:p>
            <w:r>
              <w:rPr>
                <w:b/>
              </w:rPr>
              <w:t>Measurement Method</w:t>
            </w:r>
          </w:p>
        </w:tc>
        <w:tc>
          <w:tcPr>
            <w:tcW w:type="dxa" w:w="2160"/>
          </w:tcPr>
          <w:p>
            <w:r>
              <w:rPr>
                <w:b/>
              </w:rPr>
              <w:t>Frequency</w:t>
            </w:r>
          </w:p>
        </w:tc>
      </w:tr>
      <w:tr>
        <w:tc>
          <w:tcPr>
            <w:tcW w:type="dxa" w:w="2160"/>
          </w:tcPr>
          <w:p>
            <w:r>
              <w:t>System Uptime</w:t>
            </w:r>
          </w:p>
        </w:tc>
        <w:tc>
          <w:tcPr>
            <w:tcW w:type="dxa" w:w="2160"/>
          </w:tcPr>
          <w:p>
            <w:r>
              <w:t>99.9%</w:t>
            </w:r>
          </w:p>
        </w:tc>
        <w:tc>
          <w:tcPr>
            <w:tcW w:type="dxa" w:w="2160"/>
          </w:tcPr>
          <w:p>
            <w:r>
              <w:t>Automated monitoring tools</w:t>
            </w:r>
          </w:p>
        </w:tc>
        <w:tc>
          <w:tcPr>
            <w:tcW w:type="dxa" w:w="2160"/>
          </w:tcPr>
          <w:p>
            <w:r>
              <w:t>Continuous</w:t>
            </w:r>
          </w:p>
        </w:tc>
      </w:tr>
      <w:tr>
        <w:tc>
          <w:tcPr>
            <w:tcW w:type="dxa" w:w="2160"/>
          </w:tcPr>
          <w:p>
            <w:r>
              <w:t>Response Time</w:t>
            </w:r>
          </w:p>
        </w:tc>
        <w:tc>
          <w:tcPr>
            <w:tcW w:type="dxa" w:w="2160"/>
          </w:tcPr>
          <w:p>
            <w:r>
              <w:t>&lt; 2 seconds</w:t>
            </w:r>
          </w:p>
        </w:tc>
        <w:tc>
          <w:tcPr>
            <w:tcW w:type="dxa" w:w="2160"/>
          </w:tcPr>
          <w:p>
            <w:r>
              <w:t>Application performance monitoring</w:t>
            </w:r>
          </w:p>
        </w:tc>
        <w:tc>
          <w:tcPr>
            <w:tcW w:type="dxa" w:w="2160"/>
          </w:tcPr>
          <w:p>
            <w:r>
              <w:t>Hourly</w:t>
            </w:r>
          </w:p>
        </w:tc>
      </w:tr>
      <w:tr>
        <w:tc>
          <w:tcPr>
            <w:tcW w:type="dxa" w:w="2160"/>
          </w:tcPr>
          <w:p>
            <w:r>
              <w:t>User Satisfaction</w:t>
            </w:r>
          </w:p>
        </w:tc>
        <w:tc>
          <w:tcPr>
            <w:tcW w:type="dxa" w:w="2160"/>
          </w:tcPr>
          <w:p>
            <w:r>
              <w:t>&gt; 4.5/5</w:t>
            </w:r>
          </w:p>
        </w:tc>
        <w:tc>
          <w:tcPr>
            <w:tcW w:type="dxa" w:w="2160"/>
          </w:tcPr>
          <w:p>
            <w:r>
              <w:t>User surveys and feedback</w:t>
            </w:r>
          </w:p>
        </w:tc>
        <w:tc>
          <w:tcPr>
            <w:tcW w:type="dxa" w:w="2160"/>
          </w:tcPr>
          <w:p>
            <w:r>
              <w:t>Quarterly</w:t>
            </w:r>
          </w:p>
        </w:tc>
      </w:tr>
      <w:tr>
        <w:tc>
          <w:tcPr>
            <w:tcW w:type="dxa" w:w="2160"/>
          </w:tcPr>
          <w:p>
            <w:r>
              <w:t>Bug Resolution Time</w:t>
            </w:r>
          </w:p>
        </w:tc>
        <w:tc>
          <w:tcPr>
            <w:tcW w:type="dxa" w:w="2160"/>
          </w:tcPr>
          <w:p>
            <w:r>
              <w:t>&lt; 24 hours</w:t>
            </w:r>
          </w:p>
        </w:tc>
        <w:tc>
          <w:tcPr>
            <w:tcW w:type="dxa" w:w="2160"/>
          </w:tcPr>
          <w:p>
            <w:r>
              <w:t>Issue tracking system</w:t>
            </w:r>
          </w:p>
        </w:tc>
        <w:tc>
          <w:tcPr>
            <w:tcW w:type="dxa" w:w="2160"/>
          </w:tcPr>
          <w:p>
            <w:r>
              <w:t>Weekly</w:t>
            </w:r>
          </w:p>
        </w:tc>
      </w:tr>
      <w:tr>
        <w:tc>
          <w:tcPr>
            <w:tcW w:type="dxa" w:w="2160"/>
          </w:tcPr>
          <w:p>
            <w:r>
              <w:t>System Security Score</w:t>
            </w:r>
          </w:p>
        </w:tc>
        <w:tc>
          <w:tcPr>
            <w:tcW w:type="dxa" w:w="2160"/>
          </w:tcPr>
          <w:p>
            <w:r>
              <w:t>&gt; 90%</w:t>
            </w:r>
          </w:p>
        </w:tc>
        <w:tc>
          <w:tcPr>
            <w:tcW w:type="dxa" w:w="2160"/>
          </w:tcPr>
          <w:p>
            <w:r>
              <w:t>Security assessment tools</w:t>
            </w:r>
          </w:p>
        </w:tc>
        <w:tc>
          <w:tcPr>
            <w:tcW w:type="dxa" w:w="2160"/>
          </w:tcPr>
          <w:p>
            <w:r>
              <w:t>Monthly</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r>
    <w:r>
      <w:fldChar w:fldCharType="separate"/>
    </w:r>
    <w:r>
      <w:fldChar w:fldCharType="end"/>
    </w:r>
    <w:r>
      <w:t xml:space="preserve"> of </w:t>
    </w:r>
    <w:r>
      <w:fldChar w:fldCharType="begin"/>
      <w:instrText xml:space="preserve"> NUMPAGES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