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286000" cy="1077132"/>
            <wp:docPr id="1" name="Picture 1"/>
            <wp:cNvGraphicFramePr>
              <a:graphicFrameLocks noChangeAspect="1"/>
            </wp:cNvGraphicFramePr>
            <a:graphic>
              <a:graphicData uri="http://schemas.openxmlformats.org/drawingml/2006/picture">
                <pic:pic>
                  <pic:nvPicPr>
                    <pic:cNvPr id="0" name="AIONOS_logo.png"/>
                    <pic:cNvPicPr/>
                  </pic:nvPicPr>
                  <pic:blipFill>
                    <a:blip r:embed="rId10"/>
                    <a:stretch>
                      <a:fillRect/>
                    </a:stretch>
                  </pic:blipFill>
                  <pic:spPr>
                    <a:xfrm>
                      <a:off x="0" y="0"/>
                      <a:ext cx="2286000" cy="1077132"/>
                    </a:xfrm>
                    <a:prstGeom prst="rect"/>
                  </pic:spPr>
                </pic:pic>
              </a:graphicData>
            </a:graphic>
          </wp:inline>
        </w:drawing>
      </w:r>
    </w:p>
    <w:p>
      <w:pPr>
        <w:pStyle w:val="Title"/>
        <w:jc w:val="center"/>
      </w:pPr>
      <w:r>
        <w:t>AI-Drone Assisted Girdawari Automation Platform</w:t>
      </w:r>
    </w:p>
    <w:p>
      <w:pPr>
        <w:jc w:val="center"/>
      </w:pPr>
      <w:r>
        <w:t>November 2025</w:t>
      </w:r>
    </w:p>
    <w:p>
      <w:r>
        <w:br w:type="page"/>
      </w:r>
    </w:p>
    <w:p>
      <w:pPr>
        <w:pStyle w:val="Heading1"/>
      </w:pPr>
      <w:r>
        <w:t>Contents</w:t>
      </w:r>
    </w:p>
    <w:p>
      <w:pPr>
        <w:jc w:val="left"/>
      </w:pPr>
      <w:r>
        <w:fldChar w:fldCharType="begin"/>
      </w:r>
      <w:r>
        <w:instrText xml:space="preserve"> TOC \o "1-1" \h \z \u </w:instrText>
      </w:r>
      <w:r>
        <w:fldChar w:fldCharType="separate"/>
      </w:r>
      <w:r>
        <w:fldChar w:fldCharType="end"/>
      </w:r>
    </w:p>
    <w:p>
      <w:r>
        <w:br w:type="page"/>
      </w:r>
    </w:p>
    <w:p>
      <w:bookmarkStart w:id="1" w:name="sec_about_company"/>
      <w:pPr>
        <w:pStyle w:val="Heading1"/>
      </w:pPr>
      <w:r>
        <w:t>About Company</w:t>
      </w:r>
      <w:bookmarkEnd w:id="1"/>
    </w:p>
    <w:p>
      <w:r>
        <w:t>AIonOS is a global enterprise AI company established in April 2024 as a joint venture between InterGlobe Enterprises (majority stakeholder) and Assago Group. The company represents a strategic alliance that combines InterGlobe's extensive experience in aviation, hospitality, and travel sectors with Assago Group's technology expertise. Headquartered in Singapore, AIonOS maintains operational centers across Noida, Hyderabad, the United States, the United Kingdom, Paris, Africa, and the Middle East, establishing a truly global presence.</w:t>
      </w:r>
    </w:p>
    <w:p>
      <w:r>
        <w:t>The company is co-founded by Rahul Bhatia, Group Managing Director of InterGlobe, and CP Gurnani, former CEO of Tech Mahindra and current Executive Vice Chairman of AIonOS. This leadership combination brings together decades of industry expertise spanning aviation, hospitality, travel, and technology services. Their shared vision focuses on transforming traditional businesses into AI-native enterprises through innovative solutions that address real-world operational challenges.</w:t>
      </w:r>
    </w:p>
    <w:p>
      <w:r>
        <w:t>AIonOS's fundamental mission centers on empowering businesses with advanced AI solutions that streamline workflows and elevate customer experiences. The company is dedicated to enabling enterprises to accelerate their digital transformation journey by enhancing both human capabilities and system functionalities through AI-powered solutions. The organizational culture emphasizes groundbreaking progress, teamwork, and inclusivity, fostering innovation through collaborative efforts across all business units.</w:t>
      </w:r>
    </w:p>
    <w:p>
      <w:r>
        <w:t>The company's flagship offering, the IntelliMate™ platform, serves as a proprietary agentic AI solution that unifies, orchestrates, and observes AI agents within enterprise environments. This platform integrates AI into every decision-making process, delivering tangible business results through task automation and predictive customer analytics. AIonOS provides comprehensive AI-driven solutions including custom IT implementations, industry-specific AI products, data intelligence services, and customer experience transformation tools.</w:t>
      </w:r>
    </w:p>
    <w:p>
      <w:r>
        <w:t>Initially targeting the Travel, Transportation, Logistics, and Hospitality (TTLH) sectors, AIonOS has strategically expanded its services across multiple industries including banking, retail, telecommunications, healthcare, education, and real estate. The company leverages predictive learning technologies using artificial intelligence and machine learning to deliver customized solutions that integrate operations and provide personalized services to end customers.</w:t>
      </w:r>
    </w:p>
    <w:p>
      <w:r>
        <w:t>With a workforce ranging from 51-200 employees and operating within an estimated addressable market of $150 billion, AIonOS maintains significant market presence. The company has established strategic partnerships and made key investments, including the recent acquisition of Cloud Analogy, a Salesforce Summit Partner, to enhance its AI-powered CRM capabilities and expand its global reach.</w:t>
      </w:r>
    </w:p>
    <w:p>
      <w:r>
        <w:t>AIonOS actively pursues strategic partnerships and collaborations to deliver industry-specific solutions at enterprise scale. The company has successfully secured launch customers across its target verticals and continues expanding its technological capabilities through strategic investments and partnership agreements. This approach positions AIonOS as a leading provider of AI-native enterprise solutions, committed to driving digital transformation across diverse industry sectors.</w:t>
      </w:r>
    </w:p>
    <w:p>
      <w:r>
        <w:br w:type="page"/>
      </w:r>
    </w:p>
    <w:p>
      <w:bookmarkStart w:id="1" w:name="sec_problem_statement"/>
      <w:pPr>
        <w:pStyle w:val="Heading1"/>
      </w:pPr>
      <w:r>
        <w:t>Problem Statement</w:t>
      </w:r>
      <w:bookmarkEnd w:id="1"/>
    </w:p>
    <w:p>
      <w:pPr>
        <w:spacing w:after="120"/>
        <w:jc w:val="both"/>
      </w:pPr>
      <w:r>
        <w:t>Manual Girdawari in Rajasthan consumes 300+ man-days per Gram Panchayat due to paper-based field surveys. Patwaris traverse 5 000 fields on foot, capturing 16 records daily, risking data loss and transcription errors. Absence of real-time sync forces duplicate entries, delaying crop insurance and revenue settlements for farmers. Outdated maps, missing boundary markers and inconsistent units create legal disputes and hinder land consolidation efforts. Limited personnel manage multiple villages, leaving vast tracts unsurveyed for years, degrading land revenue accuracy. Monsoon dependency further shortens the narrow survey window, causing revenue leakage and incorrect crop loss assessments. Manual registers are prone to tampering, reducing trust among financial institutions that rely on land collateral data. Lack of geospatial validation allows encroachments and illegal conversions to go unnoticed by departmental oversight teams. No centralized analytics prevents policymakers from forecasting crop procurement, water demand or subsidy disbursement accurately. Consequently, farmers face delayed compensation, banks encounter higher NPAs and the state loses crores in revenue.</w:t>
      </w:r>
    </w:p>
    <w:p>
      <w:bookmarkStart w:id="1" w:name="sec_key_challenges"/>
      <w:pPr>
        <w:pStyle w:val="Heading1"/>
      </w:pPr>
      <w:r>
        <w:t>Key Challenges</w:t>
      </w:r>
      <w:bookmarkEnd w:id="1"/>
    </w:p>
    <w:p>
      <w:pPr>
        <w:pStyle w:val="ListBullet"/>
      </w:pPr>
      <w:r>
        <w:t>Patwaris traverse 8–10 villages on foot or bicycle under 45 °C heat, lacking vehicles, fuel allowances, or even shaded rest spots, stretching a 20-day census into months.</w:t>
      </w:r>
    </w:p>
    <w:p>
      <w:pPr>
        <w:pStyle w:val="ListBullet"/>
      </w:pPr>
      <w:r>
        <w:t>Village maps still reference 1957 cadastral sheets; missing survey stones, erased field boundaries, and illegible Persian notes force crop inspectors to guess acreages.</w:t>
      </w:r>
    </w:p>
    <w:p>
      <w:pPr>
        <w:pStyle w:val="ListBullet"/>
      </w:pPr>
      <w:r>
        <w:t>One Patwari serves 5 000 landowners, 18 000 scattered plots, and must manually ink 400-page rozbahis, causing 40 % delay in harvest insurance claim deadlines.</w:t>
      </w:r>
    </w:p>
    <w:p>
      <w:pPr>
        <w:pStyle w:val="ListBullet"/>
      </w:pPr>
      <w:r>
        <w:t>Hand-inked Girdawari registers require tehsil-level manual verification, triplicate carbon copies, and physical file movement, adding 60-day lag before crop loss compensation.</w:t>
      </w:r>
    </w:p>
    <w:p>
      <w:pPr>
        <w:pStyle w:val="ListBullet"/>
      </w:pPr>
      <w:r>
        <w:t>Patwaris rely on steel chains, wooden pegs, and village elders’ memory; absence of GPS, drones, or mobile apps yields 12 % acreage mismatch in subsidy disbursement.</w:t>
      </w:r>
    </w:p>
    <w:p>
      <w:pPr>
        <w:pStyle w:val="ListBullet"/>
      </w:pPr>
      <w:r>
        <w:t>Only 7 % of Patwaris certified on Bhunaksha, ETS, and HLRMP portals; majority fear tablets will expose historical tampering, resisting cloud uploads and blockchain timestamping.</w:t>
      </w:r>
    </w:p>
    <w:p>
      <w:pPr>
        <w:pStyle w:val="ListBullet"/>
      </w:pPr>
      <w:r>
        <w:t>Manual 300-man-day Girdawari cycle collides with monsoon sowing window; delayed certification pushes farmers toward illegal moneylenders at 36 % annual interest.</w:t>
      </w:r>
    </w:p>
    <w:p>
      <w:bookmarkStart w:id="1" w:name="sec_solution_approach"/>
      <w:pPr>
        <w:pStyle w:val="Heading1"/>
      </w:pPr>
      <w:r>
        <w:t>Our Solution Approach</w:t>
      </w:r>
      <w:bookmarkEnd w:id="1"/>
    </w:p>
    <w:p>
      <w:pPr>
        <w:pStyle w:val="Heading2"/>
      </w:pPr>
      <w:r>
        <w:t>Automated Mission Planning</w:t>
      </w:r>
    </w:p>
    <w:p>
      <w:pPr>
        <w:spacing w:after="120"/>
        <w:jc w:val="both"/>
      </w:pPr>
      <w:r>
        <w:t>AI ingests village cadastre, NDVI and weather to generate optimal drone flight paths covering 700 ha per day. Dynamic altitude and overlap settings ensure 2 cm GSD while avoiding no-fly zones and protected habitats. Edge-loaded waypoints sync to UAV SD-card for offline execution, eliminating manual waypoint entry errors.</w:t>
      </w:r>
    </w:p>
    <w:p>
      <w:pPr>
        <w:pStyle w:val="Heading2"/>
      </w:pPr>
      <w:r>
        <w:t>Drone-Based Multispectral Capture</w:t>
      </w:r>
    </w:p>
    <w:p>
      <w:pPr>
        <w:spacing w:after="120"/>
        <w:jc w:val="both"/>
      </w:pPr>
      <w:r>
        <w:t>Quad-sensor payload records RGB, NIR, Red-Edge and thermal bands at 80% forward and 60% side overlap. RTK-GNSS ground station provides 2 cm accuracy, geotagging every image for direct plot-level classification. Real-time kinematic corrections reduce GCP requirement to 3 per village, cutting field preparation time by 70%.</w:t>
      </w:r>
    </w:p>
    <w:p>
      <w:pPr>
        <w:pStyle w:val="Heading2"/>
      </w:pPr>
      <w:r>
        <w:t>AI Crop Classification</w:t>
      </w:r>
    </w:p>
    <w:p>
      <w:pPr>
        <w:spacing w:after="120"/>
        <w:jc w:val="both"/>
      </w:pPr>
      <w:r>
        <w:t>On-board NVIDIA Jetson runs TensorRT models to classify cotton, wheat, mustard, gram and fallow in real time. Segmentation masks are vectorized into GeoJSON parcels and assigned existing bhulekh plot IDs automatically. Confidence scores below 85% trigger manual review queue, ensuring revenue-grade accuracy before database commit.</w:t>
      </w:r>
    </w:p>
    <w:p>
      <w:pPr>
        <w:pStyle w:val="Heading2"/>
      </w:pPr>
      <w:r>
        <w:t>Edge-to-Cloud Sync</w:t>
      </w:r>
    </w:p>
    <w:p>
      <w:pPr>
        <w:spacing w:after="120"/>
        <w:jc w:val="both"/>
      </w:pPr>
      <w:r>
        <w:t>5G/LoRA radios transmit compressed orthomosaics and attribute sets to state data center within 30 minutes. Differential sync protocol resumes interrupted uploads, eliminating retransmission of 3 GB survey blocks. End-to-end AES-256 encryption and blockchain hash maintain data integrity and non-repudiation for audit trails.</w:t>
      </w:r>
    </w:p>
    <w:p>
      <w:pPr>
        <w:pStyle w:val="Heading2"/>
      </w:pPr>
      <w:r>
        <w:t>Patwari Mobile Dashboard</w:t>
      </w:r>
    </w:p>
    <w:p>
      <w:pPr>
        <w:spacing w:after="120"/>
        <w:jc w:val="both"/>
      </w:pPr>
      <w:r>
        <w:t>Flutter app renders vector parcels with classified crop colors, allowing officers to override AI labels with evidence photos. One-tap generates Girdawari Register PDFs with owner signatures captured via stylus, removing paper ledgers. Offline SQLite cache enables continuous work in zero-connectivity pockets, syncing automatically when signal resumes.</w:t>
      </w:r>
    </w:p>
    <w:p>
      <w:pPr>
        <w:pStyle w:val="Heading2"/>
      </w:pPr>
      <w:r>
        <w:t>Revenue Workflow Integration</w:t>
      </w:r>
    </w:p>
    <w:p>
      <w:pPr>
        <w:spacing w:after="120"/>
        <w:jc w:val="both"/>
      </w:pPr>
      <w:r>
        <w:t>REST APIs push approved survey packets to e-Gras, e-Sewa and bhulekh databases, updating land records within 24 hours. Automated flagging of area deviation beyond 5% triggers mutation notices, preventing fraudulent acreage claims. Integration with crop insurance portals accelerates claim settlement, reducing farmer grievance resolution to 7 days.</w:t>
      </w:r>
    </w:p>
    <w:p>
      <w:pPr>
        <w:pStyle w:val="Heading2"/>
      </w:pPr>
      <w:r>
        <w:t>Continuous Model Improvement</w:t>
      </w:r>
    </w:p>
    <w:p>
      <w:pPr>
        <w:spacing w:after="120"/>
        <w:jc w:val="both"/>
      </w:pPr>
      <w:r>
        <w:t>Federated learning aggregates corrected labels from 12 000 villages, retraining models every quarter without moving raw imagery. Active-learning prioritizes low-confidence parcels for targeted re-flights, raising overall classification F1-score above 92%. Citizen feedback via IVRS and WhatsApp creates ground-truth dataset, democratizing data quality oversight.</w:t>
      </w:r>
    </w:p>
    <w:p>
      <w:bookmarkStart w:id="1" w:name="sec_architecture_diagram"/>
      <w:pPr>
        <w:pStyle w:val="Heading1"/>
      </w:pPr>
      <w:r>
        <w:t>Architecture Diagram</w:t>
      </w:r>
      <w:bookmarkEnd w:id="1"/>
    </w:p>
    <w:p>
      <w:r>
        <w:t>Architecture Diagram (Mermaid code fallback):</w:t>
      </w:r>
    </w:p>
    <w:p>
      <w:r>
        <w:t>flowchart TD</w:t>
        <w:br/>
        <w:t>subgraph Client</w:t>
        <w:br/>
        <w:t xml:space="preserve">    A[Flutter Mobile App]:::client</w:t>
        <w:br/>
        <w:t xml:space="preserve">    B[Offline SQLite Cache]:::client</w:t>
        <w:br/>
        <w:t xml:space="preserve">    end</w:t>
        <w:br/>
        <w:t>subgraph Edge</w:t>
        <w:br/>
        <w:t xml:space="preserve">    C[DJI M300 Drone]:::edge</w:t>
        <w:br/>
        <w:t xml:space="preserve">    D[NVIDIA Jetson Nano]:::edge</w:t>
        <w:br/>
        <w:t xml:space="preserve">    E[5G/LoRA Module]:::edge</w:t>
        <w:br/>
        <w:t xml:space="preserve">    end</w:t>
        <w:br/>
        <w:t>subgraph Gateway</w:t>
        <w:br/>
        <w:t xml:space="preserve">    F[API Gateway/Kong]:::gw</w:t>
        <w:br/>
        <w:t xml:space="preserve">    G[Auth/Keycloak]:::gw</w:t>
        <w:br/>
        <w:t xml:space="preserve">    H[Rate Limiter]:::gw</w:t>
        <w:br/>
        <w:t xml:space="preserve">    end</w:t>
        <w:br/>
        <w:t>subgraph Services</w:t>
        <w:br/>
        <w:t xml:space="preserve">    I[Mission Planning Svc]:::svc</w:t>
        <w:br/>
        <w:t xml:space="preserve">    J[AI Inference Svc]:::svc</w:t>
        <w:br/>
        <w:t xml:space="preserve">    K[Parcel Overlay Svc]:::svc</w:t>
        <w:br/>
        <w:t xml:space="preserve">    L[Notification Svc]:::svc</w:t>
        <w:br/>
        <w:t xml:space="preserve">    M[Blockchain Audit Svc]:::svc</w:t>
        <w:br/>
        <w:t xml:space="preserve">    end</w:t>
        <w:br/>
        <w:t>subgraph Data</w:t>
        <w:br/>
        <w:t xml:space="preserve">    N[PostGIS]:::data</w:t>
        <w:br/>
        <w:t xml:space="preserve">    O[MinIO Object Store]:::data</w:t>
        <w:br/>
        <w:t xml:space="preserve">    P[Redis Cache]:::data</w:t>
        <w:br/>
        <w:t xml:space="preserve">    Q[Timeseries DB]:::data</w:t>
        <w:br/>
        <w:t xml:space="preserve">    end</w:t>
        <w:br/>
        <w:t xml:space="preserve">    A --HTTPS__&gt; F</w:t>
        <w:br/>
        <w:t xml:space="preserve">    C --UART__&gt; D</w:t>
        <w:br/>
        <w:t xml:space="preserve">    D --MQTT__&gt; E</w:t>
        <w:br/>
        <w:t xml:space="preserve">    E --TLS__&gt; F</w:t>
        <w:br/>
        <w:t xml:space="preserve">    F --JWT__&gt; G</w:t>
        <w:br/>
        <w:t xml:space="preserve">    G --validate__&gt; H</w:t>
        <w:br/>
        <w:t xml:space="preserve">    F --gRPC__&gt; I</w:t>
        <w:br/>
        <w:t xml:space="preserve">    I --&gt; J</w:t>
        <w:br/>
        <w:t xml:space="preserve">    J --&gt; K</w:t>
        <w:br/>
        <w:t xml:space="preserve">    K --&gt; N</w:t>
        <w:br/>
        <w:t xml:space="preserve">    N --&gt; O</w:t>
        <w:br/>
        <w:t xml:space="preserve">    J --&gt; L</w:t>
        <w:br/>
        <w:t xml:space="preserve">    M --&gt; Q</w:t>
        <w:br/>
        <w:t xml:space="preserve">    B -.sync.-&gt; A</w:t>
        <w:br/>
        <w:t xml:space="preserve">    P --&gt; F</w:t>
      </w:r>
    </w:p>
    <w:p>
      <w:bookmarkStart w:id="None" w:name="sec_technical_stack"/>
      <w:pPr>
        <w:pStyle w:val="Heading1"/>
      </w:pPr>
      <w:r>
        <w:t>Technology Stack</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vAlign w:val="top"/>
          </w:tcPr>
          <w:p>
            <w:pPr>
              <w:spacing w:after="120"/>
              <w:jc w:val="left"/>
            </w:pPr>
            <w:r>
              <w:t>DJI M300 RTK</w:t>
            </w:r>
          </w:p>
        </w:tc>
        <w:tc>
          <w:tcPr>
            <w:tcW w:type="dxa" w:w="2880"/>
            <w:vAlign w:val="top"/>
          </w:tcPr>
          <w:p>
            <w:pPr>
              <w:spacing w:after="120"/>
              <w:jc w:val="left"/>
            </w:pPr>
            <w:r>
              <w:t>NVIDIA Jetson Nano</w:t>
            </w:r>
          </w:p>
        </w:tc>
        <w:tc>
          <w:tcPr>
            <w:tcW w:type="dxa" w:w="2880"/>
            <w:vAlign w:val="top"/>
          </w:tcPr>
          <w:p>
            <w:pPr>
              <w:spacing w:after="120"/>
              <w:jc w:val="left"/>
            </w:pPr>
            <w:r>
              <w:t>TensorRT</w:t>
            </w:r>
          </w:p>
        </w:tc>
      </w:tr>
      <w:tr>
        <w:tc>
          <w:tcPr>
            <w:tcW w:type="dxa" w:w="2880"/>
            <w:vAlign w:val="top"/>
          </w:tcPr>
          <w:p>
            <w:pPr>
              <w:spacing w:after="120"/>
              <w:jc w:val="left"/>
            </w:pPr>
            <w:r>
              <w:t>PostGIS</w:t>
            </w:r>
          </w:p>
        </w:tc>
        <w:tc>
          <w:tcPr>
            <w:tcW w:type="dxa" w:w="2880"/>
            <w:vAlign w:val="top"/>
          </w:tcPr>
          <w:p>
            <w:pPr>
              <w:spacing w:after="120"/>
              <w:jc w:val="left"/>
            </w:pPr>
            <w:r>
              <w:t>MinIO</w:t>
            </w:r>
          </w:p>
        </w:tc>
        <w:tc>
          <w:tcPr>
            <w:tcW w:type="dxa" w:w="2880"/>
            <w:vAlign w:val="top"/>
          </w:tcPr>
          <w:p>
            <w:pPr>
              <w:spacing w:after="120"/>
              <w:jc w:val="left"/>
            </w:pPr>
            <w:r>
              <w:t>Redis</w:t>
            </w:r>
          </w:p>
        </w:tc>
      </w:tr>
      <w:tr>
        <w:tc>
          <w:tcPr>
            <w:tcW w:type="dxa" w:w="2880"/>
            <w:vAlign w:val="top"/>
          </w:tcPr>
          <w:p>
            <w:pPr>
              <w:spacing w:after="120"/>
              <w:jc w:val="left"/>
            </w:pPr>
            <w:r>
              <w:t>Flutter</w:t>
            </w:r>
          </w:p>
        </w:tc>
        <w:tc>
          <w:tcPr>
            <w:tcW w:type="dxa" w:w="2880"/>
            <w:vAlign w:val="top"/>
          </w:tcPr>
          <w:p>
            <w:pPr>
              <w:spacing w:after="120"/>
              <w:jc w:val="left"/>
            </w:pPr>
            <w:r>
              <w:t>Kong Gateway</w:t>
            </w:r>
          </w:p>
        </w:tc>
        <w:tc>
          <w:tcPr>
            <w:tcW w:type="dxa" w:w="2880"/>
            <w:vAlign w:val="top"/>
          </w:tcPr>
          <w:p>
            <w:pPr>
              <w:spacing w:after="120"/>
              <w:jc w:val="left"/>
            </w:pPr>
            <w:r>
              <w:t>Keycloak</w:t>
            </w:r>
          </w:p>
        </w:tc>
      </w:tr>
      <w:tr>
        <w:tc>
          <w:tcPr>
            <w:tcW w:type="dxa" w:w="2880"/>
            <w:vAlign w:val="top"/>
          </w:tcPr>
          <w:p>
            <w:pPr>
              <w:spacing w:after="120"/>
              <w:jc w:val="left"/>
            </w:pPr>
            <w:r>
              <w:t>5G/LoRA</w:t>
            </w:r>
          </w:p>
        </w:tc>
        <w:tc>
          <w:tcPr>
            <w:tcW w:type="dxa" w:w="2880"/>
            <w:vAlign w:val="top"/>
          </w:tcPr>
          <w:p>
            <w:pPr>
              <w:spacing w:after="120"/>
              <w:jc w:val="left"/>
            </w:pPr>
            <w:r>
              <w:t>Python</w:t>
            </w:r>
          </w:p>
        </w:tc>
        <w:tc>
          <w:tcPr>
            <w:tcW w:type="dxa" w:w="2880"/>
            <w:vAlign w:val="top"/>
          </w:tcPr>
          <w:p>
            <w:pPr>
              <w:spacing w:after="120"/>
              <w:jc w:val="left"/>
            </w:pPr>
            <w:r>
              <w:t>FastAPI</w:t>
            </w:r>
          </w:p>
        </w:tc>
      </w:tr>
      <w:tr>
        <w:tc>
          <w:tcPr>
            <w:tcW w:type="dxa" w:w="2880"/>
            <w:vAlign w:val="top"/>
          </w:tcPr>
          <w:p>
            <w:pPr>
              <w:spacing w:after="120"/>
              <w:jc w:val="left"/>
            </w:pPr>
            <w:r>
              <w:t>PostgreSQL</w:t>
            </w:r>
          </w:p>
        </w:tc>
        <w:tc>
          <w:tcPr>
            <w:tcW w:type="dxa" w:w="2880"/>
            <w:vAlign w:val="top"/>
          </w:tcPr>
          <w:p>
            <w:pPr>
              <w:spacing w:after="120"/>
              <w:jc w:val="left"/>
            </w:pPr>
            <w:r>
              <w:t>GDAL</w:t>
            </w:r>
          </w:p>
        </w:tc>
        <w:tc>
          <w:tcPr>
            <w:tcW w:type="dxa" w:w="2880"/>
            <w:vAlign w:val="top"/>
          </w:tcPr>
          <w:p>
            <w:pPr>
              <w:spacing w:after="120"/>
              <w:jc w:val="left"/>
            </w:pPr>
            <w:r>
              <w:t>OpenDroneMap</w:t>
            </w:r>
          </w:p>
        </w:tc>
      </w:tr>
      <w:tr>
        <w:tc>
          <w:tcPr>
            <w:tcW w:type="dxa" w:w="2880"/>
            <w:vAlign w:val="top"/>
          </w:tcPr>
          <w:p>
            <w:pPr>
              <w:spacing w:after="120"/>
              <w:jc w:val="left"/>
            </w:pPr>
            <w:r>
              <w:t>MQTT</w:t>
            </w:r>
          </w:p>
        </w:tc>
        <w:tc>
          <w:tcPr>
            <w:tcW w:type="dxa" w:w="2880"/>
            <w:vAlign w:val="top"/>
          </w:tcPr>
          <w:p>
            <w:pPr>
              <w:spacing w:after="120"/>
              <w:jc w:val="left"/>
            </w:pPr>
            <w:r>
              <w:t>AES-256</w:t>
            </w:r>
          </w:p>
        </w:tc>
        <w:tc>
          <w:tcPr>
            <w:tcW w:type="dxa" w:w="2880"/>
            <w:vAlign w:val="top"/>
          </w:tcPr>
          <w:p>
            <w:pPr>
              <w:spacing w:after="120"/>
              <w:jc w:val="left"/>
            </w:pPr>
            <w:r>
              <w:t>Hyperledger Fabric</w:t>
            </w:r>
          </w:p>
        </w:tc>
      </w:tr>
      <w:tr>
        <w:tc>
          <w:tcPr>
            <w:tcW w:type="dxa" w:w="2880"/>
            <w:vAlign w:val="top"/>
          </w:tcPr>
          <w:p>
            <w:pPr>
              <w:spacing w:after="120"/>
              <w:jc w:val="left"/>
            </w:pPr>
            <w:r>
              <w:t>Kubernetes</w:t>
            </w:r>
          </w:p>
        </w:tc>
        <w:tc>
          <w:tcPr>
            <w:tcW w:type="dxa" w:w="2880"/>
            <w:vAlign w:val="top"/>
          </w:tcPr>
          <w:p>
            <w:pPr>
              <w:spacing w:after="120"/>
              <w:jc w:val="left"/>
            </w:pPr>
            <w:r>
              <w:t>Prometheus</w:t>
            </w:r>
          </w:p>
        </w:tc>
        <w:tc>
          <w:tcPr>
            <w:tcW w:type="dxa" w:w="2880"/>
            <w:vAlign w:val="top"/>
          </w:tcPr>
          <w:p>
            <w:pPr>
              <w:spacing w:after="120"/>
              <w:jc w:val="left"/>
            </w:pPr>
          </w:p>
        </w:tc>
      </w:tr>
    </w:tbl>
    <w:p>
      <w:bookmarkStart w:id="None" w:name="sec_key_milestones"/>
      <w:pPr>
        <w:pStyle w:val="Heading1"/>
      </w:pPr>
      <w:r>
        <w:t>Key Milestones</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Duration</w:t>
            </w:r>
          </w:p>
        </w:tc>
        <w:tc>
          <w:tcPr>
            <w:tcW w:type="dxa" w:w="2880"/>
          </w:tcPr>
          <w:p>
            <w:r>
              <w:rPr>
                <w:b/>
              </w:rPr>
              <w:t>Description</w:t>
            </w:r>
          </w:p>
        </w:tc>
      </w:tr>
      <w:tr>
        <w:tc>
          <w:tcPr>
            <w:tcW w:type="dxa" w:w="2880"/>
            <w:vAlign w:val="top"/>
          </w:tcPr>
          <w:p>
            <w:pPr>
              <w:spacing w:after="120"/>
              <w:jc w:val="left"/>
            </w:pPr>
            <w:r>
              <w:t>Phase 1 – Pilot Setup</w:t>
            </w:r>
          </w:p>
        </w:tc>
        <w:tc>
          <w:tcPr>
            <w:tcW w:type="dxa" w:w="2880"/>
            <w:vAlign w:val="top"/>
          </w:tcPr>
          <w:p>
            <w:pPr>
              <w:spacing w:after="120"/>
              <w:jc w:val="left"/>
            </w:pPr>
            <w:r>
              <w:t>6 weeks</w:t>
            </w:r>
          </w:p>
        </w:tc>
        <w:tc>
          <w:tcPr>
            <w:tcW w:type="dxa" w:w="2880"/>
            <w:vAlign w:val="top"/>
          </w:tcPr>
          <w:p>
            <w:pPr>
              <w:spacing w:after="120"/>
              <w:jc w:val="left"/>
            </w:pPr>
            <w:r>
              <w:t>Deploy drones in two tehsils, capture 10 000</w:t>
              <w:br/>
              <w:t>ha, validate AI classification against 500 ground-truth plots.</w:t>
              <w:br/>
              <w:t>Establish cloud landing zone, integrate with existing bhulekh</w:t>
              <w:br/>
              <w:t>APIs and train 30 Patwaris on mobile app.</w:t>
            </w:r>
          </w:p>
        </w:tc>
      </w:tr>
      <w:tr>
        <w:tc>
          <w:tcPr>
            <w:tcW w:type="dxa" w:w="2880"/>
            <w:vAlign w:val="top"/>
          </w:tcPr>
          <w:p>
            <w:pPr>
              <w:spacing w:after="120"/>
              <w:jc w:val="left"/>
            </w:pPr>
            <w:r>
              <w:t>Phase 2 – Statewide Rollout</w:t>
            </w:r>
          </w:p>
        </w:tc>
        <w:tc>
          <w:tcPr>
            <w:tcW w:type="dxa" w:w="2880"/>
            <w:vAlign w:val="top"/>
          </w:tcPr>
          <w:p>
            <w:pPr>
              <w:spacing w:after="120"/>
              <w:jc w:val="left"/>
            </w:pPr>
            <w:r>
              <w:t>12 weeks</w:t>
            </w:r>
          </w:p>
        </w:tc>
        <w:tc>
          <w:tcPr>
            <w:tcW w:type="dxa" w:w="2880"/>
            <w:vAlign w:val="top"/>
          </w:tcPr>
          <w:p>
            <w:pPr>
              <w:spacing w:after="120"/>
              <w:jc w:val="left"/>
            </w:pPr>
            <w:r>
              <w:t>Procure 40 drone kits, recruit 120 field operators</w:t>
              <w:br/>
              <w:t>and cover 1.2 M ha across 300 gram</w:t>
              <w:br/>
              <w:t>panchayats. Achieve 90% plot detection accuracy and reduce</w:t>
              <w:br/>
              <w:t>average survey time from 300 to 7 man-days.</w:t>
            </w:r>
          </w:p>
        </w:tc>
      </w:tr>
      <w:tr>
        <w:tc>
          <w:tcPr>
            <w:tcW w:type="dxa" w:w="2880"/>
            <w:vAlign w:val="top"/>
          </w:tcPr>
          <w:p>
            <w:pPr>
              <w:spacing w:after="120"/>
              <w:jc w:val="left"/>
            </w:pPr>
            <w:r>
              <w:t>Phase 3 – Workflow Automation</w:t>
            </w:r>
          </w:p>
        </w:tc>
        <w:tc>
          <w:tcPr>
            <w:tcW w:type="dxa" w:w="2880"/>
            <w:vAlign w:val="top"/>
          </w:tcPr>
          <w:p>
            <w:pPr>
              <w:spacing w:after="120"/>
              <w:jc w:val="left"/>
            </w:pPr>
            <w:r>
              <w:t>8 weeks</w:t>
            </w:r>
          </w:p>
        </w:tc>
        <w:tc>
          <w:tcPr>
            <w:tcW w:type="dxa" w:w="2880"/>
            <w:vAlign w:val="top"/>
          </w:tcPr>
          <w:p>
            <w:pPr>
              <w:spacing w:after="120"/>
              <w:jc w:val="left"/>
            </w:pPr>
            <w:r>
              <w:t>Enable end-to-end digital Girdawari register generation, e-signature</w:t>
              <w:br/>
              <w:t>and revenue database auto-update. Integrate with crop</w:t>
              <w:br/>
              <w:t>insurance and e-Gras for real-time subsidy disbursal,</w:t>
              <w:br/>
              <w:t>cutting farmer wait time to 7 days.</w:t>
            </w:r>
          </w:p>
        </w:tc>
      </w:tr>
      <w:tr>
        <w:tc>
          <w:tcPr>
            <w:tcW w:type="dxa" w:w="2880"/>
            <w:vAlign w:val="top"/>
          </w:tcPr>
          <w:p>
            <w:pPr>
              <w:spacing w:after="120"/>
              <w:jc w:val="left"/>
            </w:pPr>
            <w:r>
              <w:t>Phase 4 – Analytics Portal</w:t>
            </w:r>
          </w:p>
        </w:tc>
        <w:tc>
          <w:tcPr>
            <w:tcW w:type="dxa" w:w="2880"/>
            <w:vAlign w:val="top"/>
          </w:tcPr>
          <w:p>
            <w:pPr>
              <w:spacing w:after="120"/>
              <w:jc w:val="left"/>
            </w:pPr>
            <w:r>
              <w:t>6 weeks</w:t>
            </w:r>
          </w:p>
        </w:tc>
        <w:tc>
          <w:tcPr>
            <w:tcW w:type="dxa" w:w="2880"/>
            <w:vAlign w:val="top"/>
          </w:tcPr>
          <w:p>
            <w:pPr>
              <w:spacing w:after="120"/>
              <w:jc w:val="left"/>
            </w:pPr>
            <w:r>
              <w:t>Launch web dashboard for crop acreage statistics,</w:t>
              <w:br/>
              <w:t>yield forecasts and drought risk alerts for</w:t>
              <w:br/>
              <w:t>policymakers. Provide open APIs for researchers, banks</w:t>
              <w:br/>
              <w:t>and ag-tech startups to build value-added services.</w:t>
            </w:r>
          </w:p>
        </w:tc>
      </w:tr>
      <w:tr>
        <w:tc>
          <w:tcPr>
            <w:tcW w:type="dxa" w:w="2880"/>
            <w:vAlign w:val="top"/>
          </w:tcPr>
          <w:p>
            <w:pPr>
              <w:spacing w:after="120"/>
              <w:jc w:val="left"/>
            </w:pPr>
            <w:r>
              <w:t>Phase 5 – Security Hardening</w:t>
            </w:r>
          </w:p>
        </w:tc>
        <w:tc>
          <w:tcPr>
            <w:tcW w:type="dxa" w:w="2880"/>
            <w:vAlign w:val="top"/>
          </w:tcPr>
          <w:p>
            <w:pPr>
              <w:spacing w:after="120"/>
              <w:jc w:val="left"/>
            </w:pPr>
            <w:r>
              <w:t>4 weeks</w:t>
            </w:r>
          </w:p>
        </w:tc>
        <w:tc>
          <w:tcPr>
            <w:tcW w:type="dxa" w:w="2880"/>
            <w:vAlign w:val="top"/>
          </w:tcPr>
          <w:p>
            <w:pPr>
              <w:spacing w:after="120"/>
              <w:jc w:val="left"/>
            </w:pPr>
            <w:r>
              <w:t>Implement blockchain-based tamper-proof record storage, AES-256</w:t>
              <w:br/>
              <w:t>encryption and SOC-2 certified audit logging.</w:t>
              <w:br/>
              <w:t>Conduct third-party penetration testing and obtain</w:t>
              <w:br/>
              <w:t>CERT-In security clearance for production operations.</w:t>
            </w:r>
          </w:p>
        </w:tc>
      </w:tr>
      <w:tr>
        <w:tc>
          <w:tcPr>
            <w:tcW w:type="dxa" w:w="2880"/>
            <w:vAlign w:val="top"/>
          </w:tcPr>
          <w:p>
            <w:pPr>
              <w:spacing w:after="120"/>
              <w:jc w:val="left"/>
            </w:pPr>
            <w:r>
              <w:t>Phase 6 – Capacity Building</w:t>
            </w:r>
          </w:p>
        </w:tc>
        <w:tc>
          <w:tcPr>
            <w:tcW w:type="dxa" w:w="2880"/>
            <w:vAlign w:val="top"/>
          </w:tcPr>
          <w:p>
            <w:pPr>
              <w:spacing w:after="120"/>
              <w:jc w:val="left"/>
            </w:pPr>
            <w:r>
              <w:t>10 weeks</w:t>
            </w:r>
          </w:p>
        </w:tc>
        <w:tc>
          <w:tcPr>
            <w:tcW w:type="dxa" w:w="2880"/>
            <w:vAlign w:val="top"/>
          </w:tcPr>
          <w:p>
            <w:pPr>
              <w:spacing w:after="120"/>
              <w:jc w:val="left"/>
            </w:pPr>
            <w:r>
              <w:t>Train 2 000 Patwaris and 500 junior engineers</w:t>
              <w:br/>
              <w:t>through regional workshops, e-learning modules and VR simulators.</w:t>
              <w:br/>
              <w:t>Establish drone maintenance hubs in seven divisional</w:t>
              <w:br/>
              <w:t>headquarters with OEM-certified technicians and spares inventory.</w:t>
            </w:r>
          </w:p>
        </w:tc>
      </w:tr>
      <w:tr>
        <w:tc>
          <w:tcPr>
            <w:tcW w:type="dxa" w:w="2880"/>
            <w:vAlign w:val="top"/>
          </w:tcPr>
          <w:p>
            <w:pPr>
              <w:spacing w:after="120"/>
              <w:jc w:val="left"/>
            </w:pPr>
            <w:r>
              <w:t>Phase 7 – Continuous Improvement</w:t>
            </w:r>
          </w:p>
        </w:tc>
        <w:tc>
          <w:tcPr>
            <w:tcW w:type="dxa" w:w="2880"/>
            <w:vAlign w:val="top"/>
          </w:tcPr>
          <w:p>
            <w:pPr>
              <w:spacing w:after="120"/>
              <w:jc w:val="left"/>
            </w:pPr>
            <w:r>
              <w:t>Ongoing</w:t>
            </w:r>
          </w:p>
        </w:tc>
        <w:tc>
          <w:tcPr>
            <w:tcW w:type="dxa" w:w="2880"/>
            <w:vAlign w:val="top"/>
          </w:tcPr>
          <w:p>
            <w:pPr>
              <w:spacing w:after="120"/>
              <w:jc w:val="left"/>
            </w:pPr>
            <w:r>
              <w:t>Run quarterly federated learning cycles, citizen feedback loops</w:t>
              <w:br/>
              <w:t>and model re-calibration to sustain 95% accuracy.</w:t>
              <w:br/>
              <w:t>Scale operations to neighboring states and explore</w:t>
              <w:br/>
              <w:t>satellite-drone hybrid surveys for national Girdawari standardization.</w:t>
            </w:r>
          </w:p>
        </w:tc>
      </w:tr>
    </w:tbl>
    <w:p>
      <w:bookmarkStart w:id="None" w:name="sec_objectives"/>
      <w:pPr>
        <w:pStyle w:val="Heading1"/>
      </w:pPr>
      <w:r>
        <w:t>Objectives</w:t>
      </w:r>
      <w:bookmarkEnd w:id="None"/>
    </w:p>
    <w:p>
      <w:pPr>
        <w:pStyle w:val="ListBullet"/>
      </w:pPr>
      <w:r>
        <w:t>Design and deploy a mobile-first,</w:t>
        <w:br/>
        <w:t>offline-capable application enabling Patwaris to</w:t>
        <w:br/>
        <w:t>capture crop, soil, and ownership</w:t>
        <w:br/>
        <w:t>data in under five minutes</w:t>
        <w:br/>
        <w:t>per plot, eliminating paper forms.</w:t>
      </w:r>
    </w:p>
    <w:p>
      <w:pPr>
        <w:pStyle w:val="ListBullet"/>
      </w:pPr>
      <w:r>
        <w:t>Integrate high-resolution satellite imagery</w:t>
        <w:br/>
        <w:t>and AI-based change-detection to</w:t>
        <w:br/>
        <w:t>auto-flag crop-switch boundaries, reducing</w:t>
        <w:br/>
        <w:t>manual traverse distance by</w:t>
        <w:br/>
        <w:t>at least 40%.</w:t>
      </w:r>
    </w:p>
    <w:p>
      <w:pPr>
        <w:pStyle w:val="ListBullet"/>
      </w:pPr>
      <w:r>
        <w:t>Establish a centralized, blockchain-secured</w:t>
        <w:br/>
        <w:t>land-record repository with tamper-proof</w:t>
        <w:br/>
        <w:t>audit trails, ensuring single-source</w:t>
        <w:br/>
        <w:t>truth accessible to all</w:t>
        <w:br/>
        <w:t>departments within two seconds.</w:t>
      </w:r>
    </w:p>
    <w:p>
      <w:pPr>
        <w:pStyle w:val="ListBullet"/>
      </w:pPr>
      <w:r>
        <w:t>Automate generation of statutory Girdawari</w:t>
        <w:br/>
        <w:t>reports (Khasra, P-II, P-IV) through</w:t>
        <w:br/>
        <w:t>configurable templates, cutting compilation time</w:t>
        <w:br/>
        <w:t>from weeks to one</w:t>
        <w:br/>
        <w:t>click on inspection day.</w:t>
      </w:r>
    </w:p>
    <w:p>
      <w:pPr>
        <w:pStyle w:val="ListBullet"/>
      </w:pPr>
      <w:r>
        <w:t>Embed localized weather, pest, and</w:t>
        <w:br/>
        <w:t>irrigation advisories so Patwaris</w:t>
        <w:br/>
        <w:t>can deliver contextual extension</w:t>
        <w:br/>
        <w:t>services to farmers during</w:t>
        <w:br/>
        <w:t>the same field visit.</w:t>
      </w:r>
    </w:p>
    <w:p>
      <w:pPr>
        <w:pStyle w:val="ListBullet"/>
      </w:pPr>
      <w:r>
        <w:t>Create a tiered e-learning portal</w:t>
        <w:br/>
        <w:t>with vernacular micro-modules and AR-based</w:t>
        <w:br/>
        <w:t>simulations to certify every</w:t>
        <w:br/>
        <w:t>Patwari in digital survey</w:t>
        <w:br/>
        <w:t>tools within three months.</w:t>
      </w:r>
    </w:p>
    <w:p>
      <w:pPr>
        <w:pStyle w:val="ListBullet"/>
      </w:pPr>
      <w:r>
        <w:t>Enable real-time dashboard analytics</w:t>
        <w:br/>
        <w:t>for district collectors tracking</w:t>
        <w:br/>
        <w:t>village-level progress, anomalies, and</w:t>
        <w:br/>
        <w:t>resource gaps, driving data-centric</w:t>
        <w:br/>
        <w:t>review meetings every Monday.</w:t>
      </w:r>
    </w:p>
    <w:p>
      <w:bookmarkStart w:id="None" w:name="sec_acceptance_criteria"/>
      <w:pPr>
        <w:pStyle w:val="Heading1"/>
      </w:pPr>
      <w:r>
        <w:t>Acceptance Criteria</w:t>
      </w:r>
      <w:bookmarkEnd w:id="None"/>
    </w:p>
    <w:p>
      <w:pPr>
        <w:pStyle w:val="ListBullet"/>
      </w:pPr>
      <w:r>
        <w:t>System shall reduce single Gram</w:t>
        <w:br/>
        <w:t>Panchayat Girdawari completion time from</w:t>
        <w:br/>
        <w:t>300 man-days to maximum 30</w:t>
        <w:br/>
        <w:t>man-days through digital workflows.</w:t>
      </w:r>
    </w:p>
    <w:p>
      <w:pPr>
        <w:pStyle w:val="ListBullet"/>
      </w:pPr>
      <w:r>
        <w:t>Mobile app shall enable offline crop</w:t>
        <w:br/>
        <w:t>data entry with mandatory GPS</w:t>
        <w:br/>
        <w:t>tagging, auto-sync on 4G/WiFi, and</w:t>
        <w:br/>
        <w:t>support Hindi + local dialects.</w:t>
      </w:r>
    </w:p>
    <w:p>
      <w:pPr>
        <w:pStyle w:val="ListBullet"/>
      </w:pPr>
      <w:r>
        <w:t>Solution shall generate automated error</w:t>
        <w:br/>
        <w:t>report flagging &gt;5% area discrepancy</w:t>
        <w:br/>
        <w:t>between satellite imagery and Patwari-entered</w:t>
        <w:br/>
        <w:t>crop boundaries within 24 hours.</w:t>
      </w:r>
    </w:p>
    <w:p>
      <w:pPr>
        <w:pStyle w:val="ListBullet"/>
      </w:pPr>
      <w:r>
        <w:t>Platform shall integrate with existing Rajasthan</w:t>
        <w:br/>
        <w:t>land records database via REST</w:t>
        <w:br/>
        <w:t>APIs, updating mutation status in</w:t>
        <w:br/>
        <w:t>real-time with &lt;2 second response.</w:t>
      </w:r>
    </w:p>
    <w:p>
      <w:pPr>
        <w:pStyle w:val="ListBullet"/>
      </w:pPr>
      <w:r>
        <w:t>Training module shall deliver 4-hour interactive</w:t>
        <w:br/>
        <w:t>e-learning in Hindi, track completion</w:t>
        <w:br/>
        <w:t>for 100% of 10,000+ Patwaris,</w:t>
        <w:br/>
        <w:t>and certify via 20-question assessment.</w:t>
      </w:r>
    </w:p>
    <w:p>
      <w:pPr>
        <w:pStyle w:val="ListBullet"/>
      </w:pPr>
      <w:r>
        <w:t>System shall provide role-based dashboard</w:t>
        <w:br/>
        <w:t>for Tehsildar displaying village-wise progress,</w:t>
        <w:br/>
        <w:t>pending surveys, and alert for</w:t>
        <w:br/>
        <w:t>any village inactive &gt;7 days.</w:t>
      </w:r>
    </w:p>
    <w:p>
      <w:pPr>
        <w:pStyle w:val="ListBullet"/>
      </w:pPr>
      <w:r>
        <w:t>Solution shall support concurrent 5,000</w:t>
        <w:br/>
        <w:t>users on 2G/3G networks, encrypt</w:t>
        <w:br/>
        <w:t>data using AES-256, and achieve</w:t>
        <w:br/>
        <w:t>99.9% uptime measured monthly.</w:t>
      </w:r>
    </w:p>
    <w:p>
      <w:bookmarkStart w:id="None" w:name="sec_resources"/>
      <w:pPr>
        <w:pStyle w:val="Heading1"/>
      </w:pPr>
      <w:r>
        <w:t>Resources</w:t>
      </w:r>
      <w:bookmarkEnd w:id="None"/>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Role</w:t>
            </w:r>
          </w:p>
        </w:tc>
        <w:tc>
          <w:tcPr>
            <w:tcW w:type="dxa" w:w="2160"/>
          </w:tcPr>
          <w:p>
            <w:r>
              <w:rPr>
                <w:b/>
              </w:rPr>
              <w:t>Count</w:t>
            </w:r>
          </w:p>
        </w:tc>
        <w:tc>
          <w:tcPr>
            <w:tcW w:type="dxa" w:w="2160"/>
          </w:tcPr>
          <w:p>
            <w:r>
              <w:rPr>
                <w:b/>
              </w:rPr>
              <w:t>Years of Experience</w:t>
            </w:r>
          </w:p>
        </w:tc>
        <w:tc>
          <w:tcPr>
            <w:tcW w:type="dxa" w:w="2160"/>
          </w:tcPr>
          <w:p>
            <w:r>
              <w:rPr>
                <w:b/>
              </w:rPr>
              <w:t>Responsibilities</w:t>
            </w:r>
          </w:p>
        </w:tc>
      </w:tr>
      <w:tr>
        <w:tc>
          <w:tcPr>
            <w:tcW w:type="dxa" w:w="2160"/>
            <w:vAlign w:val="top"/>
          </w:tcPr>
          <w:p>
            <w:pPr>
              <w:spacing w:after="120"/>
              <w:jc w:val="left"/>
            </w:pPr>
            <w:r>
              <w:t>Project Manager</w:t>
            </w:r>
          </w:p>
        </w:tc>
        <w:tc>
          <w:tcPr>
            <w:tcW w:type="dxa" w:w="2160"/>
            <w:vAlign w:val="top"/>
          </w:tcPr>
          <w:p>
            <w:pPr>
              <w:spacing w:after="120"/>
              <w:jc w:val="left"/>
            </w:pPr>
            <w:r>
              <w:t>1</w:t>
            </w:r>
          </w:p>
        </w:tc>
        <w:tc>
          <w:tcPr>
            <w:tcW w:type="dxa" w:w="2160"/>
            <w:vAlign w:val="top"/>
          </w:tcPr>
          <w:p>
            <w:pPr>
              <w:spacing w:after="120"/>
              <w:jc w:val="left"/>
            </w:pPr>
            <w:r>
              <w:t>12</w:t>
            </w:r>
          </w:p>
        </w:tc>
        <w:tc>
          <w:tcPr>
            <w:tcW w:type="dxa" w:w="2160"/>
            <w:vAlign w:val="top"/>
          </w:tcPr>
          <w:p>
            <w:pPr>
              <w:spacing w:after="120"/>
              <w:jc w:val="left"/>
            </w:pPr>
            <w:r>
              <w:t>Plan, risk mgmt, stakeholder alignment</w:t>
            </w:r>
          </w:p>
        </w:tc>
      </w:tr>
      <w:tr>
        <w:tc>
          <w:tcPr>
            <w:tcW w:type="dxa" w:w="2160"/>
            <w:vAlign w:val="top"/>
          </w:tcPr>
          <w:p>
            <w:pPr>
              <w:spacing w:after="120"/>
              <w:jc w:val="left"/>
            </w:pPr>
            <w:r>
              <w:t>Solution Architect</w:t>
            </w:r>
          </w:p>
        </w:tc>
        <w:tc>
          <w:tcPr>
            <w:tcW w:type="dxa" w:w="2160"/>
            <w:vAlign w:val="top"/>
          </w:tcPr>
          <w:p>
            <w:pPr>
              <w:spacing w:after="120"/>
              <w:jc w:val="left"/>
            </w:pPr>
            <w:r>
              <w:t>1</w:t>
            </w:r>
          </w:p>
        </w:tc>
        <w:tc>
          <w:tcPr>
            <w:tcW w:type="dxa" w:w="2160"/>
            <w:vAlign w:val="top"/>
          </w:tcPr>
          <w:p>
            <w:pPr>
              <w:spacing w:after="120"/>
              <w:jc w:val="left"/>
            </w:pPr>
            <w:r>
              <w:t>10</w:t>
            </w:r>
          </w:p>
        </w:tc>
        <w:tc>
          <w:tcPr>
            <w:tcW w:type="dxa" w:w="2160"/>
            <w:vAlign w:val="top"/>
          </w:tcPr>
          <w:p>
            <w:pPr>
              <w:spacing w:after="120"/>
              <w:jc w:val="left"/>
            </w:pPr>
            <w:r>
              <w:t>Design scalable cloud-edge hybrid</w:t>
            </w:r>
          </w:p>
        </w:tc>
      </w:tr>
      <w:tr>
        <w:tc>
          <w:tcPr>
            <w:tcW w:type="dxa" w:w="2160"/>
            <w:vAlign w:val="top"/>
          </w:tcPr>
          <w:p>
            <w:pPr>
              <w:spacing w:after="120"/>
              <w:jc w:val="left"/>
            </w:pPr>
            <w:r>
              <w:t>Drone Operator</w:t>
            </w:r>
          </w:p>
        </w:tc>
        <w:tc>
          <w:tcPr>
            <w:tcW w:type="dxa" w:w="2160"/>
            <w:vAlign w:val="top"/>
          </w:tcPr>
          <w:p>
            <w:pPr>
              <w:spacing w:after="120"/>
              <w:jc w:val="left"/>
            </w:pPr>
            <w:r>
              <w:t>40</w:t>
            </w:r>
          </w:p>
        </w:tc>
        <w:tc>
          <w:tcPr>
            <w:tcW w:type="dxa" w:w="2160"/>
            <w:vAlign w:val="top"/>
          </w:tcPr>
          <w:p>
            <w:pPr>
              <w:spacing w:after="120"/>
              <w:jc w:val="left"/>
            </w:pPr>
            <w:r>
              <w:t>3</w:t>
            </w:r>
          </w:p>
        </w:tc>
        <w:tc>
          <w:tcPr>
            <w:tcW w:type="dxa" w:w="2160"/>
            <w:vAlign w:val="top"/>
          </w:tcPr>
          <w:p>
            <w:pPr>
              <w:spacing w:after="120"/>
              <w:jc w:val="left"/>
            </w:pPr>
            <w:r>
              <w:t>Fly missions, maintain UAVs</w:t>
            </w:r>
          </w:p>
        </w:tc>
      </w:tr>
      <w:tr>
        <w:tc>
          <w:tcPr>
            <w:tcW w:type="dxa" w:w="2160"/>
            <w:vAlign w:val="top"/>
          </w:tcPr>
          <w:p>
            <w:pPr>
              <w:spacing w:after="120"/>
              <w:jc w:val="left"/>
            </w:pPr>
            <w:r>
              <w:t>AI/ML Engineer</w:t>
            </w:r>
          </w:p>
        </w:tc>
        <w:tc>
          <w:tcPr>
            <w:tcW w:type="dxa" w:w="2160"/>
            <w:vAlign w:val="top"/>
          </w:tcPr>
          <w:p>
            <w:pPr>
              <w:spacing w:after="120"/>
              <w:jc w:val="left"/>
            </w:pPr>
            <w:r>
              <w:t>4</w:t>
            </w:r>
          </w:p>
        </w:tc>
        <w:tc>
          <w:tcPr>
            <w:tcW w:type="dxa" w:w="2160"/>
            <w:vAlign w:val="top"/>
          </w:tcPr>
          <w:p>
            <w:pPr>
              <w:spacing w:after="120"/>
              <w:jc w:val="left"/>
            </w:pPr>
            <w:r>
              <w:t>6</w:t>
            </w:r>
          </w:p>
        </w:tc>
        <w:tc>
          <w:tcPr>
            <w:tcW w:type="dxa" w:w="2160"/>
            <w:vAlign w:val="top"/>
          </w:tcPr>
          <w:p>
            <w:pPr>
              <w:spacing w:after="120"/>
              <w:jc w:val="left"/>
            </w:pPr>
            <w:r>
              <w:t>Build crop segmentation models</w:t>
            </w:r>
          </w:p>
        </w:tc>
      </w:tr>
      <w:tr>
        <w:tc>
          <w:tcPr>
            <w:tcW w:type="dxa" w:w="2160"/>
            <w:vAlign w:val="top"/>
          </w:tcPr>
          <w:p>
            <w:pPr>
              <w:spacing w:after="120"/>
              <w:jc w:val="left"/>
            </w:pPr>
            <w:r>
              <w:t>GIS Engineer</w:t>
            </w:r>
          </w:p>
        </w:tc>
        <w:tc>
          <w:tcPr>
            <w:tcW w:type="dxa" w:w="2160"/>
            <w:vAlign w:val="top"/>
          </w:tcPr>
          <w:p>
            <w:pPr>
              <w:spacing w:after="120"/>
              <w:jc w:val="left"/>
            </w:pPr>
            <w:r>
              <w:t>6</w:t>
            </w:r>
          </w:p>
        </w:tc>
        <w:tc>
          <w:tcPr>
            <w:tcW w:type="dxa" w:w="2160"/>
            <w:vAlign w:val="top"/>
          </w:tcPr>
          <w:p>
            <w:pPr>
              <w:spacing w:after="120"/>
              <w:jc w:val="left"/>
            </w:pPr>
            <w:r>
              <w:t>5</w:t>
            </w:r>
          </w:p>
        </w:tc>
        <w:tc>
          <w:tcPr>
            <w:tcW w:type="dxa" w:w="2160"/>
            <w:vAlign w:val="top"/>
          </w:tcPr>
          <w:p>
            <w:pPr>
              <w:spacing w:after="120"/>
              <w:jc w:val="left"/>
            </w:pPr>
            <w:r>
              <w:t>Ortho processing, parcel mapping</w:t>
            </w:r>
          </w:p>
        </w:tc>
      </w:tr>
      <w:tr>
        <w:tc>
          <w:tcPr>
            <w:tcW w:type="dxa" w:w="2160"/>
            <w:vAlign w:val="top"/>
          </w:tcPr>
          <w:p>
            <w:pPr>
              <w:spacing w:after="120"/>
              <w:jc w:val="left"/>
            </w:pPr>
            <w:r>
              <w:t>Backend Developer</w:t>
            </w:r>
          </w:p>
        </w:tc>
        <w:tc>
          <w:tcPr>
            <w:tcW w:type="dxa" w:w="2160"/>
            <w:vAlign w:val="top"/>
          </w:tcPr>
          <w:p>
            <w:pPr>
              <w:spacing w:after="120"/>
              <w:jc w:val="left"/>
            </w:pPr>
            <w:r>
              <w:t>5</w:t>
            </w:r>
          </w:p>
        </w:tc>
        <w:tc>
          <w:tcPr>
            <w:tcW w:type="dxa" w:w="2160"/>
            <w:vAlign w:val="top"/>
          </w:tcPr>
          <w:p>
            <w:pPr>
              <w:spacing w:after="120"/>
              <w:jc w:val="left"/>
            </w:pPr>
            <w:r>
              <w:t>7</w:t>
            </w:r>
          </w:p>
        </w:tc>
        <w:tc>
          <w:tcPr>
            <w:tcW w:type="dxa" w:w="2160"/>
            <w:vAlign w:val="top"/>
          </w:tcPr>
          <w:p>
            <w:pPr>
              <w:spacing w:after="120"/>
              <w:jc w:val="left"/>
            </w:pPr>
            <w:r>
              <w:t>APIs, integration, security</w:t>
            </w:r>
          </w:p>
        </w:tc>
      </w:tr>
      <w:tr>
        <w:tc>
          <w:tcPr>
            <w:tcW w:type="dxa" w:w="2160"/>
            <w:vAlign w:val="top"/>
          </w:tcPr>
          <w:p>
            <w:pPr>
              <w:spacing w:after="120"/>
              <w:jc w:val="left"/>
            </w:pPr>
            <w:r>
              <w:t>DevOps Engineer</w:t>
            </w:r>
          </w:p>
        </w:tc>
        <w:tc>
          <w:tcPr>
            <w:tcW w:type="dxa" w:w="2160"/>
            <w:vAlign w:val="top"/>
          </w:tcPr>
          <w:p>
            <w:pPr>
              <w:spacing w:after="120"/>
              <w:jc w:val="left"/>
            </w:pPr>
            <w:r>
              <w:t>2</w:t>
            </w:r>
          </w:p>
        </w:tc>
        <w:tc>
          <w:tcPr>
            <w:tcW w:type="dxa" w:w="2160"/>
            <w:vAlign w:val="top"/>
          </w:tcPr>
          <w:p>
            <w:pPr>
              <w:spacing w:after="120"/>
              <w:jc w:val="left"/>
            </w:pPr>
            <w:r>
              <w:t>6</w:t>
            </w:r>
          </w:p>
        </w:tc>
        <w:tc>
          <w:tcPr>
            <w:tcW w:type="dxa" w:w="2160"/>
            <w:vAlign w:val="top"/>
          </w:tcPr>
          <w:p>
            <w:pPr>
              <w:spacing w:after="120"/>
              <w:jc w:val="left"/>
            </w:pPr>
            <w:r>
              <w:t>CI/CD, infra as code</w:t>
            </w:r>
          </w:p>
        </w:tc>
      </w:tr>
      <w:tr>
        <w:tc>
          <w:tcPr>
            <w:tcW w:type="dxa" w:w="2160"/>
            <w:vAlign w:val="top"/>
          </w:tcPr>
          <w:p>
            <w:pPr>
              <w:spacing w:after="120"/>
              <w:jc w:val="left"/>
            </w:pPr>
            <w:r>
              <w:t>Training Lead</w:t>
            </w:r>
          </w:p>
        </w:tc>
        <w:tc>
          <w:tcPr>
            <w:tcW w:type="dxa" w:w="2160"/>
            <w:vAlign w:val="top"/>
          </w:tcPr>
          <w:p>
            <w:pPr>
              <w:spacing w:after="120"/>
              <w:jc w:val="left"/>
            </w:pPr>
            <w:r>
              <w:t>1</w:t>
            </w:r>
          </w:p>
        </w:tc>
        <w:tc>
          <w:tcPr>
            <w:tcW w:type="dxa" w:w="2160"/>
            <w:vAlign w:val="top"/>
          </w:tcPr>
          <w:p>
            <w:pPr>
              <w:spacing w:after="120"/>
              <w:jc w:val="left"/>
            </w:pPr>
            <w:r>
              <w:t>8</w:t>
            </w:r>
          </w:p>
        </w:tc>
        <w:tc>
          <w:tcPr>
            <w:tcW w:type="dxa" w:w="2160"/>
            <w:vAlign w:val="top"/>
          </w:tcPr>
          <w:p>
            <w:pPr>
              <w:spacing w:after="120"/>
              <w:jc w:val="left"/>
            </w:pPr>
            <w:r>
              <w:t>Curriculum, capacity building</w:t>
            </w:r>
          </w:p>
        </w:tc>
      </w:tr>
      <w:tr>
        <w:tc>
          <w:tcPr>
            <w:tcW w:type="dxa" w:w="2160"/>
            <w:vAlign w:val="top"/>
          </w:tcPr>
          <w:p>
            <w:pPr>
              <w:spacing w:after="120"/>
              <w:jc w:val="left"/>
            </w:pPr>
            <w:r>
              <w:t>Support Engineer</w:t>
            </w:r>
          </w:p>
        </w:tc>
        <w:tc>
          <w:tcPr>
            <w:tcW w:type="dxa" w:w="2160"/>
            <w:vAlign w:val="top"/>
          </w:tcPr>
          <w:p>
            <w:pPr>
              <w:spacing w:after="120"/>
              <w:jc w:val="left"/>
            </w:pPr>
            <w:r>
              <w:t>8</w:t>
            </w:r>
          </w:p>
        </w:tc>
        <w:tc>
          <w:tcPr>
            <w:tcW w:type="dxa" w:w="2160"/>
            <w:vAlign w:val="top"/>
          </w:tcPr>
          <w:p>
            <w:pPr>
              <w:spacing w:after="120"/>
              <w:jc w:val="left"/>
            </w:pPr>
            <w:r>
              <w:t>4</w:t>
            </w:r>
          </w:p>
        </w:tc>
        <w:tc>
          <w:tcPr>
            <w:tcW w:type="dxa" w:w="2160"/>
            <w:vAlign w:val="top"/>
          </w:tcPr>
          <w:p>
            <w:pPr>
              <w:spacing w:after="120"/>
              <w:jc w:val="left"/>
            </w:pPr>
            <w:r>
              <w:t>L2 support, spares mgmt</w:t>
            </w:r>
          </w:p>
        </w:tc>
      </w:tr>
    </w:tbl>
    <w:p>
      <w:bookmarkStart w:id="None" w:name="sec_cost_analysis"/>
      <w:pPr>
        <w:pStyle w:val="Heading1"/>
      </w:pPr>
      <w:r>
        <w:t>Cost Analysis</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Cost (INR)</w:t>
            </w:r>
          </w:p>
        </w:tc>
        <w:tc>
          <w:tcPr>
            <w:tcW w:type="dxa" w:w="2880"/>
          </w:tcPr>
          <w:p>
            <w:r>
              <w:rPr>
                <w:b/>
              </w:rPr>
              <w:t>Notes</w:t>
            </w:r>
          </w:p>
        </w:tc>
      </w:tr>
      <w:tr>
        <w:tc>
          <w:tcPr>
            <w:tcW w:type="dxa" w:w="2880"/>
            <w:vAlign w:val="top"/>
          </w:tcPr>
          <w:p>
            <w:pPr>
              <w:spacing w:after="120"/>
              <w:jc w:val="left"/>
            </w:pPr>
            <w:r>
              <w:t>Drone Fleet (40 units)</w:t>
            </w:r>
          </w:p>
        </w:tc>
        <w:tc>
          <w:tcPr>
            <w:tcW w:type="dxa" w:w="2880"/>
            <w:vAlign w:val="top"/>
          </w:tcPr>
          <w:p>
            <w:pPr>
              <w:spacing w:after="120"/>
              <w:jc w:val="left"/>
            </w:pPr>
            <w:r>
              <w:t>₹48,000,000</w:t>
            </w:r>
          </w:p>
        </w:tc>
        <w:tc>
          <w:tcPr>
            <w:tcW w:type="dxa" w:w="2880"/>
            <w:vAlign w:val="top"/>
          </w:tcPr>
          <w:p>
            <w:pPr>
              <w:spacing w:after="120"/>
              <w:jc w:val="left"/>
            </w:pPr>
            <w:r>
              <w:t>DJI M300 RTK with multispectral cam</w:t>
            </w:r>
          </w:p>
        </w:tc>
      </w:tr>
      <w:tr>
        <w:tc>
          <w:tcPr>
            <w:tcW w:type="dxa" w:w="2880"/>
            <w:vAlign w:val="top"/>
          </w:tcPr>
          <w:p>
            <w:pPr>
              <w:spacing w:after="120"/>
              <w:jc w:val="left"/>
            </w:pPr>
            <w:r>
              <w:t>Edge Compute Modules</w:t>
            </w:r>
          </w:p>
        </w:tc>
        <w:tc>
          <w:tcPr>
            <w:tcW w:type="dxa" w:w="2880"/>
            <w:vAlign w:val="top"/>
          </w:tcPr>
          <w:p>
            <w:pPr>
              <w:spacing w:after="120"/>
              <w:jc w:val="left"/>
            </w:pPr>
            <w:r>
              <w:t>₹3,200,000</w:t>
            </w:r>
          </w:p>
        </w:tc>
        <w:tc>
          <w:tcPr>
            <w:tcW w:type="dxa" w:w="2880"/>
            <w:vAlign w:val="top"/>
          </w:tcPr>
          <w:p>
            <w:pPr>
              <w:spacing w:after="120"/>
              <w:jc w:val="left"/>
            </w:pPr>
            <w:r>
              <w:t>Jetson Nano, peripherals and spares</w:t>
            </w:r>
          </w:p>
        </w:tc>
      </w:tr>
      <w:tr>
        <w:tc>
          <w:tcPr>
            <w:tcW w:type="dxa" w:w="2880"/>
            <w:vAlign w:val="top"/>
          </w:tcPr>
          <w:p>
            <w:pPr>
              <w:spacing w:after="120"/>
              <w:jc w:val="left"/>
            </w:pPr>
            <w:r>
              <w:t>Cloud Infrastructure (1 yr)</w:t>
            </w:r>
          </w:p>
        </w:tc>
        <w:tc>
          <w:tcPr>
            <w:tcW w:type="dxa" w:w="2880"/>
            <w:vAlign w:val="top"/>
          </w:tcPr>
          <w:p>
            <w:pPr>
              <w:spacing w:after="120"/>
              <w:jc w:val="left"/>
            </w:pPr>
            <w:r>
              <w:t>₹6,000,000</w:t>
            </w:r>
          </w:p>
        </w:tc>
        <w:tc>
          <w:tcPr>
            <w:tcW w:type="dxa" w:w="2880"/>
            <w:vAlign w:val="top"/>
          </w:tcPr>
          <w:p>
            <w:pPr>
              <w:spacing w:after="120"/>
              <w:jc w:val="left"/>
            </w:pPr>
            <w:r>
              <w:t>Kubernetes, GPU nodes, storage</w:t>
            </w:r>
          </w:p>
        </w:tc>
      </w:tr>
      <w:tr>
        <w:tc>
          <w:tcPr>
            <w:tcW w:type="dxa" w:w="2880"/>
            <w:vAlign w:val="top"/>
          </w:tcPr>
          <w:p>
            <w:pPr>
              <w:spacing w:after="120"/>
              <w:jc w:val="left"/>
            </w:pPr>
            <w:r>
              <w:t>Software Licenses</w:t>
            </w:r>
          </w:p>
        </w:tc>
        <w:tc>
          <w:tcPr>
            <w:tcW w:type="dxa" w:w="2880"/>
            <w:vAlign w:val="top"/>
          </w:tcPr>
          <w:p>
            <w:pPr>
              <w:spacing w:after="120"/>
              <w:jc w:val="left"/>
            </w:pPr>
            <w:r>
              <w:t>₹1,800,000</w:t>
            </w:r>
          </w:p>
        </w:tc>
        <w:tc>
          <w:tcPr>
            <w:tcW w:type="dxa" w:w="2880"/>
            <w:vAlign w:val="top"/>
          </w:tcPr>
          <w:p>
            <w:pPr>
              <w:spacing w:after="120"/>
              <w:jc w:val="left"/>
            </w:pPr>
            <w:r>
              <w:t>GIS, AI SDKs, security tools</w:t>
            </w:r>
          </w:p>
        </w:tc>
      </w:tr>
      <w:tr>
        <w:tc>
          <w:tcPr>
            <w:tcW w:type="dxa" w:w="2880"/>
            <w:vAlign w:val="top"/>
          </w:tcPr>
          <w:p>
            <w:pPr>
              <w:spacing w:after="120"/>
              <w:jc w:val="left"/>
            </w:pPr>
            <w:r>
              <w:t>Personnel (12 months)</w:t>
            </w:r>
          </w:p>
        </w:tc>
        <w:tc>
          <w:tcPr>
            <w:tcW w:type="dxa" w:w="2880"/>
            <w:vAlign w:val="top"/>
          </w:tcPr>
          <w:p>
            <w:pPr>
              <w:spacing w:after="120"/>
              <w:jc w:val="left"/>
            </w:pPr>
            <w:r>
              <w:t>₹22,500,000</w:t>
            </w:r>
          </w:p>
        </w:tc>
        <w:tc>
          <w:tcPr>
            <w:tcW w:type="dxa" w:w="2880"/>
            <w:vAlign w:val="top"/>
          </w:tcPr>
          <w:p>
            <w:pPr>
              <w:spacing w:after="120"/>
              <w:jc w:val="left"/>
            </w:pPr>
            <w:r>
              <w:t>Salaries, travel, training</w:t>
            </w:r>
          </w:p>
        </w:tc>
      </w:tr>
      <w:tr>
        <w:tc>
          <w:tcPr>
            <w:tcW w:type="dxa" w:w="2880"/>
            <w:vAlign w:val="top"/>
          </w:tcPr>
          <w:p>
            <w:pPr>
              <w:spacing w:after="120"/>
              <w:jc w:val="left"/>
            </w:pPr>
            <w:r>
              <w:t>Training &amp; Workshops</w:t>
            </w:r>
          </w:p>
        </w:tc>
        <w:tc>
          <w:tcPr>
            <w:tcW w:type="dxa" w:w="2880"/>
            <w:vAlign w:val="top"/>
          </w:tcPr>
          <w:p>
            <w:pPr>
              <w:spacing w:after="120"/>
              <w:jc w:val="left"/>
            </w:pPr>
            <w:r>
              <w:t>₹2,400,000</w:t>
            </w:r>
          </w:p>
        </w:tc>
        <w:tc>
          <w:tcPr>
            <w:tcW w:type="dxa" w:w="2880"/>
            <w:vAlign w:val="top"/>
          </w:tcPr>
          <w:p>
            <w:pPr>
              <w:spacing w:after="120"/>
              <w:jc w:val="left"/>
            </w:pPr>
            <w:r>
              <w:t>Venues, VR kits, content dev</w:t>
            </w:r>
          </w:p>
        </w:tc>
      </w:tr>
      <w:tr>
        <w:tc>
          <w:tcPr>
            <w:tcW w:type="dxa" w:w="2880"/>
            <w:vAlign w:val="top"/>
          </w:tcPr>
          <w:p>
            <w:pPr>
              <w:spacing w:after="120"/>
              <w:jc w:val="left"/>
            </w:pPr>
            <w:r>
              <w:t>Maintenance &amp; Support (1 yr)</w:t>
            </w:r>
          </w:p>
        </w:tc>
        <w:tc>
          <w:tcPr>
            <w:tcW w:type="dxa" w:w="2880"/>
            <w:vAlign w:val="top"/>
          </w:tcPr>
          <w:p>
            <w:pPr>
              <w:spacing w:after="120"/>
              <w:jc w:val="left"/>
            </w:pPr>
            <w:r>
              <w:t>₹4,800,000</w:t>
            </w:r>
          </w:p>
        </w:tc>
        <w:tc>
          <w:tcPr>
            <w:tcW w:type="dxa" w:w="2880"/>
            <w:vAlign w:val="top"/>
          </w:tcPr>
          <w:p>
            <w:pPr>
              <w:spacing w:after="120"/>
              <w:jc w:val="left"/>
            </w:pPr>
            <w:r>
              <w:t>Spares, AMC, SLA penalties</w:t>
            </w:r>
          </w:p>
        </w:tc>
      </w:tr>
      <w:tr>
        <w:tc>
          <w:tcPr>
            <w:tcW w:type="dxa" w:w="2880"/>
            <w:vAlign w:val="top"/>
          </w:tcPr>
          <w:p>
            <w:pPr>
              <w:spacing w:after="120"/>
              <w:jc w:val="left"/>
            </w:pPr>
            <w:r>
              <w:t>Security Audit &amp; Cert</w:t>
            </w:r>
          </w:p>
        </w:tc>
        <w:tc>
          <w:tcPr>
            <w:tcW w:type="dxa" w:w="2880"/>
            <w:vAlign w:val="top"/>
          </w:tcPr>
          <w:p>
            <w:pPr>
              <w:spacing w:after="120"/>
              <w:jc w:val="left"/>
            </w:pPr>
            <w:r>
              <w:t>₹1,200,000</w:t>
            </w:r>
          </w:p>
        </w:tc>
        <w:tc>
          <w:tcPr>
            <w:tcW w:type="dxa" w:w="2880"/>
            <w:vAlign w:val="top"/>
          </w:tcPr>
          <w:p>
            <w:pPr>
              <w:spacing w:after="120"/>
              <w:jc w:val="left"/>
            </w:pPr>
            <w:r>
              <w:t>Pen-test, blockchain setup</w:t>
            </w:r>
          </w:p>
        </w:tc>
      </w:tr>
      <w:tr>
        <w:tc>
          <w:tcPr>
            <w:tcW w:type="dxa" w:w="2880"/>
            <w:vAlign w:val="top"/>
          </w:tcPr>
          <w:p>
            <w:pPr>
              <w:spacing w:after="120"/>
              <w:jc w:val="left"/>
            </w:pPr>
            <w:r>
              <w:t>Contingency (10%)</w:t>
            </w:r>
          </w:p>
        </w:tc>
        <w:tc>
          <w:tcPr>
            <w:tcW w:type="dxa" w:w="2880"/>
            <w:vAlign w:val="top"/>
          </w:tcPr>
          <w:p>
            <w:pPr>
              <w:spacing w:after="120"/>
              <w:jc w:val="left"/>
            </w:pPr>
            <w:r>
              <w:t>₹8,990,000</w:t>
            </w:r>
          </w:p>
        </w:tc>
        <w:tc>
          <w:tcPr>
            <w:tcW w:type="dxa" w:w="2880"/>
            <w:vAlign w:val="top"/>
          </w:tcPr>
          <w:p>
            <w:pPr>
              <w:spacing w:after="120"/>
              <w:jc w:val="left"/>
            </w:pPr>
            <w:r>
              <w:t>Buffer for FX, inflation</w:t>
            </w:r>
          </w:p>
        </w:tc>
      </w:tr>
    </w:tbl>
    <w:p>
      <w:bookmarkStart w:id="None" w:name="sec_kpi"/>
      <w:pPr>
        <w:pStyle w:val="Heading1"/>
      </w:pPr>
      <w:r>
        <w:t>Key Performance Indicators</w:t>
      </w:r>
      <w:bookmarkEnd w:id="None"/>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Target</w:t>
            </w:r>
          </w:p>
        </w:tc>
        <w:tc>
          <w:tcPr>
            <w:tcW w:type="dxa" w:w="2160"/>
          </w:tcPr>
          <w:p>
            <w:r>
              <w:rPr>
                <w:b/>
              </w:rPr>
              <w:t>Measurement Method</w:t>
            </w:r>
          </w:p>
        </w:tc>
        <w:tc>
          <w:tcPr>
            <w:tcW w:type="dxa" w:w="2160"/>
          </w:tcPr>
          <w:p>
            <w:r>
              <w:rPr>
                <w:b/>
              </w:rPr>
              <w:t>Frequency</w:t>
            </w:r>
          </w:p>
        </w:tc>
      </w:tr>
      <w:tr>
        <w:tc>
          <w:tcPr>
            <w:tcW w:type="dxa" w:w="2160"/>
            <w:vAlign w:val="top"/>
          </w:tcPr>
          <w:p>
            <w:pPr>
              <w:spacing w:after="120"/>
              <w:jc w:val="left"/>
            </w:pPr>
            <w:r>
              <w:t>Average survey days per GP</w:t>
            </w:r>
          </w:p>
        </w:tc>
        <w:tc>
          <w:tcPr>
            <w:tcW w:type="dxa" w:w="2160"/>
            <w:vAlign w:val="top"/>
          </w:tcPr>
          <w:p>
            <w:pPr>
              <w:spacing w:after="120"/>
              <w:jc w:val="left"/>
            </w:pPr>
            <w:r>
              <w:t>≤7 days</w:t>
            </w:r>
          </w:p>
        </w:tc>
        <w:tc>
          <w:tcPr>
            <w:tcW w:type="dxa" w:w="2160"/>
            <w:vAlign w:val="top"/>
          </w:tcPr>
          <w:p>
            <w:pPr>
              <w:spacing w:after="120"/>
              <w:jc w:val="left"/>
            </w:pPr>
            <w:r>
              <w:t>Timesheet analysis</w:t>
            </w:r>
          </w:p>
        </w:tc>
        <w:tc>
          <w:tcPr>
            <w:tcW w:type="dxa" w:w="2160"/>
            <w:vAlign w:val="top"/>
          </w:tcPr>
          <w:p>
            <w:pPr>
              <w:spacing w:after="120"/>
              <w:jc w:val="left"/>
            </w:pPr>
            <w:r>
              <w:t>Monthly</w:t>
            </w:r>
          </w:p>
        </w:tc>
      </w:tr>
      <w:tr>
        <w:tc>
          <w:tcPr>
            <w:tcW w:type="dxa" w:w="2160"/>
            <w:vAlign w:val="top"/>
          </w:tcPr>
          <w:p>
            <w:pPr>
              <w:spacing w:after="120"/>
              <w:jc w:val="left"/>
            </w:pPr>
            <w:r>
              <w:t>Plot boundary accuracy</w:t>
            </w:r>
          </w:p>
        </w:tc>
        <w:tc>
          <w:tcPr>
            <w:tcW w:type="dxa" w:w="2160"/>
            <w:vAlign w:val="top"/>
          </w:tcPr>
          <w:p>
            <w:pPr>
              <w:spacing w:after="120"/>
              <w:jc w:val="left"/>
            </w:pPr>
            <w:r>
              <w:t>≥99%</w:t>
            </w:r>
          </w:p>
        </w:tc>
        <w:tc>
          <w:tcPr>
            <w:tcW w:type="dxa" w:w="2160"/>
            <w:vAlign w:val="top"/>
          </w:tcPr>
          <w:p>
            <w:pPr>
              <w:spacing w:after="120"/>
              <w:jc w:val="left"/>
            </w:pPr>
            <w:r>
              <w:t>RTK checkpoint comparison</w:t>
            </w:r>
          </w:p>
        </w:tc>
        <w:tc>
          <w:tcPr>
            <w:tcW w:type="dxa" w:w="2160"/>
            <w:vAlign w:val="top"/>
          </w:tcPr>
          <w:p>
            <w:pPr>
              <w:spacing w:after="120"/>
              <w:jc w:val="left"/>
            </w:pPr>
            <w:r>
              <w:t>Per mission</w:t>
            </w:r>
          </w:p>
        </w:tc>
      </w:tr>
      <w:tr>
        <w:tc>
          <w:tcPr>
            <w:tcW w:type="dxa" w:w="2160"/>
            <w:vAlign w:val="top"/>
          </w:tcPr>
          <w:p>
            <w:pPr>
              <w:spacing w:after="120"/>
              <w:jc w:val="left"/>
            </w:pPr>
            <w:r>
              <w:t>AI crop F1-score</w:t>
            </w:r>
          </w:p>
        </w:tc>
        <w:tc>
          <w:tcPr>
            <w:tcW w:type="dxa" w:w="2160"/>
            <w:vAlign w:val="top"/>
          </w:tcPr>
          <w:p>
            <w:pPr>
              <w:spacing w:after="120"/>
              <w:jc w:val="left"/>
            </w:pPr>
            <w:r>
              <w:t>≥95%</w:t>
            </w:r>
          </w:p>
        </w:tc>
        <w:tc>
          <w:tcPr>
            <w:tcW w:type="dxa" w:w="2160"/>
            <w:vAlign w:val="top"/>
          </w:tcPr>
          <w:p>
            <w:pPr>
              <w:spacing w:after="120"/>
              <w:jc w:val="left"/>
            </w:pPr>
            <w:r>
              <w:t>Confusion matrix vs GCP</w:t>
            </w:r>
          </w:p>
        </w:tc>
        <w:tc>
          <w:tcPr>
            <w:tcW w:type="dxa" w:w="2160"/>
            <w:vAlign w:val="top"/>
          </w:tcPr>
          <w:p>
            <w:pPr>
              <w:spacing w:after="120"/>
              <w:jc w:val="left"/>
            </w:pPr>
            <w:r>
              <w:t>Quarterly</w:t>
            </w:r>
          </w:p>
        </w:tc>
      </w:tr>
      <w:tr>
        <w:tc>
          <w:tcPr>
            <w:tcW w:type="dxa" w:w="2160"/>
            <w:vAlign w:val="top"/>
          </w:tcPr>
          <w:p>
            <w:pPr>
              <w:spacing w:after="120"/>
              <w:jc w:val="left"/>
            </w:pPr>
            <w:r>
              <w:t>Data upload latency</w:t>
            </w:r>
          </w:p>
        </w:tc>
        <w:tc>
          <w:tcPr>
            <w:tcW w:type="dxa" w:w="2160"/>
            <w:vAlign w:val="top"/>
          </w:tcPr>
          <w:p>
            <w:pPr>
              <w:spacing w:after="120"/>
              <w:jc w:val="left"/>
            </w:pPr>
            <w:r>
              <w:t>≤30 min</w:t>
            </w:r>
          </w:p>
        </w:tc>
        <w:tc>
          <w:tcPr>
            <w:tcW w:type="dxa" w:w="2160"/>
            <w:vAlign w:val="top"/>
          </w:tcPr>
          <w:p>
            <w:pPr>
              <w:spacing w:after="120"/>
              <w:jc w:val="left"/>
            </w:pPr>
            <w:r>
              <w:t>API logs</w:t>
            </w:r>
          </w:p>
        </w:tc>
        <w:tc>
          <w:tcPr>
            <w:tcW w:type="dxa" w:w="2160"/>
            <w:vAlign w:val="top"/>
          </w:tcPr>
          <w:p>
            <w:pPr>
              <w:spacing w:after="120"/>
              <w:jc w:val="left"/>
            </w:pPr>
            <w:r>
              <w:t>Daily</w:t>
            </w:r>
          </w:p>
        </w:tc>
      </w:tr>
      <w:tr>
        <w:tc>
          <w:tcPr>
            <w:tcW w:type="dxa" w:w="2160"/>
            <w:vAlign w:val="top"/>
          </w:tcPr>
          <w:p>
            <w:pPr>
              <w:spacing w:after="120"/>
              <w:jc w:val="left"/>
            </w:pPr>
            <w:r>
              <w:t>System uptime</w:t>
            </w:r>
          </w:p>
        </w:tc>
        <w:tc>
          <w:tcPr>
            <w:tcW w:type="dxa" w:w="2160"/>
            <w:vAlign w:val="top"/>
          </w:tcPr>
          <w:p>
            <w:pPr>
              <w:spacing w:after="120"/>
              <w:jc w:val="left"/>
            </w:pPr>
            <w:r>
              <w:t>≥99.9%</w:t>
            </w:r>
          </w:p>
        </w:tc>
        <w:tc>
          <w:tcPr>
            <w:tcW w:type="dxa" w:w="2160"/>
            <w:vAlign w:val="top"/>
          </w:tcPr>
          <w:p>
            <w:pPr>
              <w:spacing w:after="120"/>
              <w:jc w:val="left"/>
            </w:pPr>
            <w:r>
              <w:t>Prometheus SLA</w:t>
            </w:r>
          </w:p>
        </w:tc>
        <w:tc>
          <w:tcPr>
            <w:tcW w:type="dxa" w:w="2160"/>
            <w:vAlign w:val="top"/>
          </w:tcPr>
          <w:p>
            <w:pPr>
              <w:spacing w:after="120"/>
              <w:jc w:val="left"/>
            </w:pPr>
            <w:r>
              <w:t>Monthly</w:t>
            </w:r>
          </w:p>
        </w:tc>
      </w:tr>
      <w:tr>
        <w:tc>
          <w:tcPr>
            <w:tcW w:type="dxa" w:w="2160"/>
            <w:vAlign w:val="top"/>
          </w:tcPr>
          <w:p>
            <w:pPr>
              <w:spacing w:after="120"/>
              <w:jc w:val="left"/>
            </w:pPr>
            <w:r>
              <w:t>Farmer compensation TAT</w:t>
            </w:r>
          </w:p>
        </w:tc>
        <w:tc>
          <w:tcPr>
            <w:tcW w:type="dxa" w:w="2160"/>
            <w:vAlign w:val="top"/>
          </w:tcPr>
          <w:p>
            <w:pPr>
              <w:spacing w:after="120"/>
              <w:jc w:val="left"/>
            </w:pPr>
            <w:r>
              <w:t>≤7 days</w:t>
            </w:r>
          </w:p>
        </w:tc>
        <w:tc>
          <w:tcPr>
            <w:tcW w:type="dxa" w:w="2160"/>
            <w:vAlign w:val="top"/>
          </w:tcPr>
          <w:p>
            <w:pPr>
              <w:spacing w:after="120"/>
              <w:jc w:val="left"/>
            </w:pPr>
            <w:r>
              <w:t>Workflow timestamps</w:t>
            </w:r>
          </w:p>
        </w:tc>
        <w:tc>
          <w:tcPr>
            <w:tcW w:type="dxa" w:w="2160"/>
            <w:vAlign w:val="top"/>
          </w:tcPr>
          <w:p>
            <w:pPr>
              <w:spacing w:after="120"/>
              <w:jc w:val="left"/>
            </w:pPr>
            <w:r>
              <w:t>Monthly</w:t>
            </w:r>
          </w:p>
        </w:tc>
      </w:tr>
      <w:tr>
        <w:tc>
          <w:tcPr>
            <w:tcW w:type="dxa" w:w="2160"/>
            <w:vAlign w:val="top"/>
          </w:tcPr>
          <w:p>
            <w:pPr>
              <w:spacing w:after="120"/>
              <w:jc w:val="left"/>
            </w:pPr>
            <w:r>
              <w:t>Training satisfaction</w:t>
            </w:r>
          </w:p>
        </w:tc>
        <w:tc>
          <w:tcPr>
            <w:tcW w:type="dxa" w:w="2160"/>
            <w:vAlign w:val="top"/>
          </w:tcPr>
          <w:p>
            <w:pPr>
              <w:spacing w:after="120"/>
              <w:jc w:val="left"/>
            </w:pPr>
            <w:r>
              <w:t>≥4.5/5</w:t>
            </w:r>
          </w:p>
        </w:tc>
        <w:tc>
          <w:tcPr>
            <w:tcW w:type="dxa" w:w="2160"/>
            <w:vAlign w:val="top"/>
          </w:tcPr>
          <w:p>
            <w:pPr>
              <w:spacing w:after="120"/>
              <w:jc w:val="left"/>
            </w:pPr>
            <w:r>
              <w:t>Post-workshop survey</w:t>
            </w:r>
          </w:p>
        </w:tc>
        <w:tc>
          <w:tcPr>
            <w:tcW w:type="dxa" w:w="2160"/>
            <w:vAlign w:val="top"/>
          </w:tcPr>
          <w:p>
            <w:pPr>
              <w:spacing w:after="120"/>
              <w:jc w:val="left"/>
            </w:pPr>
            <w:r>
              <w:t>Per batch</w:t>
            </w:r>
          </w:p>
        </w:tc>
      </w:tr>
      <w:tr>
        <w:tc>
          <w:tcPr>
            <w:tcW w:type="dxa" w:w="2160"/>
            <w:vAlign w:val="top"/>
          </w:tcPr>
          <w:p>
            <w:pPr>
              <w:spacing w:after="120"/>
              <w:jc w:val="left"/>
            </w:pPr>
            <w:r>
              <w:t>Security incidents</w:t>
            </w:r>
          </w:p>
        </w:tc>
        <w:tc>
          <w:tcPr>
            <w:tcW w:type="dxa" w:w="2160"/>
            <w:vAlign w:val="top"/>
          </w:tcPr>
          <w:p>
            <w:pPr>
              <w:spacing w:after="120"/>
              <w:jc w:val="left"/>
            </w:pPr>
            <w:r>
              <w:t>0 critical</w:t>
            </w:r>
          </w:p>
        </w:tc>
        <w:tc>
          <w:tcPr>
            <w:tcW w:type="dxa" w:w="2160"/>
            <w:vAlign w:val="top"/>
          </w:tcPr>
          <w:p>
            <w:pPr>
              <w:spacing w:after="120"/>
              <w:jc w:val="left"/>
            </w:pPr>
            <w:r>
              <w:t>SOC audit</w:t>
            </w:r>
          </w:p>
        </w:tc>
        <w:tc>
          <w:tcPr>
            <w:tcW w:type="dxa" w:w="2160"/>
            <w:vAlign w:val="top"/>
          </w:tcPr>
          <w:p>
            <w:pPr>
              <w:spacing w:after="120"/>
              <w:jc w:val="left"/>
            </w:pPr>
            <w:r>
              <w:t>Monthly</w:t>
            </w:r>
          </w:p>
        </w:tc>
      </w:tr>
      <w:tr>
        <w:tc>
          <w:tcPr>
            <w:tcW w:type="dxa" w:w="2160"/>
            <w:vAlign w:val="top"/>
          </w:tcPr>
          <w:p>
            <w:pPr>
              <w:spacing w:after="120"/>
              <w:jc w:val="left"/>
            </w:pPr>
            <w:r>
              <w:t>Cost per hectare</w:t>
            </w:r>
          </w:p>
        </w:tc>
        <w:tc>
          <w:tcPr>
            <w:tcW w:type="dxa" w:w="2160"/>
            <w:vAlign w:val="top"/>
          </w:tcPr>
          <w:p>
            <w:pPr>
              <w:spacing w:after="120"/>
              <w:jc w:val="left"/>
            </w:pPr>
            <w:r>
              <w:t>≤₹45</w:t>
            </w:r>
          </w:p>
        </w:tc>
        <w:tc>
          <w:tcPr>
            <w:tcW w:type="dxa" w:w="2160"/>
            <w:vAlign w:val="top"/>
          </w:tcPr>
          <w:p>
            <w:pPr>
              <w:spacing w:after="120"/>
              <w:jc w:val="left"/>
            </w:pPr>
            <w:r>
              <w:t>Finance reports</w:t>
            </w:r>
          </w:p>
        </w:tc>
        <w:tc>
          <w:tcPr>
            <w:tcW w:type="dxa" w:w="2160"/>
            <w:vAlign w:val="top"/>
          </w:tcPr>
          <w:p>
            <w:pPr>
              <w:spacing w:after="120"/>
              <w:jc w:val="left"/>
            </w:pPr>
            <w:r>
              <w:t>Quarterly</w:t>
            </w:r>
          </w:p>
        </w:tc>
      </w:tr>
      <w:tr>
        <w:tc>
          <w:tcPr>
            <w:tcW w:type="dxa" w:w="2160"/>
            <w:vAlign w:val="top"/>
          </w:tcPr>
          <w:p>
            <w:pPr>
              <w:spacing w:after="120"/>
              <w:jc w:val="left"/>
            </w:pPr>
            <w:r>
              <w:t>Patwari productivity gain</w:t>
            </w:r>
          </w:p>
        </w:tc>
        <w:tc>
          <w:tcPr>
            <w:tcW w:type="dxa" w:w="2160"/>
            <w:vAlign w:val="top"/>
          </w:tcPr>
          <w:p>
            <w:pPr>
              <w:spacing w:after="120"/>
              <w:jc w:val="left"/>
            </w:pPr>
            <w:r>
              <w:t>≥40x</w:t>
            </w:r>
          </w:p>
        </w:tc>
        <w:tc>
          <w:tcPr>
            <w:tcW w:type="dxa" w:w="2160"/>
            <w:vAlign w:val="top"/>
          </w:tcPr>
          <w:p>
            <w:pPr>
              <w:spacing w:after="120"/>
              <w:jc w:val="left"/>
            </w:pPr>
            <w:r>
              <w:t>Plots per man-day</w:t>
            </w:r>
          </w:p>
        </w:tc>
        <w:tc>
          <w:tcPr>
            <w:tcW w:type="dxa" w:w="2160"/>
            <w:vAlign w:val="top"/>
          </w:tcPr>
          <w:p>
            <w:pPr>
              <w:spacing w:after="120"/>
              <w:jc w:val="left"/>
            </w:pPr>
            <w:r>
              <w:t>Monthly</w:t>
            </w:r>
          </w:p>
        </w:tc>
      </w:tr>
    </w:tbl>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 PAGE </w:instrText>
    </w:r>
    <w:r>
      <w:fldChar w:fldCharType="separate"/>
    </w:r>
    <w:r>
      <w:fldChar w:fldCharType="end"/>
    </w:r>
    <w:r>
      <w:t xml:space="preserve"> of </w:t>
    </w:r>
    <w:r>
      <w:fldChar w:fldCharType="begin"/>
      <w:instrText xml:space="preserve"> NUMPAGES </w:instrText>
    </w:r>
    <w:r>
      <w:fldChar w:fldCharType="separate"/>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