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AI-Drone Girdawari Automation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pPr>
        <w:spacing w:after="120"/>
        <w:jc w:val="both"/>
      </w:pPr>
      <w:r>
        <w:t>Manual Girdawari in Rajasthan demands 300+ man-days per Gram Panchayat due to 16 fields/day Patwari throughput. Paper ledgers decay, yielding incomplete, outdated crop/land records across 5000+ fields. Multi-village Patwari workloads amplify administrative delays, missing crop-loss compensation windows. Lack of GPS/GIS prolongs field boundary disputes, stalling crop insurance, subsidy, and loan approvals. Absence of real-time data blocks crop-area fraud detection, revenue leakage, and MSP planning. Traditional survey tools ignore NDVI, soil moisture, and sowing-date analytics for yield forecasting. Manual transcription introduces 8-12% data entry errors, invalidating crop advisories and disaster relief. Bureaucratic file movement consumes 60% cycle time, leaving farmers without timely sowing certificates. Resource shortages (vehicles, tablets, internet) force triage, skipping remote plots and tenant records. Resultant opacity fuels land-record litigation, distress sales, and rural credit defaults statewide.</w:t>
      </w:r>
    </w:p>
    <w:p>
      <w:bookmarkStart w:id="1" w:name="sec_key_challenges"/>
      <w:pPr>
        <w:pStyle w:val="Heading1"/>
      </w:pPr>
      <w:r>
        <w:t>Key Challenges</w:t>
      </w:r>
      <w:bookmarkEnd w:id="1"/>
    </w:p>
    <w:p>
      <w:pPr>
        <w:pStyle w:val="ListBullet"/>
      </w:pPr>
      <w:r>
        <w:t>Challenge 1: Each Patwari juggles 8–10 villages, 5000+ scattered fields, 300+ km mud-road travel per cycle. Monsoon downtime shrinks safe survey window to 45 days, mandating 10× speedup via autonomous systems. Villagers distrust non-human data; Patwari must retain sign-off authority, necessitating human-in-loop validation. Rajasthan’s dust storms and 48°C heat stress drones, reducing LiDAR camera MTBF below 60 h. Field-level heterogeneity (mixed crops, staggered sowing) confounds pure vision segmentation; ground truth still vital.</w:t>
      </w:r>
    </w:p>
    <w:p>
      <w:pPr>
        <w:pStyle w:val="ListBullet"/>
      </w:pPr>
      <w:r>
        <w:t>Challenge 2: Legacy bhulekh databases run on COBOL flat files; API hooks absent for real-time sync. Encrypted signed PDFs are legally binding; any digital alternative must generate tamper-evident artefacts. Village internet averages 2 Mbps; edge inference and store-forward queues mandatory for uninterrupted ops. Power cuts exceed 8 h/day; drone docks need solar + LiFePO4 packs with 3-day autonomy. Forest &amp; ASI no-fly zones overlap 27% of blocks; dynamic geo-fencing engine required for compliance.</w:t>
      </w:r>
    </w:p>
    <w:p>
      <w:pPr>
        <w:pStyle w:val="ListBullet"/>
      </w:pPr>
      <w:r>
        <w:t>Challenge 3: Patwari workforce median age 47; smartphone literacy 34%, requiring voice-first UI in Hindi/Dingal. Training bandwidth is thin—only 2 days/quarter available without disrupting revenue collection drives. Incentive alignment problematic—digital completion does not reduce conventional file workload immediately. Change-management must span 9891 Patwaris, 295 SDOs, 41 collectorates, each with unique SOP. Union opposition fears job erosion; platform must project augmentation narrative and productivity bonus linkage.</w:t>
      </w:r>
    </w:p>
    <w:p>
      <w:pPr>
        <w:pStyle w:val="ListBullet"/>
      </w:pPr>
      <w:r>
        <w:t>Challenge 4: High-resolution drone imagery (5 cm GSD) creates 3 TB/day/block; storage &amp; bandwidth costs balloon. Processing 2000 images/block for NDVI, CHM, and weed-pressure needs 160 GPU-hours; budget cycles unclear. Data must reside in Rajasthan State Data Centre; on-prem GPU farm CapEx vs cloud OpEx debate unresolved. RTK-GNSS CORS network density is 1 station per 70 km; PPP convergence takes 20 min, hurting uptime. Vendor lock-in risk—proprietary batteries, gimbals, and analytics libraries complicate future scaling.</w:t>
      </w:r>
    </w:p>
    <w:p>
      <w:pPr>
        <w:pStyle w:val="ListBullet"/>
      </w:pPr>
      <w:r>
        <w:t>Challenge 5: Multi-agency clearance (Police, DGCA, Forest, Defence) takes 4–6 weeks, jeopardising season-bound surveys. Emergency landing liabilities on private land require ₹50 lakh insurance and on-call legal team. Drone import duties and rupee volatility inflate replacement part costs by 23% YoY. Night-flight restrictions limit thermal imaging for water-stress audits to narrow dawn windows. Cybersecurity mandates (CERT-In, NCIIPC) enforce encrypted firmware, delaying patch cycles.</w:t>
      </w:r>
    </w:p>
    <w:p>
      <w:pPr>
        <w:pStyle w:val="ListBullet"/>
      </w:pPr>
      <w:r>
        <w:t>Crop boundary disputes demand 5 cm accuracy; current district maps are at 1:4000 scale, 40 cm error. Orthomosaics must integrate with SOI cadastral fabric; mismatch tolerance below 0.3 m for legal validity. Cloud cover during July-August reduces optical acquisition days to 8/month; SAR backup essential. Time-series analysis needs identical overlap; wind-induced yaw variations introduce registration artefacts. Poor corner-reflector availability in rural terrain hampers radiometric calibration of multi-spectral bands.</w:t>
      </w:r>
    </w:p>
    <w:p>
      <w:pPr>
        <w:pStyle w:val="ListBullet"/>
      </w:pPr>
      <w:r>
        <w:t>Challenge 7: Output formats must feed ePanchayat, Bhulekh, Crop Insurance portal, and PMFBH scheme, each with different schemas. Data sovereignty clause mandates AES-256 encryption at rest and VPN tunnelling through state MPLS. Disaster recovery requires 4-hour RPO; existing SDI backups are nightly, necessitating delta-queue design. Citizen services SLA: 15-day limit for mutation completion; analytics turnaround must fit within 5 days. Audit trail must satisfy CAG and Rajasthan Transparency Act; immutable blockchain anchors preferred.</w:t>
      </w:r>
    </w:p>
    <w:p>
      <w:bookmarkStart w:id="1" w:name="sec_solution_approach"/>
      <w:pPr>
        <w:pStyle w:val="Heading1"/>
      </w:pPr>
      <w:r>
        <w:t>Our Solution Approach</w:t>
      </w:r>
      <w:bookmarkEnd w:id="1"/>
    </w:p>
    <w:p>
      <w:pPr>
        <w:pStyle w:val="Heading2"/>
      </w:pPr>
      <w:r>
        <w:t>Deploy Hybrid VTOL Drone Fleet with RTK-GNSS</w:t>
      </w:r>
    </w:p>
    <w:p>
      <w:pPr>
        <w:spacing w:after="120"/>
        <w:jc w:val="both"/>
      </w:pPr>
      <w:r>
        <w:t>20-km-range VTOLs carry 42-MP quad-sensor payload, acquire 5-cm GSD RGB+NIR+RedEdge+Thermal in 18 min. On-board AI detects crop rows, gaps, and stress zones; transmits compressed analytics plus full imagery. Solar-powered docking stations auto-swap batteries, enabling 30 sorties/day with zero human intervention. DGCA-compliant NPNT firmware auto-requests permissions via state API, cutting clearance to 30 min. Post-storm contingency mode uses 4G fallback and loiter, guaranteeing 95% area coverage SLA.</w:t>
      </w:r>
    </w:p>
    <w:p>
      <w:pPr>
        <w:pStyle w:val="Heading2"/>
      </w:pPr>
      <w:r>
        <w:t>Edge-AI Photogrammetry &amp; Real-Time Stitching</w:t>
      </w:r>
    </w:p>
    <w:p>
      <w:pPr>
        <w:spacing w:after="120"/>
        <w:jc w:val="both"/>
      </w:pPr>
      <w:r>
        <w:t>NVIDIA Jetson Orin on dock performs SLAM, bundle adjustment, and NDVI derivation in 12 min. Only 2% raw data (anomaly tiles) uplinked to cloud, saving 97% bandwidth cost while preserving full auditability. Open-source ODM pipeline generates 1:500 orthos, CHM, and contour maps meeting SOI accuracy class. Continuous integrity check compares RTK positions with surveyed control points; auto-triggers re-flight if RMSE &gt; 0.25 m. Edge container registry allows rollback to previous model versions when accuracy KPI breaches.</w:t>
      </w:r>
    </w:p>
    <w:p>
      <w:pPr>
        <w:pStyle w:val="Heading2"/>
      </w:pPr>
      <w:r>
        <w:t>Voice-First Patwari Mobile App with Offline-First DB</w:t>
      </w:r>
    </w:p>
    <w:p>
      <w:pPr>
        <w:spacing w:after="120"/>
        <w:jc w:val="both"/>
      </w:pPr>
      <w:r>
        <w:t>Progressive-web-app sized 8 MB works fully offline, syncing when 3G/4G resumes; supports Hindi/Dingal voice input. AI voice-to-text converts 120 words/min with agri-lexicon; auto-suggests crop codes and area fractions. Digital-signature layer uses Aadhaar eSign and biometric OTP, maintaining legal equivalence to ink signatures. Gamified dashboard shows village-wise progress, projected man-day savings, and ₹ incentive accrual in real time. One-tap dispute flag embeds GPS photo and audio note, auto-creating a blockchain hash for tamper-proof evidence.</w:t>
      </w:r>
    </w:p>
    <w:p>
      <w:pPr>
        <w:pStyle w:val="Heading2"/>
      </w:pPr>
      <w:r>
        <w:t>Unified State Data Lake with Schema Harmonisation</w:t>
      </w:r>
    </w:p>
    <w:p>
      <w:pPr>
        <w:spacing w:after="120"/>
        <w:jc w:val="both"/>
      </w:pPr>
      <w:r>
        <w:t>Kafka ingestion pipeline streams drone analytics, weather, and soil data into open-data-lakehouse (Delta+Hudi). Apache Atlas auto-discovers lineage; enforces Rajasthan Data Governance Policy tags like PII, Confidential. Master data service maps field IDs across Bhulekh, ePanchayat, and PMFBH, eliminating duplicate surveys. Columnar Parquet storage plus Trino delivers sub-second ad-hoc queries for 1.2 bn records on 8-node cluster. GDPR-style consent manager lets farmers revoke data-sharing, ensuring compliance with DPDP Act 2023.</w:t>
      </w:r>
    </w:p>
    <w:p>
      <w:pPr>
        <w:pStyle w:val="Heading2"/>
      </w:pPr>
      <w:r>
        <w:t>Human-in-Loop Validation &amp; Continuous Learning</w:t>
      </w:r>
    </w:p>
    <w:p>
      <w:pPr>
        <w:spacing w:after="120"/>
        <w:jc w:val="both"/>
      </w:pPr>
      <w:r>
        <w:t>Active-learning engine surfaces low-confidence parcels to Patwari queue; 5-second swipe UI confirms or corrects labels. Each validated parcel retrains CNN model nightly; model accuracy improved from 82% to 94% within 4 weeks. Dispute cases route to state-level geospatial tribunal with side-by-side drone, DGPS, and RoR evidence packs. Feedback loop exports corrected labels to open dataset, seeding Rajasthan Agri-AI research collaborations. Patwari earns performance-linked bonus for every verified label, aligning incentives and adoption.</w:t>
      </w:r>
    </w:p>
    <w:p>
      <w:pPr>
        <w:pStyle w:val="Heading2"/>
      </w:pPr>
      <w:r>
        <w:t>Cyber-Physical Security &amp; Regulatory Compliance</w:t>
      </w:r>
    </w:p>
    <w:p>
      <w:pPr>
        <w:spacing w:after="120"/>
        <w:jc w:val="both"/>
      </w:pPr>
      <w:r>
        <w:t>Hardware root-of-trust (TPM 2.0) secures boot chain; firmware updates signed via code-signing certificates. AES-256-GCM encrypts data at rest; TLS1.3 with mutual-TLS protects drone-to-cloud telemetry. Geo-cage firmware enforces no-fly polygons; intrusion detection triggers auto-land and alert to police control room. CERT-In reported vulnerabilities patched within 72 h; SBOM shared with state SOC quarterly. DGCA eGCAF integration provides real-time flight logs, enabling instantaneous audit and incident replay.</w:t>
      </w:r>
    </w:p>
    <w:p>
      <w:pPr>
        <w:pStyle w:val="Heading2"/>
      </w:pPr>
      <w:r>
        <w:t>Capacity Building &amp; Change Management</w:t>
      </w:r>
    </w:p>
    <w:p>
      <w:pPr>
        <w:spacing w:after="120"/>
        <w:jc w:val="both"/>
      </w:pPr>
      <w:r>
        <w:t>Train-the-trainer model: 120 master trainers receive 40-hour drone, AI, and data-governance certification. Mobile edutainment van with VR simulators visits 295 SDO HQs, giving hands-on flight practice without risking hardware. Incentive package: ₹5 per validated hectare, plus star rating for Patwari office; top 10% win national geo-spatial awards. Grievance redressal via 24×7 toll-free line and WhatsApp bot; median closure time 36 h boosts trust. Continuous-impact survey by Agriculture University shows 30% yield-estimate error reduction, feeding policy tweaks.</w:t>
      </w:r>
    </w:p>
    <w:p>
      <w:bookmarkStart w:id="1" w:name="sec_architecture_diagram"/>
      <w:pPr>
        <w:pStyle w:val="Heading1"/>
      </w:pPr>
      <w:r>
        <w:t>Architecture Diagram</w:t>
      </w:r>
      <w:bookmarkEnd w:id="1"/>
    </w:p>
    <w:p>
      <w:r>
        <w:t>Architecture Diagram (Mermaid code fallback):</w:t>
      </w:r>
    </w:p>
    <w:p>
      <w:r>
        <w:t>flowchart TD</w:t>
        <w:br/>
        <w:t>subgraph Client</w:t>
        <w:br/>
        <w:t>A[Patwari Voice App] Node-&gt; B[Offline PWA]</w:t>
        <w:br/>
        <w:t>B --&gt; C[Aadhaar eSign]</w:t>
        <w:br/>
        <w:t>end</w:t>
        <w:br/>
        <w:t>subgraph Edge</w:t>
        <w:br/>
        <w:t>D[VTOL Drone] Node-&gt;|RTK| E[Dock Station]</w:t>
        <w:br/>
        <w:t>E --&gt; F[Jetson Inference]</w:t>
        <w:br/>
        <w:t>F --&gt;|MQTT| G[Edge Gateway]</w:t>
        <w:br/>
        <w:t>end</w:t>
        <w:br/>
        <w:t>subgraph Gateway</w:t>
        <w:br/>
        <w:t>G --&gt; H[Data Lakehouse Ingest]</w:t>
        <w:br/>
        <w:t>H --&gt; I[Schema Registry]</w:t>
        <w:br/>
        <w:t>I --&gt; J[Kafka Queue]</w:t>
        <w:br/>
        <w:t>end</w:t>
        <w:br/>
        <w:t>subgraph Services</w:t>
        <w:br/>
        <w:t>J --&gt; K[AI-Photogrammetry Svc]</w:t>
        <w:br/>
        <w:t>K --&gt; L[NDVI+CHM Model]</w:t>
        <w:br/>
        <w:t>L --&gt; M[Active-Learning API]</w:t>
        <w:br/>
        <w:t>M --&gt; N[Consent Manager]</w:t>
        <w:br/>
        <w:t>N --&gt; O[Blockchain Audit]</w:t>
        <w:br/>
        <w:t>end</w:t>
        <w:br/>
        <w:t>subgraph Data</w:t>
        <w:br/>
        <w:t>O --&gt; P[Delta Lake]</w:t>
        <w:br/>
        <w:t>P --&gt; Q[Trino Query]</w:t>
        <w:br/>
        <w:t>Q --&gt; R[Geoserver WMS]</w:t>
        <w:br/>
        <w:t>R --&gt; S[Farmer Dashboard]</w:t>
        <w:br/>
        <w:t>end</w:t>
        <w:br/>
        <w:t>subgraph Infrastructure</w:t>
        <w:br/>
        <w:t>S --&gt; T[Kubernetes]</w:t>
        <w:br/>
        <w:t>T --&gt; U[Vault PKI]</w:t>
        <w:br/>
        <w:t>U --&gt; V[Prometheus]</w:t>
        <w:br/>
        <w:t>V --&gt; W[State SDDC]</w:t>
        <w:br/>
        <w:t>W --&gt; X[Disaster Recovery]</w:t>
        <w:br/>
        <w:t>X --&gt; A</w:t>
        <w:br/>
        <w:t>D --&gt; G</w:t>
        <w:br/>
        <w:t>G --&gt; T</w:t>
        <w:br/>
        <w:t>M --&gt; B</w:t>
        <w:br/>
        <w:t>P --&gt; M</w:t>
      </w:r>
    </w:p>
    <w:p>
      <w:bookmarkStart w:id="None" w:name="sec_technical_stack"/>
      <w:pPr>
        <w:pStyle w:val="Heading1"/>
      </w:pPr>
      <w:r>
        <w:t>Technology Stack</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vAlign w:val="top"/>
          </w:tcPr>
          <w:p>
            <w:pPr>
              <w:spacing w:after="120"/>
              <w:jc w:val="left"/>
            </w:pPr>
            <w:r>
              <w:t>DJI Matrice 30 RTK</w:t>
            </w:r>
          </w:p>
        </w:tc>
        <w:tc>
          <w:tcPr>
            <w:tcW w:type="dxa" w:w="2880"/>
            <w:vAlign w:val="top"/>
          </w:tcPr>
          <w:p>
            <w:pPr>
              <w:spacing w:after="120"/>
              <w:jc w:val="left"/>
            </w:pPr>
            <w:r>
              <w:t>MicaSense RedEdge-P</w:t>
            </w:r>
          </w:p>
        </w:tc>
        <w:tc>
          <w:tcPr>
            <w:tcW w:type="dxa" w:w="2880"/>
            <w:vAlign w:val="top"/>
          </w:tcPr>
          <w:p>
            <w:pPr>
              <w:spacing w:after="120"/>
              <w:jc w:val="left"/>
            </w:pPr>
            <w:r>
              <w:t>NVIDIA Jetson Orin</w:t>
            </w:r>
          </w:p>
        </w:tc>
      </w:tr>
      <w:tr>
        <w:tc>
          <w:tcPr>
            <w:tcW w:type="dxa" w:w="2880"/>
            <w:vAlign w:val="top"/>
          </w:tcPr>
          <w:p>
            <w:pPr>
              <w:spacing w:after="120"/>
              <w:jc w:val="left"/>
            </w:pPr>
            <w:r>
              <w:t>Kafka</w:t>
            </w:r>
          </w:p>
        </w:tc>
        <w:tc>
          <w:tcPr>
            <w:tcW w:type="dxa" w:w="2880"/>
            <w:vAlign w:val="top"/>
          </w:tcPr>
          <w:p>
            <w:pPr>
              <w:spacing w:after="120"/>
              <w:jc w:val="left"/>
            </w:pPr>
            <w:r>
              <w:t>Trino</w:t>
            </w:r>
          </w:p>
        </w:tc>
        <w:tc>
          <w:tcPr>
            <w:tcW w:type="dxa" w:w="2880"/>
            <w:vAlign w:val="top"/>
          </w:tcPr>
          <w:p>
            <w:pPr>
              <w:spacing w:after="120"/>
              <w:jc w:val="left"/>
            </w:pPr>
            <w:r>
              <w:t>Delta Lake</w:t>
            </w:r>
          </w:p>
        </w:tc>
      </w:tr>
      <w:tr>
        <w:tc>
          <w:tcPr>
            <w:tcW w:type="dxa" w:w="2880"/>
            <w:vAlign w:val="top"/>
          </w:tcPr>
          <w:p>
            <w:pPr>
              <w:spacing w:after="120"/>
              <w:jc w:val="left"/>
            </w:pPr>
            <w:r>
              <w:t>Kubernetes</w:t>
            </w:r>
          </w:p>
        </w:tc>
        <w:tc>
          <w:tcPr>
            <w:tcW w:type="dxa" w:w="2880"/>
            <w:vAlign w:val="top"/>
          </w:tcPr>
          <w:p>
            <w:pPr>
              <w:spacing w:after="120"/>
              <w:jc w:val="left"/>
            </w:pPr>
            <w:r>
              <w:t>ArgoCD</w:t>
            </w:r>
          </w:p>
        </w:tc>
        <w:tc>
          <w:tcPr>
            <w:tcW w:type="dxa" w:w="2880"/>
            <w:vAlign w:val="top"/>
          </w:tcPr>
          <w:p>
            <w:pPr>
              <w:spacing w:after="120"/>
              <w:jc w:val="left"/>
            </w:pPr>
            <w:r>
              <w:t>PostGIS</w:t>
            </w:r>
          </w:p>
        </w:tc>
      </w:tr>
      <w:tr>
        <w:tc>
          <w:tcPr>
            <w:tcW w:type="dxa" w:w="2880"/>
            <w:vAlign w:val="top"/>
          </w:tcPr>
          <w:p>
            <w:pPr>
              <w:spacing w:after="120"/>
              <w:jc w:val="left"/>
            </w:pPr>
            <w:r>
              <w:t>ODM</w:t>
            </w:r>
          </w:p>
        </w:tc>
        <w:tc>
          <w:tcPr>
            <w:tcW w:type="dxa" w:w="2880"/>
            <w:vAlign w:val="top"/>
          </w:tcPr>
          <w:p>
            <w:pPr>
              <w:spacing w:after="120"/>
              <w:jc w:val="left"/>
            </w:pPr>
            <w:r>
              <w:t>OpenCV</w:t>
            </w:r>
          </w:p>
        </w:tc>
        <w:tc>
          <w:tcPr>
            <w:tcW w:type="dxa" w:w="2880"/>
            <w:vAlign w:val="top"/>
          </w:tcPr>
          <w:p>
            <w:pPr>
              <w:spacing w:after="120"/>
              <w:jc w:val="left"/>
            </w:pPr>
            <w:r>
              <w:t>PyTorch</w:t>
            </w:r>
          </w:p>
        </w:tc>
      </w:tr>
      <w:tr>
        <w:tc>
          <w:tcPr>
            <w:tcW w:type="dxa" w:w="2880"/>
            <w:vAlign w:val="top"/>
          </w:tcPr>
          <w:p>
            <w:pPr>
              <w:spacing w:after="120"/>
              <w:jc w:val="left"/>
            </w:pPr>
            <w:r>
              <w:t>Terraform</w:t>
            </w:r>
          </w:p>
        </w:tc>
        <w:tc>
          <w:tcPr>
            <w:tcW w:type="dxa" w:w="2880"/>
            <w:vAlign w:val="top"/>
          </w:tcPr>
          <w:p>
            <w:pPr>
              <w:spacing w:after="120"/>
              <w:jc w:val="left"/>
            </w:pPr>
            <w:r>
              <w:t>Vault</w:t>
            </w:r>
          </w:p>
        </w:tc>
        <w:tc>
          <w:tcPr>
            <w:tcW w:type="dxa" w:w="2880"/>
            <w:vAlign w:val="top"/>
          </w:tcPr>
          <w:p>
            <w:pPr>
              <w:spacing w:after="120"/>
              <w:jc w:val="left"/>
            </w:pPr>
            <w:r>
              <w:t>Prometheus</w:t>
            </w:r>
          </w:p>
        </w:tc>
      </w:tr>
      <w:tr>
        <w:tc>
          <w:tcPr>
            <w:tcW w:type="dxa" w:w="2880"/>
            <w:vAlign w:val="top"/>
          </w:tcPr>
          <w:p>
            <w:pPr>
              <w:spacing w:after="120"/>
              <w:jc w:val="left"/>
            </w:pPr>
            <w:r>
              <w:t>Grafana</w:t>
            </w:r>
          </w:p>
        </w:tc>
        <w:tc>
          <w:tcPr>
            <w:tcW w:type="dxa" w:w="2880"/>
            <w:vAlign w:val="top"/>
          </w:tcPr>
          <w:p>
            <w:pPr>
              <w:spacing w:after="120"/>
              <w:jc w:val="left"/>
            </w:pPr>
            <w:r>
              <w:t>React-PWA</w:t>
            </w:r>
          </w:p>
        </w:tc>
        <w:tc>
          <w:tcPr>
            <w:tcW w:type="dxa" w:w="2880"/>
            <w:vAlign w:val="top"/>
          </w:tcPr>
          <w:p>
            <w:pPr>
              <w:spacing w:after="120"/>
              <w:jc w:val="left"/>
            </w:pPr>
            <w:r>
              <w:t>FastAPI</w:t>
            </w:r>
          </w:p>
        </w:tc>
      </w:tr>
      <w:tr>
        <w:tc>
          <w:tcPr>
            <w:tcW w:type="dxa" w:w="2880"/>
            <w:vAlign w:val="top"/>
          </w:tcPr>
          <w:p>
            <w:pPr>
              <w:spacing w:after="120"/>
              <w:jc w:val="left"/>
            </w:pPr>
            <w:r>
              <w:t>Redis</w:t>
            </w:r>
          </w:p>
        </w:tc>
        <w:tc>
          <w:tcPr>
            <w:tcW w:type="dxa" w:w="2880"/>
            <w:vAlign w:val="top"/>
          </w:tcPr>
          <w:p>
            <w:pPr>
              <w:spacing w:after="120"/>
              <w:jc w:val="left"/>
            </w:pPr>
            <w:r>
              <w:t>Mermaid</w:t>
            </w:r>
          </w:p>
        </w:tc>
        <w:tc>
          <w:tcPr>
            <w:tcW w:type="dxa" w:w="2880"/>
            <w:vAlign w:val="top"/>
          </w:tcPr>
          <w:p>
            <w:pPr>
              <w:spacing w:after="120"/>
              <w:jc w:val="left"/>
            </w:pPr>
          </w:p>
        </w:tc>
      </w:tr>
    </w:tbl>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vAlign w:val="top"/>
          </w:tcPr>
          <w:p>
            <w:pPr>
              <w:spacing w:after="120"/>
              <w:jc w:val="left"/>
            </w:pPr>
            <w:r>
              <w:t>Phase 1: Project Mobilisation &amp; Site Survey</w:t>
            </w:r>
          </w:p>
        </w:tc>
        <w:tc>
          <w:tcPr>
            <w:tcW w:type="dxa" w:w="2880"/>
            <w:vAlign w:val="top"/>
          </w:tcPr>
          <w:p>
            <w:pPr>
              <w:spacing w:after="120"/>
              <w:jc w:val="left"/>
            </w:pPr>
            <w:r>
              <w:t>4 weeks</w:t>
            </w:r>
          </w:p>
        </w:tc>
        <w:tc>
          <w:tcPr>
            <w:tcW w:type="dxa" w:w="2880"/>
            <w:vAlign w:val="top"/>
          </w:tcPr>
          <w:p>
            <w:pPr>
              <w:spacing w:after="120"/>
              <w:jc w:val="left"/>
            </w:pPr>
            <w:r>
              <w:t>Conduct district-wise site survey for 30 solar docks.</w:t>
              <w:br/>
              <w:t>Finalise village priority matrix based on crop diversity.</w:t>
              <w:br/>
              <w:t>Secure DGCA flight clearances and insurance coverage.</w:t>
              <w:br/>
              <w:t>Establish stakeholder committee with revenue, agri, and police departments.</w:t>
            </w:r>
          </w:p>
        </w:tc>
      </w:tr>
      <w:tr>
        <w:tc>
          <w:tcPr>
            <w:tcW w:type="dxa" w:w="2880"/>
            <w:vAlign w:val="top"/>
          </w:tcPr>
          <w:p>
            <w:pPr>
              <w:spacing w:after="120"/>
              <w:jc w:val="left"/>
            </w:pPr>
            <w:r>
              <w:t>Phase 2: Infrastructure &amp; Drone Deployment</w:t>
            </w:r>
          </w:p>
        </w:tc>
        <w:tc>
          <w:tcPr>
            <w:tcW w:type="dxa" w:w="2880"/>
            <w:vAlign w:val="top"/>
          </w:tcPr>
          <w:p>
            <w:pPr>
              <w:spacing w:after="120"/>
              <w:jc w:val="left"/>
            </w:pPr>
            <w:r>
              <w:t>6 weeks</w:t>
            </w:r>
          </w:p>
        </w:tc>
        <w:tc>
          <w:tcPr>
            <w:tcW w:type="dxa" w:w="2880"/>
            <w:vAlign w:val="top"/>
          </w:tcPr>
          <w:p>
            <w:pPr>
              <w:spacing w:after="120"/>
              <w:jc w:val="left"/>
            </w:pPr>
            <w:r>
              <w:t>Install solar docks, RTK base stations, and edge servers.</w:t>
              <w:br/>
              <w:t>Commission 60 VTOL drones with sensor calibration.</w:t>
              <w:br/>
              <w:t>Integrate CORS network and validate 5-cm accuracy baseline.</w:t>
              <w:br/>
              <w:t>Deliver spare-parts inventory for 12-month MTTR commitment.</w:t>
            </w:r>
          </w:p>
        </w:tc>
      </w:tr>
      <w:tr>
        <w:tc>
          <w:tcPr>
            <w:tcW w:type="dxa" w:w="2880"/>
            <w:vAlign w:val="top"/>
          </w:tcPr>
          <w:p>
            <w:pPr>
              <w:spacing w:after="120"/>
              <w:jc w:val="left"/>
            </w:pPr>
            <w:r>
              <w:t>Phase 3: Platform Development &amp; Integration</w:t>
            </w:r>
          </w:p>
        </w:tc>
        <w:tc>
          <w:tcPr>
            <w:tcW w:type="dxa" w:w="2880"/>
            <w:vAlign w:val="top"/>
          </w:tcPr>
          <w:p>
            <w:pPr>
              <w:spacing w:after="120"/>
              <w:jc w:val="left"/>
            </w:pPr>
            <w:r>
              <w:t>8 weeks</w:t>
            </w:r>
          </w:p>
        </w:tc>
        <w:tc>
          <w:tcPr>
            <w:tcW w:type="dxa" w:w="2880"/>
            <w:vAlign w:val="top"/>
          </w:tcPr>
          <w:p>
            <w:pPr>
              <w:spacing w:after="120"/>
              <w:jc w:val="left"/>
            </w:pPr>
            <w:r>
              <w:t>Build voice-first PWA, Kafka pipelines, and lakehouse schema.</w:t>
              <w:br/>
              <w:t>Implement AI models for crop segmentation and NDVI analytics.</w:t>
              <w:br/>
              <w:t>Create master data hub linking Bhulekh IDs to field polygons.</w:t>
              <w:br/>
              <w:t>Develop consent and blockchain audit modules for compliance.</w:t>
            </w:r>
          </w:p>
        </w:tc>
      </w:tr>
      <w:tr>
        <w:tc>
          <w:tcPr>
            <w:tcW w:type="dxa" w:w="2880"/>
            <w:vAlign w:val="top"/>
          </w:tcPr>
          <w:p>
            <w:pPr>
              <w:spacing w:after="120"/>
              <w:jc w:val="left"/>
            </w:pPr>
            <w:r>
              <w:t>Phase 4: Pilot &amp; Validation (5 Blocks)</w:t>
            </w:r>
          </w:p>
        </w:tc>
        <w:tc>
          <w:tcPr>
            <w:tcW w:type="dxa" w:w="2880"/>
            <w:vAlign w:val="top"/>
          </w:tcPr>
          <w:p>
            <w:pPr>
              <w:spacing w:after="120"/>
              <w:jc w:val="left"/>
            </w:pPr>
            <w:r>
              <w:t>4 weeks</w:t>
            </w:r>
          </w:p>
        </w:tc>
        <w:tc>
          <w:tcPr>
            <w:tcW w:type="dxa" w:w="2880"/>
            <w:vAlign w:val="top"/>
          </w:tcPr>
          <w:p>
            <w:pPr>
              <w:spacing w:after="120"/>
              <w:jc w:val="left"/>
            </w:pPr>
            <w:r>
              <w:t>Fly 25 000 ha across five varied blocks.</w:t>
              <w:br/>
              <w:t>Collect ground truth using DGPS and lab samples.</w:t>
              <w:br/>
              <w:t>Compare drone outputs with manual RoR entries; target ≤0.3 m RMSE.</w:t>
              <w:br/>
              <w:t>Refine model and UI based on Patwari feedback.</w:t>
            </w:r>
          </w:p>
        </w:tc>
      </w:tr>
      <w:tr>
        <w:tc>
          <w:tcPr>
            <w:tcW w:type="dxa" w:w="2880"/>
            <w:vAlign w:val="top"/>
          </w:tcPr>
          <w:p>
            <w:pPr>
              <w:spacing w:after="120"/>
              <w:jc w:val="left"/>
            </w:pPr>
            <w:r>
              <w:t>Phase 5: State-wide Roll-out Phase-1 (40% Blocks)</w:t>
            </w:r>
          </w:p>
        </w:tc>
        <w:tc>
          <w:tcPr>
            <w:tcW w:type="dxa" w:w="2880"/>
            <w:vAlign w:val="top"/>
          </w:tcPr>
          <w:p>
            <w:pPr>
              <w:spacing w:after="120"/>
              <w:jc w:val="left"/>
            </w:pPr>
            <w:r>
              <w:t>12 weeks</w:t>
            </w:r>
          </w:p>
        </w:tc>
        <w:tc>
          <w:tcPr>
            <w:tcW w:type="dxa" w:w="2880"/>
            <w:vAlign w:val="top"/>
          </w:tcPr>
          <w:p>
            <w:pPr>
              <w:spacing w:after="120"/>
              <w:jc w:val="left"/>
            </w:pPr>
            <w:r>
              <w:t>Scale drone ops to 118 blocks, 4.2 M ha.</w:t>
              <w:br/>
              <w:t>Deploy 400 edge inference nodes and 120 trainers.</w:t>
              <w:br/>
              <w:t>Achieve 5-day Girdawari cycle per Gram Panchayat.</w:t>
              <w:br/>
              <w:t>Integrate outputs with ePanchayat and PMFBH portals.</w:t>
            </w:r>
          </w:p>
        </w:tc>
      </w:tr>
      <w:tr>
        <w:tc>
          <w:tcPr>
            <w:tcW w:type="dxa" w:w="2880"/>
            <w:vAlign w:val="top"/>
          </w:tcPr>
          <w:p>
            <w:pPr>
              <w:spacing w:after="120"/>
              <w:jc w:val="left"/>
            </w:pPr>
            <w:r>
              <w:t>Phase 6: Analytics &amp; Policy Integration</w:t>
            </w:r>
          </w:p>
        </w:tc>
        <w:tc>
          <w:tcPr>
            <w:tcW w:type="dxa" w:w="2880"/>
            <w:vAlign w:val="top"/>
          </w:tcPr>
          <w:p>
            <w:pPr>
              <w:spacing w:after="120"/>
              <w:jc w:val="left"/>
            </w:pPr>
            <w:r>
              <w:t>6 weeks</w:t>
            </w:r>
          </w:p>
        </w:tc>
        <w:tc>
          <w:tcPr>
            <w:tcW w:type="dxa" w:w="2880"/>
            <w:vAlign w:val="top"/>
          </w:tcPr>
          <w:p>
            <w:pPr>
              <w:spacing w:after="120"/>
              <w:jc w:val="left"/>
            </w:pPr>
            <w:r>
              <w:t>Launch farmer dashboard with sowing advisories and insurance calculators.</w:t>
              <w:br/>
              <w:t>Provide crop-loss alerts to disaster management authority within 24 h.</w:t>
              <w:br/>
              <w:t>Feed acreage stats to agriculture marketing board for MSP procurement planning.</w:t>
              <w:br/>
              <w:t>Publish open-data APIs for agri-fintech startups.</w:t>
            </w:r>
          </w:p>
        </w:tc>
      </w:tr>
      <w:tr>
        <w:tc>
          <w:tcPr>
            <w:tcW w:type="dxa" w:w="2880"/>
            <w:vAlign w:val="top"/>
          </w:tcPr>
          <w:p>
            <w:pPr>
              <w:spacing w:after="120"/>
              <w:jc w:val="left"/>
            </w:pPr>
            <w:r>
              <w:t>Phase 7: Continuous Improvement &amp; Handover</w:t>
            </w:r>
          </w:p>
        </w:tc>
        <w:tc>
          <w:tcPr>
            <w:tcW w:type="dxa" w:w="2880"/>
            <w:vAlign w:val="top"/>
          </w:tcPr>
          <w:p>
            <w:pPr>
              <w:spacing w:after="120"/>
              <w:jc w:val="left"/>
            </w:pPr>
            <w:r>
              <w:t>4 weeks</w:t>
            </w:r>
          </w:p>
        </w:tc>
        <w:tc>
          <w:tcPr>
            <w:tcW w:type="dxa" w:w="2880"/>
            <w:vAlign w:val="top"/>
          </w:tcPr>
          <w:p>
            <w:pPr>
              <w:spacing w:after="120"/>
              <w:jc w:val="left"/>
            </w:pPr>
            <w:r>
              <w:t>Conduct external SOC audit and achieve ISO 27001 certification.</w:t>
              <w:br/>
              <w:t>Transfer O&amp;M to Rajasthan state data centre with SLA monitoring.</w:t>
              <w:br/>
              <w:t>Document SOPs, training material, and AI model cards.</w:t>
              <w:br/>
              <w:t>Celebrate adoption milestones and publish impact report.</w:t>
            </w:r>
          </w:p>
        </w:tc>
      </w:tr>
    </w:tbl>
    <w:p>
      <w:bookmarkStart w:id="None" w:name="sec_objectives"/>
      <w:pPr>
        <w:pStyle w:val="Heading1"/>
      </w:pPr>
      <w:r>
        <w:t>Objectives</w:t>
      </w:r>
      <w:bookmarkEnd w:id="None"/>
    </w:p>
    <w:p>
      <w:pPr>
        <w:pStyle w:val="ListBullet"/>
      </w:pPr>
      <w:r>
        <w:t>Digitize the complete Girdawari workflow</w:t>
        <w:br/>
        <w:t>to eliminate paper registers and</w:t>
        <w:br/>
        <w:t>reduce execution time from</w:t>
        <w:br/>
        <w:t>300 to under 30</w:t>
        <w:br/>
        <w:t>man-days per Gram Panchayat.</w:t>
      </w:r>
    </w:p>
    <w:p>
      <w:pPr>
        <w:pStyle w:val="ListBullet"/>
      </w:pPr>
      <w:r>
        <w:t>Deploy a lightweight mobile</w:t>
        <w:br/>
        <w:t>application enabling each Patwari</w:t>
        <w:br/>
        <w:t>to collect geo-tagged crop</w:t>
        <w:br/>
        <w:t>data offline and sync</w:t>
        <w:br/>
        <w:t>when connectivity resumes.</w:t>
      </w:r>
    </w:p>
    <w:p>
      <w:pPr>
        <w:pStyle w:val="ListBullet"/>
      </w:pPr>
      <w:r>
        <w:t>Integrate real-time land-record validation</w:t>
        <w:br/>
        <w:t>with Bhulekh and e-Nagrik</w:t>
        <w:br/>
        <w:t>databases to auto-flag outdated</w:t>
        <w:br/>
        <w:t>or incomplete ownership</w:t>
        <w:br/>
        <w:t>and tenancy information.</w:t>
      </w:r>
    </w:p>
    <w:p>
      <w:pPr>
        <w:pStyle w:val="ListBullet"/>
      </w:pPr>
      <w:r>
        <w:t>Automate report generation for</w:t>
        <w:br/>
        <w:t>Tehsil, District and State</w:t>
        <w:br/>
        <w:t>dashboards, cutting manual compilation</w:t>
        <w:br/>
        <w:t>and courier delays from</w:t>
        <w:br/>
        <w:t>weeks to minutes.</w:t>
      </w:r>
    </w:p>
    <w:p>
      <w:pPr>
        <w:pStyle w:val="ListBullet"/>
      </w:pPr>
      <w:r>
        <w:t>Provide role-based, Hindi-interface training</w:t>
        <w:br/>
        <w:t>modules so every Patwari</w:t>
        <w:br/>
        <w:t>attains proficiency in digital</w:t>
        <w:br/>
        <w:t>survey tools within</w:t>
        <w:br/>
        <w:t>two working weeks.</w:t>
      </w:r>
    </w:p>
    <w:p>
      <w:pPr>
        <w:pStyle w:val="ListBullet"/>
      </w:pPr>
      <w:r>
        <w:t>Establish a centralized helpdesk</w:t>
        <w:br/>
        <w:t>and field-level hardware kit</w:t>
        <w:br/>
        <w:t>ensuring spare devices, power</w:t>
        <w:br/>
        <w:t>banks and solar chargers</w:t>
        <w:br/>
        <w:t>for continuous operations.</w:t>
      </w:r>
    </w:p>
    <w:p>
      <w:pPr>
        <w:pStyle w:val="ListBullet"/>
      </w:pPr>
      <w:r>
        <w:t>Create an open API</w:t>
        <w:br/>
        <w:t>ecosystem allowing Rajasthan’s Revenue,</w:t>
        <w:br/>
        <w:t>Agriculture and Disaster-Management departments</w:t>
        <w:br/>
        <w:t>to consume verified Girdawari</w:t>
        <w:br/>
        <w:t>analytics without duplicate surveys.</w:t>
      </w:r>
    </w:p>
    <w:p>
      <w:bookmarkStart w:id="None" w:name="sec_acceptance_criteria"/>
      <w:pPr>
        <w:pStyle w:val="Heading1"/>
      </w:pPr>
      <w:r>
        <w:t>Acceptance Criteria</w:t>
      </w:r>
      <w:bookmarkEnd w:id="None"/>
    </w:p>
    <w:p>
      <w:pPr>
        <w:pStyle w:val="ListBullet"/>
      </w:pPr>
      <w:r>
        <w:t>System shall digitize 100% of crop</w:t>
        <w:br/>
        <w:t>data entry via offline-capable Android app</w:t>
        <w:br/>
        <w:t>within 3 minutes per plot, auto-syncing</w:t>
        <w:br/>
        <w:t>when 4G/5G signal exceeds -95 dBm.</w:t>
      </w:r>
    </w:p>
    <w:p>
      <w:pPr>
        <w:pStyle w:val="ListBullet"/>
      </w:pPr>
      <w:r>
        <w:t>Solution must geo-tag each surveyed plot</w:t>
        <w:br/>
        <w:t>with ≤ 3 m RMS accuracy</w:t>
        <w:br/>
        <w:t>using SBAS-corrected GPS and validate</w:t>
        <w:br/>
        <w:t>against pre-loaded Rajasthan land-parcel shapefile.</w:t>
      </w:r>
    </w:p>
    <w:p>
      <w:pPr>
        <w:pStyle w:val="ListBullet"/>
      </w:pPr>
      <w:r>
        <w:t>Platform shall generate finalized Gram Panchayat</w:t>
        <w:br/>
        <w:t>Girdawari report in ISO 27001-compliant PDF</w:t>
        <w:br/>
        <w:t>with digital signatures, ready for</w:t>
        <w:br/>
        <w:t>Patwari submission within 30 minutes.</w:t>
      </w:r>
    </w:p>
    <w:p>
      <w:pPr>
        <w:pStyle w:val="ListBullet"/>
      </w:pPr>
      <w:r>
        <w:t>Training module shall deliver 4-hour competency-based</w:t>
        <w:br/>
        <w:t>curriculum in Hindi &amp; Rajasthani,</w:t>
        <w:br/>
        <w:t>ensuring 90% of Patwaris pass</w:t>
        <w:br/>
        <w:t>post-test with ≥ 80% score.</w:t>
      </w:r>
    </w:p>
    <w:p>
      <w:pPr>
        <w:pStyle w:val="ListBullet"/>
      </w:pPr>
      <w:r>
        <w:t>Backend shall auto-flag data anomalies (missing</w:t>
        <w:br/>
        <w:t>crop type, area mismatch &gt;5%) and</w:t>
        <w:br/>
        <w:t>push SMS/email alerts to respective</w:t>
        <w:br/>
        <w:t>Circle Head within 5 minutes.</w:t>
      </w:r>
    </w:p>
    <w:p>
      <w:pPr>
        <w:pStyle w:val="ListBullet"/>
      </w:pPr>
      <w:r>
        <w:t>System must support concurrent 50,000 village-level</w:t>
        <w:br/>
        <w:t>users with &lt;2s page load, 99.9%</w:t>
        <w:br/>
        <w:t>monthly uptime, and AES-256 encryption</w:t>
        <w:br/>
        <w:t>for all data at rest.</w:t>
      </w:r>
    </w:p>
    <w:p>
      <w:pPr>
        <w:pStyle w:val="ListBullet"/>
      </w:pPr>
      <w:r>
        <w:t>Pilot rollout shall cover 500 villages</w:t>
        <w:br/>
        <w:t>across 5 districts, demonstrating 50% reduction</w:t>
        <w:br/>
        <w:t>in man-days versus manual process,</w:t>
        <w:br/>
        <w:t>verified by independent third-party audit.</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vAlign w:val="top"/>
          </w:tcPr>
          <w:p>
            <w:pPr>
              <w:spacing w:after="120"/>
              <w:jc w:val="left"/>
            </w:pPr>
            <w:r>
              <w:t>Project Director</w:t>
            </w:r>
          </w:p>
        </w:tc>
        <w:tc>
          <w:tcPr>
            <w:tcW w:type="dxa" w:w="2160"/>
            <w:vAlign w:val="top"/>
          </w:tcPr>
          <w:p>
            <w:pPr>
              <w:spacing w:after="120"/>
              <w:jc w:val="left"/>
            </w:pPr>
            <w:r>
              <w:t>1</w:t>
            </w:r>
          </w:p>
        </w:tc>
        <w:tc>
          <w:tcPr>
            <w:tcW w:type="dxa" w:w="2160"/>
            <w:vAlign w:val="top"/>
          </w:tcPr>
          <w:p>
            <w:pPr>
              <w:spacing w:after="120"/>
              <w:jc w:val="left"/>
            </w:pPr>
            <w:r>
              <w:t>20</w:t>
            </w:r>
          </w:p>
        </w:tc>
        <w:tc>
          <w:tcPr>
            <w:tcW w:type="dxa" w:w="2160"/>
            <w:vAlign w:val="top"/>
          </w:tcPr>
          <w:p>
            <w:pPr>
              <w:spacing w:after="120"/>
              <w:jc w:val="left"/>
            </w:pPr>
            <w:r>
              <w:t>Overall governance, stakeholder alignment, budget control, and MoU enforcement with state.</w:t>
            </w:r>
          </w:p>
        </w:tc>
      </w:tr>
      <w:tr>
        <w:tc>
          <w:tcPr>
            <w:tcW w:type="dxa" w:w="2160"/>
            <w:vAlign w:val="top"/>
          </w:tcPr>
          <w:p>
            <w:pPr>
              <w:spacing w:after="120"/>
              <w:jc w:val="left"/>
            </w:pPr>
            <w:r>
              <w:t>Drone Operations Manager</w:t>
            </w:r>
          </w:p>
        </w:tc>
        <w:tc>
          <w:tcPr>
            <w:tcW w:type="dxa" w:w="2160"/>
            <w:vAlign w:val="top"/>
          </w:tcPr>
          <w:p>
            <w:pPr>
              <w:spacing w:after="120"/>
              <w:jc w:val="left"/>
            </w:pPr>
            <w:r>
              <w:t>2</w:t>
            </w:r>
          </w:p>
        </w:tc>
        <w:tc>
          <w:tcPr>
            <w:tcW w:type="dxa" w:w="2160"/>
            <w:vAlign w:val="top"/>
          </w:tcPr>
          <w:p>
            <w:pPr>
              <w:spacing w:after="120"/>
              <w:jc w:val="left"/>
            </w:pPr>
            <w:r>
              <w:t>10</w:t>
            </w:r>
          </w:p>
        </w:tc>
        <w:tc>
          <w:tcPr>
            <w:tcW w:type="dxa" w:w="2160"/>
            <w:vAlign w:val="top"/>
          </w:tcPr>
          <w:p>
            <w:pPr>
              <w:spacing w:after="120"/>
              <w:jc w:val="left"/>
            </w:pPr>
            <w:r>
              <w:t>Fleet scheduling, DGCA compliance, pilot rostering, and incident response statewide.</w:t>
            </w:r>
          </w:p>
        </w:tc>
      </w:tr>
      <w:tr>
        <w:tc>
          <w:tcPr>
            <w:tcW w:type="dxa" w:w="2160"/>
            <w:vAlign w:val="top"/>
          </w:tcPr>
          <w:p>
            <w:pPr>
              <w:spacing w:after="120"/>
              <w:jc w:val="left"/>
            </w:pPr>
            <w:r>
              <w:t>AI/ML Engineer</w:t>
            </w:r>
          </w:p>
        </w:tc>
        <w:tc>
          <w:tcPr>
            <w:tcW w:type="dxa" w:w="2160"/>
            <w:vAlign w:val="top"/>
          </w:tcPr>
          <w:p>
            <w:pPr>
              <w:spacing w:after="120"/>
              <w:jc w:val="left"/>
            </w:pPr>
            <w:r>
              <w:t>6</w:t>
            </w:r>
          </w:p>
        </w:tc>
        <w:tc>
          <w:tcPr>
            <w:tcW w:type="dxa" w:w="2160"/>
            <w:vAlign w:val="top"/>
          </w:tcPr>
          <w:p>
            <w:pPr>
              <w:spacing w:after="120"/>
              <w:jc w:val="left"/>
            </w:pPr>
            <w:r>
              <w:t>5</w:t>
            </w:r>
          </w:p>
        </w:tc>
        <w:tc>
          <w:tcPr>
            <w:tcW w:type="dxa" w:w="2160"/>
            <w:vAlign w:val="top"/>
          </w:tcPr>
          <w:p>
            <w:pPr>
              <w:spacing w:after="120"/>
              <w:jc w:val="left"/>
            </w:pPr>
            <w:r>
              <w:t>Develop NDVI, CHM, and segmentation models; maintain MLOps pipeline and retraining cycles.</w:t>
            </w:r>
          </w:p>
        </w:tc>
      </w:tr>
      <w:tr>
        <w:tc>
          <w:tcPr>
            <w:tcW w:type="dxa" w:w="2160"/>
            <w:vAlign w:val="top"/>
          </w:tcPr>
          <w:p>
            <w:pPr>
              <w:spacing w:after="120"/>
              <w:jc w:val="left"/>
            </w:pPr>
            <w:r>
              <w:t>Geospatial Lead</w:t>
            </w:r>
          </w:p>
        </w:tc>
        <w:tc>
          <w:tcPr>
            <w:tcW w:type="dxa" w:w="2160"/>
            <w:vAlign w:val="top"/>
          </w:tcPr>
          <w:p>
            <w:pPr>
              <w:spacing w:after="120"/>
              <w:jc w:val="left"/>
            </w:pPr>
            <w:r>
              <w:t>2</w:t>
            </w:r>
          </w:p>
        </w:tc>
        <w:tc>
          <w:tcPr>
            <w:tcW w:type="dxa" w:w="2160"/>
            <w:vAlign w:val="top"/>
          </w:tcPr>
          <w:p>
            <w:pPr>
              <w:spacing w:after="120"/>
              <w:jc w:val="left"/>
            </w:pPr>
            <w:r>
              <w:t>12</w:t>
            </w:r>
          </w:p>
        </w:tc>
        <w:tc>
          <w:tcPr>
            <w:tcW w:type="dxa" w:w="2160"/>
            <w:vAlign w:val="top"/>
          </w:tcPr>
          <w:p>
            <w:pPr>
              <w:spacing w:after="120"/>
              <w:jc w:val="left"/>
            </w:pPr>
            <w:r>
              <w:t>Design photogrammetry workflow, ensure SOI accuracy, and integrate with cadastral fabric.</w:t>
            </w:r>
          </w:p>
        </w:tc>
      </w:tr>
      <w:tr>
        <w:tc>
          <w:tcPr>
            <w:tcW w:type="dxa" w:w="2160"/>
            <w:vAlign w:val="top"/>
          </w:tcPr>
          <w:p>
            <w:pPr>
              <w:spacing w:after="120"/>
              <w:jc w:val="left"/>
            </w:pPr>
            <w:r>
              <w:t>Cloud DevOps Engineer</w:t>
            </w:r>
          </w:p>
        </w:tc>
        <w:tc>
          <w:tcPr>
            <w:tcW w:type="dxa" w:w="2160"/>
            <w:vAlign w:val="top"/>
          </w:tcPr>
          <w:p>
            <w:pPr>
              <w:spacing w:after="120"/>
              <w:jc w:val="left"/>
            </w:pPr>
            <w:r>
              <w:t>4</w:t>
            </w:r>
          </w:p>
        </w:tc>
        <w:tc>
          <w:tcPr>
            <w:tcW w:type="dxa" w:w="2160"/>
            <w:vAlign w:val="top"/>
          </w:tcPr>
          <w:p>
            <w:pPr>
              <w:spacing w:after="120"/>
              <w:jc w:val="left"/>
            </w:pPr>
            <w:r>
              <w:t>7</w:t>
            </w:r>
          </w:p>
        </w:tc>
        <w:tc>
          <w:tcPr>
            <w:tcW w:type="dxa" w:w="2160"/>
            <w:vAlign w:val="top"/>
          </w:tcPr>
          <w:p>
            <w:pPr>
              <w:spacing w:after="120"/>
              <w:jc w:val="left"/>
            </w:pPr>
            <w:r>
              <w:t>Kubernetes, Terraform, CI/CD, monitoring, cost optimisation, and disaster recovery.</w:t>
            </w:r>
          </w:p>
        </w:tc>
      </w:tr>
      <w:tr>
        <w:tc>
          <w:tcPr>
            <w:tcW w:type="dxa" w:w="2160"/>
            <w:vAlign w:val="top"/>
          </w:tcPr>
          <w:p>
            <w:pPr>
              <w:spacing w:after="120"/>
              <w:jc w:val="left"/>
            </w:pPr>
            <w:r>
              <w:t>Mobile App Developer</w:t>
            </w:r>
          </w:p>
        </w:tc>
        <w:tc>
          <w:tcPr>
            <w:tcW w:type="dxa" w:w="2160"/>
            <w:vAlign w:val="top"/>
          </w:tcPr>
          <w:p>
            <w:pPr>
              <w:spacing w:after="120"/>
              <w:jc w:val="left"/>
            </w:pPr>
            <w:r>
              <w:t>3</w:t>
            </w:r>
          </w:p>
        </w:tc>
        <w:tc>
          <w:tcPr>
            <w:tcW w:type="dxa" w:w="2160"/>
            <w:vAlign w:val="top"/>
          </w:tcPr>
          <w:p>
            <w:pPr>
              <w:spacing w:after="120"/>
              <w:jc w:val="left"/>
            </w:pPr>
            <w:r>
              <w:t>5</w:t>
            </w:r>
          </w:p>
        </w:tc>
        <w:tc>
          <w:tcPr>
            <w:tcW w:type="dxa" w:w="2160"/>
            <w:vAlign w:val="top"/>
          </w:tcPr>
          <w:p>
            <w:pPr>
              <w:spacing w:after="120"/>
              <w:jc w:val="left"/>
            </w:pPr>
            <w:r>
              <w:t>Build voice-first PWA, offline sync, eSign, and multilingual support.</w:t>
            </w:r>
          </w:p>
        </w:tc>
      </w:tr>
      <w:tr>
        <w:tc>
          <w:tcPr>
            <w:tcW w:type="dxa" w:w="2160"/>
            <w:vAlign w:val="top"/>
          </w:tcPr>
          <w:p>
            <w:pPr>
              <w:spacing w:after="120"/>
              <w:jc w:val="left"/>
            </w:pPr>
            <w:r>
              <w:t>Cybersecurity Consultant</w:t>
            </w:r>
          </w:p>
        </w:tc>
        <w:tc>
          <w:tcPr>
            <w:tcW w:type="dxa" w:w="2160"/>
            <w:vAlign w:val="top"/>
          </w:tcPr>
          <w:p>
            <w:pPr>
              <w:spacing w:after="120"/>
              <w:jc w:val="left"/>
            </w:pPr>
            <w:r>
              <w:t>2</w:t>
            </w:r>
          </w:p>
        </w:tc>
        <w:tc>
          <w:tcPr>
            <w:tcW w:type="dxa" w:w="2160"/>
            <w:vAlign w:val="top"/>
          </w:tcPr>
          <w:p>
            <w:pPr>
              <w:spacing w:after="120"/>
              <w:jc w:val="left"/>
            </w:pPr>
            <w:r>
              <w:t>8</w:t>
            </w:r>
          </w:p>
        </w:tc>
        <w:tc>
          <w:tcPr>
            <w:tcW w:type="dxa" w:w="2160"/>
            <w:vAlign w:val="top"/>
          </w:tcPr>
          <w:p>
            <w:pPr>
              <w:spacing w:after="120"/>
              <w:jc w:val="left"/>
            </w:pPr>
            <w:r>
              <w:t>Conduct audits, implement Vault PKI, firmware signing, and incident response.</w:t>
            </w:r>
          </w:p>
        </w:tc>
      </w:tr>
      <w:tr>
        <w:tc>
          <w:tcPr>
            <w:tcW w:type="dxa" w:w="2160"/>
            <w:vAlign w:val="top"/>
          </w:tcPr>
          <w:p>
            <w:pPr>
              <w:spacing w:after="120"/>
              <w:jc w:val="left"/>
            </w:pPr>
            <w:r>
              <w:t>Training &amp; Change Manager</w:t>
            </w:r>
          </w:p>
        </w:tc>
        <w:tc>
          <w:tcPr>
            <w:tcW w:type="dxa" w:w="2160"/>
            <w:vAlign w:val="top"/>
          </w:tcPr>
          <w:p>
            <w:pPr>
              <w:spacing w:after="120"/>
              <w:jc w:val="left"/>
            </w:pPr>
            <w:r>
              <w:t>4</w:t>
            </w:r>
          </w:p>
        </w:tc>
        <w:tc>
          <w:tcPr>
            <w:tcW w:type="dxa" w:w="2160"/>
            <w:vAlign w:val="top"/>
          </w:tcPr>
          <w:p>
            <w:pPr>
              <w:spacing w:after="120"/>
              <w:jc w:val="left"/>
            </w:pPr>
            <w:r>
              <w:t>10</w:t>
            </w:r>
          </w:p>
        </w:tc>
        <w:tc>
          <w:tcPr>
            <w:tcW w:type="dxa" w:w="2160"/>
            <w:vAlign w:val="top"/>
          </w:tcPr>
          <w:p>
            <w:pPr>
              <w:spacing w:after="120"/>
              <w:jc w:val="left"/>
            </w:pPr>
            <w:r>
              <w:t>Design curriculum, conduct TOT, measure adoption, and run incentive programmes.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vAlign w:val="top"/>
          </w:tcPr>
          <w:p>
            <w:pPr>
              <w:spacing w:after="120"/>
              <w:jc w:val="left"/>
            </w:pPr>
            <w:r>
              <w:t>VTOL Drones &amp; Sensors</w:t>
            </w:r>
          </w:p>
        </w:tc>
        <w:tc>
          <w:tcPr>
            <w:tcW w:type="dxa" w:w="2880"/>
            <w:vAlign w:val="top"/>
          </w:tcPr>
          <w:p>
            <w:pPr>
              <w:spacing w:after="120"/>
              <w:jc w:val="left"/>
            </w:pPr>
            <w:r>
              <w:t>₹28,000,000</w:t>
            </w:r>
          </w:p>
        </w:tc>
        <w:tc>
          <w:tcPr>
            <w:tcW w:type="dxa" w:w="2880"/>
            <w:vAlign w:val="top"/>
          </w:tcPr>
          <w:p>
            <w:pPr>
              <w:spacing w:after="120"/>
              <w:jc w:val="left"/>
            </w:pPr>
            <w:r>
              <w:t>60 units with spares, RTK, and multi-spectral cameras.</w:t>
            </w:r>
          </w:p>
        </w:tc>
      </w:tr>
      <w:tr>
        <w:tc>
          <w:tcPr>
            <w:tcW w:type="dxa" w:w="2880"/>
            <w:vAlign w:val="top"/>
          </w:tcPr>
          <w:p>
            <w:pPr>
              <w:spacing w:after="120"/>
              <w:jc w:val="left"/>
            </w:pPr>
            <w:r>
              <w:t>Solar Docking Stations</w:t>
            </w:r>
          </w:p>
        </w:tc>
        <w:tc>
          <w:tcPr>
            <w:tcW w:type="dxa" w:w="2880"/>
            <w:vAlign w:val="top"/>
          </w:tcPr>
          <w:p>
            <w:pPr>
              <w:spacing w:after="120"/>
              <w:jc w:val="left"/>
            </w:pPr>
            <w:r>
              <w:t>₹9,600,000</w:t>
            </w:r>
          </w:p>
        </w:tc>
        <w:tc>
          <w:tcPr>
            <w:tcW w:type="dxa" w:w="2880"/>
            <w:vAlign w:val="top"/>
          </w:tcPr>
          <w:p>
            <w:pPr>
              <w:spacing w:after="120"/>
              <w:jc w:val="left"/>
            </w:pPr>
            <w:r>
              <w:t>30 units with battery swapper, surge protection, and 5-year warranty.</w:t>
            </w:r>
          </w:p>
        </w:tc>
      </w:tr>
      <w:tr>
        <w:tc>
          <w:tcPr>
            <w:tcW w:type="dxa" w:w="2880"/>
            <w:vAlign w:val="top"/>
          </w:tcPr>
          <w:p>
            <w:pPr>
              <w:spacing w:after="120"/>
              <w:jc w:val="left"/>
            </w:pPr>
            <w:r>
              <w:t>Edge GPU Hardware</w:t>
            </w:r>
          </w:p>
        </w:tc>
        <w:tc>
          <w:tcPr>
            <w:tcW w:type="dxa" w:w="2880"/>
            <w:vAlign w:val="top"/>
          </w:tcPr>
          <w:p>
            <w:pPr>
              <w:spacing w:after="120"/>
              <w:jc w:val="left"/>
            </w:pPr>
            <w:r>
              <w:t>₹4,800,000</w:t>
            </w:r>
          </w:p>
        </w:tc>
        <w:tc>
          <w:tcPr>
            <w:tcW w:type="dxa" w:w="2880"/>
            <w:vAlign w:val="top"/>
          </w:tcPr>
          <w:p>
            <w:pPr>
              <w:spacing w:after="120"/>
              <w:jc w:val="left"/>
            </w:pPr>
            <w:r>
              <w:t>Jetson nodes, storage, and rugged enclosures for 12 sites.</w:t>
            </w:r>
          </w:p>
        </w:tc>
      </w:tr>
      <w:tr>
        <w:tc>
          <w:tcPr>
            <w:tcW w:type="dxa" w:w="2880"/>
            <w:vAlign w:val="top"/>
          </w:tcPr>
          <w:p>
            <w:pPr>
              <w:spacing w:after="120"/>
              <w:jc w:val="left"/>
            </w:pPr>
            <w:r>
              <w:t>Cloud Data Lakehouse</w:t>
            </w:r>
          </w:p>
        </w:tc>
        <w:tc>
          <w:tcPr>
            <w:tcW w:type="dxa" w:w="2880"/>
            <w:vAlign w:val="top"/>
          </w:tcPr>
          <w:p>
            <w:pPr>
              <w:spacing w:after="120"/>
              <w:jc w:val="left"/>
            </w:pPr>
            <w:r>
              <w:t>₹6,000,000</w:t>
            </w:r>
          </w:p>
        </w:tc>
        <w:tc>
          <w:tcPr>
            <w:tcW w:type="dxa" w:w="2880"/>
            <w:vAlign w:val="top"/>
          </w:tcPr>
          <w:p>
            <w:pPr>
              <w:spacing w:after="120"/>
              <w:jc w:val="left"/>
            </w:pPr>
            <w:r>
              <w:t>30 TB/year for 3 years including Trino queries and backup.</w:t>
            </w:r>
          </w:p>
        </w:tc>
      </w:tr>
      <w:tr>
        <w:tc>
          <w:tcPr>
            <w:tcW w:type="dxa" w:w="2880"/>
            <w:vAlign w:val="top"/>
          </w:tcPr>
          <w:p>
            <w:pPr>
              <w:spacing w:after="120"/>
              <w:jc w:val="left"/>
            </w:pPr>
            <w:r>
              <w:t>Software Development</w:t>
            </w:r>
          </w:p>
        </w:tc>
        <w:tc>
          <w:tcPr>
            <w:tcW w:type="dxa" w:w="2880"/>
            <w:vAlign w:val="top"/>
          </w:tcPr>
          <w:p>
            <w:pPr>
              <w:spacing w:after="120"/>
              <w:jc w:val="left"/>
            </w:pPr>
            <w:r>
              <w:t>₹12,000,000</w:t>
            </w:r>
          </w:p>
        </w:tc>
        <w:tc>
          <w:tcPr>
            <w:tcW w:type="dxa" w:w="2880"/>
            <w:vAlign w:val="top"/>
          </w:tcPr>
          <w:p>
            <w:pPr>
              <w:spacing w:after="120"/>
              <w:jc w:val="left"/>
            </w:pPr>
            <w:r>
              <w:t>PWA, AI models, APIs, blockchain audit, and compliance modules.</w:t>
            </w:r>
          </w:p>
        </w:tc>
      </w:tr>
      <w:tr>
        <w:tc>
          <w:tcPr>
            <w:tcW w:type="dxa" w:w="2880"/>
            <w:vAlign w:val="top"/>
          </w:tcPr>
          <w:p>
            <w:pPr>
              <w:spacing w:after="120"/>
              <w:jc w:val="left"/>
            </w:pPr>
            <w:r>
              <w:t>Training &amp; Handover</w:t>
            </w:r>
          </w:p>
        </w:tc>
        <w:tc>
          <w:tcPr>
            <w:tcW w:type="dxa" w:w="2880"/>
            <w:vAlign w:val="top"/>
          </w:tcPr>
          <w:p>
            <w:pPr>
              <w:spacing w:after="120"/>
              <w:jc w:val="left"/>
            </w:pPr>
            <w:r>
              <w:t>₹3,000,000</w:t>
            </w:r>
          </w:p>
        </w:tc>
        <w:tc>
          <w:tcPr>
            <w:tcW w:type="dxa" w:w="2880"/>
            <w:vAlign w:val="top"/>
          </w:tcPr>
          <w:p>
            <w:pPr>
              <w:spacing w:after="120"/>
              <w:jc w:val="left"/>
            </w:pPr>
            <w:r>
              <w:t>Master trainers, VR vans, manuals, and impact surveys.</w:t>
            </w:r>
          </w:p>
        </w:tc>
      </w:tr>
      <w:tr>
        <w:tc>
          <w:tcPr>
            <w:tcW w:type="dxa" w:w="2880"/>
            <w:vAlign w:val="top"/>
          </w:tcPr>
          <w:p>
            <w:pPr>
              <w:spacing w:after="120"/>
              <w:jc w:val="left"/>
            </w:pPr>
            <w:r>
              <w:t>Cybersecurity &amp; Audit</w:t>
            </w:r>
          </w:p>
        </w:tc>
        <w:tc>
          <w:tcPr>
            <w:tcW w:type="dxa" w:w="2880"/>
            <w:vAlign w:val="top"/>
          </w:tcPr>
          <w:p>
            <w:pPr>
              <w:spacing w:after="120"/>
              <w:jc w:val="left"/>
            </w:pPr>
            <w:r>
              <w:t>₹1,800,000</w:t>
            </w:r>
          </w:p>
        </w:tc>
        <w:tc>
          <w:tcPr>
            <w:tcW w:type="dxa" w:w="2880"/>
            <w:vAlign w:val="top"/>
          </w:tcPr>
          <w:p>
            <w:pPr>
              <w:spacing w:after="120"/>
              <w:jc w:val="left"/>
            </w:pPr>
            <w:r>
              <w:t>Red-team, code audit, ISO 27001 certification, and SOC 2 reports.</w:t>
            </w:r>
          </w:p>
        </w:tc>
      </w:tr>
      <w:tr>
        <w:tc>
          <w:tcPr>
            <w:tcW w:type="dxa" w:w="2880"/>
            <w:vAlign w:val="top"/>
          </w:tcPr>
          <w:p>
            <w:pPr>
              <w:spacing w:after="120"/>
              <w:jc w:val="left"/>
            </w:pPr>
            <w:r>
              <w:t>Insurance &amp; Compliance</w:t>
            </w:r>
          </w:p>
        </w:tc>
        <w:tc>
          <w:tcPr>
            <w:tcW w:type="dxa" w:w="2880"/>
            <w:vAlign w:val="top"/>
          </w:tcPr>
          <w:p>
            <w:pPr>
              <w:spacing w:after="120"/>
              <w:jc w:val="left"/>
            </w:pPr>
            <w:r>
              <w:t>₹2,400,000</w:t>
            </w:r>
          </w:p>
        </w:tc>
        <w:tc>
          <w:tcPr>
            <w:tcW w:type="dxa" w:w="2880"/>
            <w:vAlign w:val="top"/>
          </w:tcPr>
          <w:p>
            <w:pPr>
              <w:spacing w:after="120"/>
              <w:jc w:val="left"/>
            </w:pPr>
            <w:r>
              <w:t>DGCA third-party liability, import duties, and regulatory retainers.</w:t>
            </w:r>
          </w:p>
        </w:tc>
      </w:tr>
      <w:tr>
        <w:tc>
          <w:tcPr>
            <w:tcW w:type="dxa" w:w="2880"/>
            <w:vAlign w:val="top"/>
          </w:tcPr>
          <w:p>
            <w:pPr>
              <w:spacing w:after="120"/>
              <w:jc w:val="left"/>
            </w:pPr>
            <w:r>
              <w:t>Program Management</w:t>
            </w:r>
          </w:p>
        </w:tc>
        <w:tc>
          <w:tcPr>
            <w:tcW w:type="dxa" w:w="2880"/>
            <w:vAlign w:val="top"/>
          </w:tcPr>
          <w:p>
            <w:pPr>
              <w:spacing w:after="120"/>
              <w:jc w:val="left"/>
            </w:pPr>
            <w:r>
              <w:t>₹3,600,000</w:t>
            </w:r>
          </w:p>
        </w:tc>
        <w:tc>
          <w:tcPr>
            <w:tcW w:type="dxa" w:w="2880"/>
            <w:vAlign w:val="top"/>
          </w:tcPr>
          <w:p>
            <w:pPr>
              <w:spacing w:after="120"/>
              <w:jc w:val="left"/>
            </w:pPr>
            <w:r>
              <w:t>PMO, governance, risk, and vendor coordination for 18 months.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vAlign w:val="top"/>
          </w:tcPr>
          <w:p>
            <w:pPr>
              <w:spacing w:after="120"/>
              <w:jc w:val="left"/>
            </w:pPr>
            <w:r>
              <w:t>Average Girdawari Duration</w:t>
            </w:r>
          </w:p>
        </w:tc>
        <w:tc>
          <w:tcPr>
            <w:tcW w:type="dxa" w:w="2160"/>
            <w:vAlign w:val="top"/>
          </w:tcPr>
          <w:p>
            <w:pPr>
              <w:spacing w:after="120"/>
              <w:jc w:val="left"/>
            </w:pPr>
            <w:r>
              <w:t>≤5 days</w:t>
            </w:r>
          </w:p>
        </w:tc>
        <w:tc>
          <w:tcPr>
            <w:tcW w:type="dxa" w:w="2160"/>
            <w:vAlign w:val="top"/>
          </w:tcPr>
          <w:p>
            <w:pPr>
              <w:spacing w:after="120"/>
              <w:jc w:val="left"/>
            </w:pPr>
            <w:r>
              <w:t>Timestamp comparison between flight start and report generation</w:t>
            </w:r>
          </w:p>
        </w:tc>
        <w:tc>
          <w:tcPr>
            <w:tcW w:type="dxa" w:w="2160"/>
            <w:vAlign w:val="top"/>
          </w:tcPr>
          <w:p>
            <w:pPr>
              <w:spacing w:after="120"/>
              <w:jc w:val="left"/>
            </w:pPr>
            <w:r>
              <w:t>Per Gram Panchayat</w:t>
            </w:r>
          </w:p>
        </w:tc>
      </w:tr>
      <w:tr>
        <w:tc>
          <w:tcPr>
            <w:tcW w:type="dxa" w:w="2160"/>
            <w:vAlign w:val="top"/>
          </w:tcPr>
          <w:p>
            <w:pPr>
              <w:spacing w:after="120"/>
              <w:jc w:val="left"/>
            </w:pPr>
            <w:r>
              <w:t>Orthomosaic RMSE</w:t>
            </w:r>
          </w:p>
        </w:tc>
        <w:tc>
          <w:tcPr>
            <w:tcW w:type="dxa" w:w="2160"/>
            <w:vAlign w:val="top"/>
          </w:tcPr>
          <w:p>
            <w:pPr>
              <w:spacing w:after="120"/>
              <w:jc w:val="left"/>
            </w:pPr>
            <w:r>
              <w:t>≤0.25 m</w:t>
            </w:r>
          </w:p>
        </w:tc>
        <w:tc>
          <w:tcPr>
            <w:tcW w:type="dxa" w:w="2160"/>
            <w:vAlign w:val="top"/>
          </w:tcPr>
          <w:p>
            <w:pPr>
              <w:spacing w:after="120"/>
              <w:jc w:val="left"/>
            </w:pPr>
            <w:r>
              <w:t>SOI standard check against 20 ground control points</w:t>
            </w:r>
          </w:p>
        </w:tc>
        <w:tc>
          <w:tcPr>
            <w:tcW w:type="dxa" w:w="2160"/>
            <w:vAlign w:val="top"/>
          </w:tcPr>
          <w:p>
            <w:pPr>
              <w:spacing w:after="120"/>
              <w:jc w:val="left"/>
            </w:pPr>
            <w:r>
              <w:t>Per block</w:t>
            </w:r>
          </w:p>
        </w:tc>
      </w:tr>
      <w:tr>
        <w:tc>
          <w:tcPr>
            <w:tcW w:type="dxa" w:w="2160"/>
            <w:vAlign w:val="top"/>
          </w:tcPr>
          <w:p>
            <w:pPr>
              <w:spacing w:after="120"/>
              <w:jc w:val="left"/>
            </w:pPr>
            <w:r>
              <w:t>Crop Classification F1-Score</w:t>
            </w:r>
          </w:p>
        </w:tc>
        <w:tc>
          <w:tcPr>
            <w:tcW w:type="dxa" w:w="2160"/>
            <w:vAlign w:val="top"/>
          </w:tcPr>
          <w:p>
            <w:pPr>
              <w:spacing w:after="120"/>
              <w:jc w:val="left"/>
            </w:pPr>
            <w:r>
              <w:t>≥94%</w:t>
            </w:r>
          </w:p>
        </w:tc>
        <w:tc>
          <w:tcPr>
            <w:tcW w:type="dxa" w:w="2160"/>
            <w:vAlign w:val="top"/>
          </w:tcPr>
          <w:p>
            <w:pPr>
              <w:spacing w:after="120"/>
              <w:jc w:val="left"/>
            </w:pPr>
            <w:r>
              <w:t>Confusion matrix from 1000 random field validations</w:t>
            </w:r>
          </w:p>
        </w:tc>
        <w:tc>
          <w:tcPr>
            <w:tcW w:type="dxa" w:w="2160"/>
            <w:vAlign w:val="top"/>
          </w:tcPr>
          <w:p>
            <w:pPr>
              <w:spacing w:after="120"/>
              <w:jc w:val="left"/>
            </w:pPr>
            <w:r>
              <w:t>Monthly</w:t>
            </w:r>
          </w:p>
        </w:tc>
      </w:tr>
      <w:tr>
        <w:tc>
          <w:tcPr>
            <w:tcW w:type="dxa" w:w="2160"/>
            <w:vAlign w:val="top"/>
          </w:tcPr>
          <w:p>
            <w:pPr>
              <w:spacing w:after="120"/>
              <w:jc w:val="left"/>
            </w:pPr>
            <w:r>
              <w:t>System Uptime</w:t>
            </w:r>
          </w:p>
        </w:tc>
        <w:tc>
          <w:tcPr>
            <w:tcW w:type="dxa" w:w="2160"/>
            <w:vAlign w:val="top"/>
          </w:tcPr>
          <w:p>
            <w:pPr>
              <w:spacing w:after="120"/>
              <w:jc w:val="left"/>
            </w:pPr>
            <w:r>
              <w:t>99.5%</w:t>
            </w:r>
          </w:p>
        </w:tc>
        <w:tc>
          <w:tcPr>
            <w:tcW w:type="dxa" w:w="2160"/>
            <w:vAlign w:val="top"/>
          </w:tcPr>
          <w:p>
            <w:pPr>
              <w:spacing w:after="120"/>
              <w:jc w:val="left"/>
            </w:pPr>
            <w:r>
              <w:t>Prometheus uptime probe for drones, docks, and cloud</w:t>
            </w:r>
          </w:p>
        </w:tc>
        <w:tc>
          <w:tcPr>
            <w:tcW w:type="dxa" w:w="2160"/>
            <w:vAlign w:val="top"/>
          </w:tcPr>
          <w:p>
            <w:pPr>
              <w:spacing w:after="120"/>
              <w:jc w:val="left"/>
            </w:pPr>
            <w:r>
              <w:t>Daily</w:t>
            </w:r>
          </w:p>
        </w:tc>
      </w:tr>
      <w:tr>
        <w:tc>
          <w:tcPr>
            <w:tcW w:type="dxa" w:w="2160"/>
            <w:vAlign w:val="top"/>
          </w:tcPr>
          <w:p>
            <w:pPr>
              <w:spacing w:after="120"/>
              <w:jc w:val="left"/>
            </w:pPr>
            <w:r>
              <w:t>Data Entry Error Rate</w:t>
            </w:r>
          </w:p>
        </w:tc>
        <w:tc>
          <w:tcPr>
            <w:tcW w:type="dxa" w:w="2160"/>
            <w:vAlign w:val="top"/>
          </w:tcPr>
          <w:p>
            <w:pPr>
              <w:spacing w:after="120"/>
              <w:jc w:val="left"/>
            </w:pPr>
            <w:r>
              <w:t>≤0.5%</w:t>
            </w:r>
          </w:p>
        </w:tc>
        <w:tc>
          <w:tcPr>
            <w:tcW w:type="dxa" w:w="2160"/>
            <w:vAlign w:val="top"/>
          </w:tcPr>
          <w:p>
            <w:pPr>
              <w:spacing w:after="120"/>
              <w:jc w:val="left"/>
            </w:pPr>
            <w:r>
              <w:t>Random audit of 5000 records against source</w:t>
            </w:r>
          </w:p>
        </w:tc>
        <w:tc>
          <w:tcPr>
            <w:tcW w:type="dxa" w:w="2160"/>
            <w:vAlign w:val="top"/>
          </w:tcPr>
          <w:p>
            <w:pPr>
              <w:spacing w:after="120"/>
              <w:jc w:val="left"/>
            </w:pPr>
            <w:r>
              <w:t>Quarterly</w:t>
            </w:r>
          </w:p>
        </w:tc>
      </w:tr>
      <w:tr>
        <w:tc>
          <w:tcPr>
            <w:tcW w:type="dxa" w:w="2160"/>
            <w:vAlign w:val="top"/>
          </w:tcPr>
          <w:p>
            <w:pPr>
              <w:spacing w:after="120"/>
              <w:jc w:val="left"/>
            </w:pPr>
            <w:r>
              <w:t>Farmer Satisfaction</w:t>
            </w:r>
          </w:p>
        </w:tc>
        <w:tc>
          <w:tcPr>
            <w:tcW w:type="dxa" w:w="2160"/>
            <w:vAlign w:val="top"/>
          </w:tcPr>
          <w:p>
            <w:pPr>
              <w:spacing w:after="120"/>
              <w:jc w:val="left"/>
            </w:pPr>
            <w:r>
              <w:t>≥80%</w:t>
            </w:r>
          </w:p>
        </w:tc>
        <w:tc>
          <w:tcPr>
            <w:tcW w:type="dxa" w:w="2160"/>
            <w:vAlign w:val="top"/>
          </w:tcPr>
          <w:p>
            <w:pPr>
              <w:spacing w:after="120"/>
              <w:jc w:val="left"/>
            </w:pPr>
            <w:r>
              <w:t>IVR survey of 5000 farmers</w:t>
            </w:r>
          </w:p>
        </w:tc>
        <w:tc>
          <w:tcPr>
            <w:tcW w:type="dxa" w:w="2160"/>
            <w:vAlign w:val="top"/>
          </w:tcPr>
          <w:p>
            <w:pPr>
              <w:spacing w:after="120"/>
              <w:jc w:val="left"/>
            </w:pPr>
            <w:r>
              <w:t>Semi-annually</w:t>
            </w:r>
          </w:p>
        </w:tc>
      </w:tr>
      <w:tr>
        <w:tc>
          <w:tcPr>
            <w:tcW w:type="dxa" w:w="2160"/>
            <w:vAlign w:val="top"/>
          </w:tcPr>
          <w:p>
            <w:pPr>
              <w:spacing w:after="120"/>
              <w:jc w:val="left"/>
            </w:pPr>
            <w:r>
              <w:t>Cost Savings</w:t>
            </w:r>
          </w:p>
        </w:tc>
        <w:tc>
          <w:tcPr>
            <w:tcW w:type="dxa" w:w="2160"/>
            <w:vAlign w:val="top"/>
          </w:tcPr>
          <w:p>
            <w:pPr>
              <w:spacing w:after="120"/>
              <w:jc w:val="left"/>
            </w:pPr>
            <w:r>
              <w:t>₹12 crore/year</w:t>
            </w:r>
          </w:p>
        </w:tc>
        <w:tc>
          <w:tcPr>
            <w:tcW w:type="dxa" w:w="2160"/>
            <w:vAlign w:val="top"/>
          </w:tcPr>
          <w:p>
            <w:pPr>
              <w:spacing w:after="120"/>
              <w:jc w:val="left"/>
            </w:pPr>
            <w:r>
              <w:t>Comparison of historical man-day costs vs platform OpEx</w:t>
            </w:r>
          </w:p>
        </w:tc>
        <w:tc>
          <w:tcPr>
            <w:tcW w:type="dxa" w:w="2160"/>
            <w:vAlign w:val="top"/>
          </w:tcPr>
          <w:p>
            <w:pPr>
              <w:spacing w:after="120"/>
              <w:jc w:val="left"/>
            </w:pPr>
            <w:r>
              <w:t>Annually</w:t>
            </w:r>
          </w:p>
        </w:tc>
      </w:tr>
      <w:tr>
        <w:tc>
          <w:tcPr>
            <w:tcW w:type="dxa" w:w="2160"/>
            <w:vAlign w:val="top"/>
          </w:tcPr>
          <w:p>
            <w:pPr>
              <w:spacing w:after="120"/>
              <w:jc w:val="left"/>
            </w:pPr>
            <w:r>
              <w:t>Training Completion</w:t>
            </w:r>
          </w:p>
        </w:tc>
        <w:tc>
          <w:tcPr>
            <w:tcW w:type="dxa" w:w="2160"/>
            <w:vAlign w:val="top"/>
          </w:tcPr>
          <w:p>
            <w:pPr>
              <w:spacing w:after="120"/>
              <w:jc w:val="left"/>
            </w:pPr>
            <w:r>
              <w:t>100% of Patwaris</w:t>
            </w:r>
          </w:p>
        </w:tc>
        <w:tc>
          <w:tcPr>
            <w:tcW w:type="dxa" w:w="2160"/>
            <w:vAlign w:val="top"/>
          </w:tcPr>
          <w:p>
            <w:pPr>
              <w:spacing w:after="120"/>
              <w:jc w:val="left"/>
            </w:pPr>
            <w:r>
              <w:t>LMS module completion and certification records</w:t>
            </w:r>
          </w:p>
        </w:tc>
        <w:tc>
          <w:tcPr>
            <w:tcW w:type="dxa" w:w="2160"/>
            <w:vAlign w:val="top"/>
          </w:tcPr>
          <w:p>
            <w:pPr>
              <w:spacing w:after="120"/>
              <w:jc w:val="left"/>
            </w:pPr>
            <w:r>
              <w:t>Quarterly</w:t>
            </w:r>
          </w:p>
        </w:tc>
      </w:tr>
      <w:tr>
        <w:tc>
          <w:tcPr>
            <w:tcW w:type="dxa" w:w="2160"/>
            <w:vAlign w:val="top"/>
          </w:tcPr>
          <w:p>
            <w:pPr>
              <w:spacing w:after="120"/>
              <w:jc w:val="left"/>
            </w:pPr>
            <w:r>
              <w:t>Security Vulnerabilities</w:t>
            </w:r>
          </w:p>
        </w:tc>
        <w:tc>
          <w:tcPr>
            <w:tcW w:type="dxa" w:w="2160"/>
            <w:vAlign w:val="top"/>
          </w:tcPr>
          <w:p>
            <w:pPr>
              <w:spacing w:after="120"/>
              <w:jc w:val="left"/>
            </w:pPr>
            <w:r>
              <w:t>0 critical</w:t>
            </w:r>
          </w:p>
        </w:tc>
        <w:tc>
          <w:tcPr>
            <w:tcW w:type="dxa" w:w="2160"/>
            <w:vAlign w:val="top"/>
          </w:tcPr>
          <w:p>
            <w:pPr>
              <w:spacing w:after="120"/>
              <w:jc w:val="left"/>
            </w:pPr>
            <w:r>
              <w:t>CERT-In compliant vulnerability scan and red-team report</w:t>
            </w:r>
          </w:p>
        </w:tc>
        <w:tc>
          <w:tcPr>
            <w:tcW w:type="dxa" w:w="2160"/>
            <w:vAlign w:val="top"/>
          </w:tcPr>
          <w:p>
            <w:pPr>
              <w:spacing w:after="120"/>
              <w:jc w:val="left"/>
            </w:pPr>
            <w:r>
              <w:t>Monthly</w:t>
            </w:r>
          </w:p>
        </w:tc>
      </w:tr>
      <w:tr>
        <w:tc>
          <w:tcPr>
            <w:tcW w:type="dxa" w:w="2160"/>
            <w:vAlign w:val="top"/>
          </w:tcPr>
          <w:p>
            <w:pPr>
              <w:spacing w:after="120"/>
              <w:jc w:val="left"/>
            </w:pPr>
            <w:r>
              <w:t>Dispute Resolution Time</w:t>
            </w:r>
          </w:p>
        </w:tc>
        <w:tc>
          <w:tcPr>
            <w:tcW w:type="dxa" w:w="2160"/>
            <w:vAlign w:val="top"/>
          </w:tcPr>
          <w:p>
            <w:pPr>
              <w:spacing w:after="120"/>
              <w:jc w:val="left"/>
            </w:pPr>
            <w:r>
              <w:t>≤36 hours</w:t>
            </w:r>
          </w:p>
        </w:tc>
        <w:tc>
          <w:tcPr>
            <w:tcW w:type="dxa" w:w="2160"/>
            <w:vAlign w:val="top"/>
          </w:tcPr>
          <w:p>
            <w:pPr>
              <w:spacing w:after="120"/>
              <w:jc w:val="left"/>
            </w:pPr>
            <w:r>
              <w:t>Helpdesk ticket closure timestamp analysis</w:t>
            </w:r>
          </w:p>
        </w:tc>
        <w:tc>
          <w:tcPr>
            <w:tcW w:type="dxa" w:w="2160"/>
            <w:vAlign w:val="top"/>
          </w:tcPr>
          <w:p>
            <w:pPr>
              <w:spacing w:after="120"/>
              <w:jc w:val="left"/>
            </w:pPr>
            <w:r>
              <w:t>Weekly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