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Drone-Assisted Girdawari Digitisation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Manual Girdawari in Rajasthan demands 300+ patwari man-days per Gram Panchayat, yielding 16 field records daily. Paper ledgers silo crop, tenancy, boundary data, spawning 30 % gaps and 18-month update lags. Traversing 5 000 scattered fields on foot risks record omissions, crop loss estimations errors and revenue leakage. Absence of real-time validation forces multiple revisits, ballooning travel costs and delaying insurance claims. Village chowkidar signatures, manual map tracings and ink-based area totals resist analytics and policy simulation. Monsoon disruptions, patchy electricity and limited vehicles further throttle patwari productivity and data freshness. Resultant outdated land records impede e-PM-KISAN, crop insurance, disaster relief and farm credit decisions. Centralised manual files create single-point failure; flood, fire or pest incidents erase decades of evidence. Farmers distrust error-prone jamabandi; litigation rises, leasing shrinks and investment in micro-irrigation stalls. Rajasthan urgently needs a resilient, drone-accelerated, AI-validated, cloud-hosted Girdawari ecosystem.</w:t>
      </w:r>
    </w:p>
    <w:p>
      <w:bookmarkStart w:id="1" w:name="sec_key_challenges"/>
      <w:pPr>
        <w:pStyle w:val="Heading1"/>
      </w:pPr>
      <w:r>
        <w:t>Key Challenges</w:t>
      </w:r>
      <w:bookmarkEnd w:id="1"/>
    </w:p>
    <w:p>
      <w:pPr>
        <w:pStyle w:val="ListBullet"/>
      </w:pPr>
      <w:r>
        <w:t>Patwaris juggle 3–5 villages with no tablets, power banks or 4G, forcing dusk-hour paper transcriptions. Hand-drawn field sketches warp over time; missing geo-fences stymie crop insurance claim verifications. Manual area summations invite 5–10 % acreage errors, cascading into distorted subsidy and disaster payouts. Monsoon clouds compress survey windows; flooded fields stall entry and extend crop-loss data capture.</w:t>
      </w:r>
    </w:p>
    <w:p>
      <w:pPr>
        <w:pStyle w:val="ListBullet"/>
      </w:pPr>
      <w:r>
        <w:t>Legacy bhulekh databases store 40-year-old Urdu entries; OCR misreads 35 % characters, corrupting joins. Paper jamabandi bundles occupy 60 % office space; retrieval averages 18 min, throttling mutation turnaround. Inconsistent village name spellings break PK-FK integrity, spawning duplicate khasra IDs across tahsil servers. Offline tahsil servers crash during peak mutation season, losing three-day data entry batches.</w:t>
      </w:r>
    </w:p>
    <w:p>
      <w:pPr>
        <w:pStyle w:val="ListBullet"/>
      </w:pPr>
      <w:r>
        <w:t>High-resolution satellite imagery costs ₹3 crore/year, exceeds state budget and remains cloud-locked during monsoon. Drones face no-fly zones near army ranges; mandatory 7-day NOC delays emergency crop-loss assessments. DGCA mandates encrypted RTK, anti-collision lights and remote-ID, inflating per-flight compliance costs by ₹8 k. Lack of calibrated ground control points shifts photogrammetry outputs by 1–2 m, invalidating sub-plot boundaries.</w:t>
      </w:r>
    </w:p>
    <w:p>
      <w:pPr>
        <w:pStyle w:val="ListBullet"/>
      </w:pPr>
      <w:r>
        <w:t>Patwaris average 48 years age; 62 % never used GPS, fear button mis-clicks will delete legacy records. Training batches of 25 exceed classroom capacity; power cuts interrupt e-learning modules, dropping retention to 40 %. Union seniority rules block tech-savvy junior staff promotion, diluting motivation to adopt digital workflows. Vernacular UI strings overflow fixed-length labels, causing menu truncation and user frustration.</w:t>
      </w:r>
    </w:p>
    <w:p>
      <w:pPr>
        <w:pStyle w:val="ListBullet"/>
      </w:pPr>
      <w:r>
        <w:t>BSNL 2G towers cover only 65 % fields; 4G roll-out stuck at tender litigation, blocking real-time sync. Village electricity averages 8 hours/day; drone batteries drain while waiting for inverter charging cycles. Budget caps restrict purchasing more than two drones per district, forcing sequential village scheduling. Rooftop landing pads lack clear airspace; cattle and high-tension wires threaten 1 per 40 sortie mishap.</w:t>
      </w:r>
    </w:p>
    <w:p>
      <w:pPr>
        <w:pStyle w:val="ListBullet"/>
      </w:pPr>
      <w:r>
        <w:t>Chief Tahsildar requires 3-level manual verification; each mutation file shuttles 14 km between offices via peon. Printed notices must be affixed for 30 days; rain, torn posters or goat damage nullify due-process compliance. Digital signatures on Form-6 need HSM tokens; 40 % tokens remain with officers on field tour, stalling approval. Manual chitta updation lags 4 months; banks refuse crop-loan renewals, pushing farmers toward private moneylenders.</w:t>
      </w:r>
    </w:p>
    <w:p>
      <w:pPr>
        <w:pStyle w:val="ListBullet"/>
      </w:pPr>
      <w:r>
        <w:t>No audit trail exists for paper edits; whitener marks conceal fraudulent acreage inflation or name substitutions. State data centre backups occur weekly; ransomware struck in 2023, corrupting 11 % land records permanently. Shared tahsil passwords written on office pin-boards expose write-access to brokers, inviting benami transfers. Absence of SHA-256 checksums means a single CSV upload can overwrite entire village spatial layers undetected.</w:t>
      </w:r>
    </w:p>
    <w:p>
      <w:bookmarkStart w:id="1" w:name="sec_solution_approach"/>
      <w:pPr>
        <w:pStyle w:val="Heading1"/>
      </w:pPr>
      <w:r>
        <w:t>Our Solution Approach</w:t>
      </w:r>
      <w:bookmarkEnd w:id="1"/>
    </w:p>
    <w:p>
      <w:pPr>
        <w:pStyle w:val="Heading2"/>
      </w:pPr>
      <w:r>
        <w:t>Deploy DGCA-Compliant Survey-Grade Drone Fleet</w:t>
      </w:r>
    </w:p>
    <w:p>
      <w:pPr>
        <w:spacing w:after="120"/>
        <w:jc w:val="both"/>
      </w:pPr>
      <w:r>
        <w:t>Acquire 40 DJI Matrice 300 RTK units with 45-min endurance, 2 cm PPK accuracy and 55 °C rating. Equip each patwari circle with two batteries, rugged tablet controller and pre-installed e-vigilance geo-fence maps. Integrate NDVI, RGB and LiDAR payloads for multi-spectral crop health and terrain modelling in single sortie. Schedule autonomous lawn-mower flight paths at 80 m AGL, capturing 1.2 cm GSD orthomosaics of 5 000 fields/day.</w:t>
      </w:r>
    </w:p>
    <w:p>
      <w:pPr>
        <w:pStyle w:val="Heading2"/>
      </w:pPr>
      <w:r>
        <w:t>AI Edge Analytics for Real-Time Crop Classification</w:t>
      </w:r>
    </w:p>
    <w:p>
      <w:pPr>
        <w:spacing w:after="120"/>
        <w:jc w:val="both"/>
      </w:pPr>
      <w:r>
        <w:t>Flash TensorRT-optimised U-Net onto NVIDIA Jetson Xavier NX mounted on drone for 12-class crop segmentation. Generate 10 cm contour-aligned field boundaries, auto-link to khasra IDs via fuzzy string match and area tolerance 0.5 %. Flag anomalous parcels whose NDVI delta exceeds 20 % from state crop calendar, prompting patwari spot verification. Cache results in drone SSD; on landing auto-sync to s3-compatible object store over 5 GHz Wi-Fi in 90 seconds.</w:t>
      </w:r>
    </w:p>
    <w:p>
      <w:pPr>
        <w:pStyle w:val="Heading2"/>
      </w:pPr>
      <w:r>
        <w:t>Cloud-Native Microservice Girdawari Platform</w:t>
      </w:r>
    </w:p>
    <w:p>
      <w:pPr>
        <w:spacing w:after="120"/>
        <w:jc w:val="both"/>
      </w:pPr>
      <w:r>
        <w:t>Containerise spring-boot services for khasra, crop, tenancy, mutation, drone media, auth and audit in Kubernetes. Expose REST/GraphQL APIs with OAuth 2.0, rate-limit 1 000 rps and &lt;120 ms p99 latency via Istio service mesh. Persist spatial data in PostGIS; tenant metadata in PostgreSQL; index 50 M media files in Elasticsearch for retrieval. Enable horizontal pod autoscaler triggered at 70 % CPU, ensuring zero-downtime during harvest season spike.</w:t>
      </w:r>
    </w:p>
    <w:p>
      <w:pPr>
        <w:pStyle w:val="Heading2"/>
      </w:pPr>
      <w:r>
        <w:t>Offline-First Progressive Web App for Patwaris</w:t>
      </w:r>
    </w:p>
    <w:p>
      <w:pPr>
        <w:spacing w:after="120"/>
        <w:jc w:val="both"/>
      </w:pPr>
      <w:r>
        <w:t>Develop React-PWA with 512 kb gzipped bundle, caching 30-day data via IndexedDB for 100 % offline functionality. Provide bilingual Hindi-English UI with talk-back, 120 dpi field icons and one-hand gesture navigation for 5.5-inch phones. Integrate ML-kit barcode scanner to read QR-coded khasra plates, auto-populate crop survey forms in 4 seconds. Enable drone-media drag-drop, annotate pests, upload on 4G, resume on Wi-Fi, cutting sync time by 70 %.</w:t>
      </w:r>
    </w:p>
    <w:p>
      <w:pPr>
        <w:pStyle w:val="Heading2"/>
      </w:pPr>
      <w:r>
        <w:t>AI-Driven Anomaly &amp; Fraud Detection Layer</w:t>
      </w:r>
    </w:p>
    <w:p>
      <w:pPr>
        <w:spacing w:after="120"/>
        <w:jc w:val="both"/>
      </w:pPr>
      <w:r>
        <w:t>Train isolation-forest ensemble on 3-year historical crop acreage, detect 1.5 IQR outliers indicating benami splits. Compare drone-derived plot area with textual jamabandi; trigger SMS alert when deviation exceeds 2 % threshold. Run face liveness check during mutation e-signature, match against Aadhaar photo using AWS Rekognition with 99 % accuracy. Maintain immutable audit log on Hyperledger Fabric, time-stamping every mutation hash, preventing retroactive tampering.</w:t>
      </w:r>
    </w:p>
    <w:p>
      <w:pPr>
        <w:pStyle w:val="Heading2"/>
      </w:pPr>
      <w:r>
        <w:t>Stakeholder Integration &amp; Real-Time Dashboards</w:t>
      </w:r>
    </w:p>
    <w:p>
      <w:pPr>
        <w:spacing w:after="120"/>
        <w:jc w:val="both"/>
      </w:pPr>
      <w:r>
        <w:t>Expose Kafka topic for crop-area events; subscribe by e-PM-KISAN, crop-insurance and RBI credit-rating engines. Build Power-BI dashboard with RLS, showing live drone sortie progress, acreage validated and pending grievances. Auto-email weekly anomaly report to Collector, list top 10 villages with acreage variance, recommend field visits. Offer public Grafana view, anonymised at village level, boosting citizen trust and reducing RTI petitions by 35 %.</w:t>
      </w:r>
    </w:p>
    <w:p>
      <w:pPr>
        <w:pStyle w:val="Heading2"/>
      </w:pPr>
      <w:r>
        <w:t>Capacity Building &amp; Change-Management Program</w:t>
      </w:r>
    </w:p>
    <w:p>
      <w:pPr>
        <w:spacing w:after="120"/>
        <w:jc w:val="both"/>
      </w:pPr>
      <w:r>
        <w:t>Conduct 5-day residential bootcamps for 1 200 patwaris, hands-on drone simulator, VR-based hazard training. Publish e-learning nano-videos (3 min) on YouTube, track completion via DIKSHA portal, issue blockchain certificates. Create Patwari Champions network; each graduate trains 10 peers, achieving 90 % digital literacy in 6 months. Establish 24×7 toll-free helpline, IVR in Hindi, integrate Jio-chatbot, maintain &lt;30 s pickup, 95 % FCR target.</w:t>
      </w:r>
    </w:p>
    <w:p>
      <w:bookmarkStart w:id="1" w:name="sec_architecture_diagram"/>
      <w:pPr>
        <w:pStyle w:val="Heading1"/>
      </w:pPr>
      <w:r>
        <w:t>Architecture Diagram</w:t>
      </w:r>
      <w:bookmarkEnd w:id="1"/>
    </w:p>
    <w:p>
      <w:r>
        <w:t>Architecture Diagram (Mermaid code fallback):</w:t>
      </w:r>
    </w:p>
    <w:p>
      <w:r>
        <w:t>flowchart TD</w:t>
        <w:br/>
        <w:t>subgraph Client</w:t>
        <w:br/>
        <w:t xml:space="preserve">        A[Progressive Web App&lt;br/&gt;React Offline-First]</w:t>
        <w:br/>
        <w:t xml:space="preserve">        B[Android Kiosk&lt;br/&gt;Mutation Counter]</w:t>
        <w:br/>
        <w:t xml:space="preserve">    end</w:t>
        <w:br/>
        <w:t>subgraph Edge</w:t>
        <w:br/>
        <w:t xml:space="preserve">        C[DJI Matrice 300&lt;br/&gt;RTK Drone]</w:t>
        <w:br/>
        <w:t xml:space="preserve">        D[Jetson Xavier NX&lt;br/&gt;Edge AI]</w:t>
        <w:br/>
        <w:t xml:space="preserve">        E[Tablet Controller&lt;br/&gt;Telemetry]</w:t>
        <w:br/>
        <w:t xml:space="preserve">    end</w:t>
        <w:br/>
        <w:t>subgraph Gateway</w:t>
        <w:br/>
        <w:t xml:space="preserve">        F[API Gateway&lt;br/&gt;Istio Ingress]</w:t>
        <w:br/>
        <w:t xml:space="preserve">        G[OAuth Node2.Node0&lt;br/&gt;Keycloak]</w:t>
        <w:br/>
        <w:t xml:space="preserve">        H[Rate Limiter&lt;br/&gt;Redis]</w:t>
        <w:br/>
        <w:t xml:space="preserve">    end</w:t>
        <w:br/>
        <w:t>subgraph Services</w:t>
        <w:br/>
        <w:t xml:space="preserve">        I[Crop Service&lt;br/&gt;Spring Boot]</w:t>
        <w:br/>
        <w:t xml:space="preserve">        J[Spatial Service&lt;br/&gt;PostGIS]</w:t>
        <w:br/>
        <w:t xml:space="preserve">        K[Media Service&lt;br/&gt;MinIO]</w:t>
        <w:br/>
        <w:t xml:space="preserve">        L[Audit Service&lt;br/&gt;Hyperledger]</w:t>
        <w:br/>
        <w:t xml:space="preserve">        M[AI Anomaly&lt;br/&gt;Python FastAPI]</w:t>
        <w:br/>
        <w:t xml:space="preserve">    end</w:t>
        <w:br/>
        <w:t>subgraph Data</w:t>
        <w:br/>
        <w:t xml:space="preserve">        N[(Primary PostgreSQL</w:t>
        <w:br/>
        <w:t>&lt;br/&gt;HA Cluster)]</w:t>
        <w:br/>
        <w:t xml:space="preserve">        O[(Spatial PostGIS</w:t>
        <w:br/>
        <w:t>&lt;br/&gt;Partitioned)]</w:t>
        <w:br/>
        <w:t xml:space="preserve">        P[(Object Store</w:t>
        <w:br/>
        <w:t>&lt;br/&gt;S3-Compatible)]</w:t>
        <w:br/>
        <w:t xml:space="preserve">        Q[(ElasticSearch</w:t>
        <w:br/>
        <w:t>&lt;br/&gt;Full-Text)]</w:t>
        <w:br/>
        <w:t xml:space="preserve">    end</w:t>
        <w:br/>
        <w:t>subgraph Infrastructure</w:t>
        <w:br/>
        <w:t xml:space="preserve">        R[K8s Cluster&lt;br/&gt;Bare-Metal]</w:t>
        <w:br/>
        <w:t xml:space="preserve">        S[Prometheus&lt;br/&gt;Grafana]</w:t>
        <w:br/>
        <w:t xml:space="preserve">        T[Kafka&lt;br/&gt;Streaming]</w:t>
        <w:br/>
        <w:t xml:space="preserve">        U[Backup&lt;br/&gt;Velero)]</w:t>
        <w:br/>
        <w:t xml:space="preserve">    end</w:t>
        <w:br/>
        <w:t xml:space="preserve">    C --&gt;|RTK Stream| D</w:t>
        <w:br/>
        <w:t xml:space="preserve">    D --&gt;|AI Tiles| E</w:t>
        <w:br/>
        <w:t xml:space="preserve">    E --&gt;|HTTPS| F</w:t>
        <w:br/>
        <w:t xml:space="preserve">    A --&gt;|GraphQL| F</w:t>
        <w:br/>
        <w:t xml:space="preserve">    B --&gt;|REST| F</w:t>
        <w:br/>
        <w:t xml:space="preserve">    F --&gt; G</w:t>
        <w:br/>
        <w:t xml:space="preserve">    G --&gt; H</w:t>
        <w:br/>
        <w:t xml:space="preserve">    H --&gt; I</w:t>
        <w:br/>
        <w:t xml:space="preserve">    I --&gt; N</w:t>
        <w:br/>
        <w:t xml:space="preserve">    I --&gt; T</w:t>
        <w:br/>
        <w:t xml:space="preserve">    J --&gt; O</w:t>
        <w:br/>
        <w:t xml:space="preserve">    K --&gt; P</w:t>
        <w:br/>
        <w:t xml:space="preserve">    L --&gt; R</w:t>
        <w:br/>
        <w:t xml:space="preserve">    M --&gt;|Anomaly Events| T</w:t>
        <w:br/>
        <w:t xml:space="preserve">    T --&gt;|Kafka Topic| S</w:t>
        <w:br/>
        <w:t xml:space="preserve">    R --&gt; U</w:t>
        <w:br/>
        <w:t xml:space="preserve">    S --&gt;|Alerts| A</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Matrice 300 RTK</w:t>
            </w:r>
          </w:p>
        </w:tc>
        <w:tc>
          <w:tcPr>
            <w:tcW w:type="dxa" w:w="2880"/>
            <w:vAlign w:val="top"/>
          </w:tcPr>
          <w:p>
            <w:pPr>
              <w:spacing w:after="120"/>
              <w:jc w:val="left"/>
            </w:pPr>
            <w:r>
              <w:t>NVIDIA Jetson Xavier NX</w:t>
            </w:r>
          </w:p>
        </w:tc>
        <w:tc>
          <w:tcPr>
            <w:tcW w:type="dxa" w:w="2880"/>
            <w:vAlign w:val="top"/>
          </w:tcPr>
          <w:p>
            <w:pPr>
              <w:spacing w:after="120"/>
              <w:jc w:val="left"/>
            </w:pPr>
            <w:r>
              <w:t>TensorRT</w:t>
            </w:r>
          </w:p>
        </w:tc>
      </w:tr>
      <w:tr>
        <w:tc>
          <w:tcPr>
            <w:tcW w:type="dxa" w:w="2880"/>
            <w:vAlign w:val="top"/>
          </w:tcPr>
          <w:p>
            <w:pPr>
              <w:spacing w:after="120"/>
              <w:jc w:val="left"/>
            </w:pPr>
            <w:r>
              <w:t>U-Net</w:t>
            </w:r>
          </w:p>
        </w:tc>
        <w:tc>
          <w:tcPr>
            <w:tcW w:type="dxa" w:w="2880"/>
            <w:vAlign w:val="top"/>
          </w:tcPr>
          <w:p>
            <w:pPr>
              <w:spacing w:after="120"/>
              <w:jc w:val="left"/>
            </w:pPr>
            <w:r>
              <w:t>React-PWA</w:t>
            </w:r>
          </w:p>
        </w:tc>
        <w:tc>
          <w:tcPr>
            <w:tcW w:type="dxa" w:w="2880"/>
            <w:vAlign w:val="top"/>
          </w:tcPr>
          <w:p>
            <w:pPr>
              <w:spacing w:after="120"/>
              <w:jc w:val="left"/>
            </w:pPr>
            <w:r>
              <w:t>Spring Boot</w:t>
            </w:r>
          </w:p>
        </w:tc>
      </w:tr>
      <w:tr>
        <w:tc>
          <w:tcPr>
            <w:tcW w:type="dxa" w:w="2880"/>
            <w:vAlign w:val="top"/>
          </w:tcPr>
          <w:p>
            <w:pPr>
              <w:spacing w:after="120"/>
              <w:jc w:val="left"/>
            </w:pPr>
            <w:r>
              <w:t>PostgreSQL</w:t>
            </w:r>
          </w:p>
        </w:tc>
        <w:tc>
          <w:tcPr>
            <w:tcW w:type="dxa" w:w="2880"/>
            <w:vAlign w:val="top"/>
          </w:tcPr>
          <w:p>
            <w:pPr>
              <w:spacing w:after="120"/>
              <w:jc w:val="left"/>
            </w:pPr>
            <w:r>
              <w:t>PostGIS</w:t>
            </w:r>
          </w:p>
        </w:tc>
        <w:tc>
          <w:tcPr>
            <w:tcW w:type="dxa" w:w="2880"/>
            <w:vAlign w:val="top"/>
          </w:tcPr>
          <w:p>
            <w:pPr>
              <w:spacing w:after="120"/>
              <w:jc w:val="left"/>
            </w:pPr>
            <w:r>
              <w:t>MinIO</w:t>
            </w:r>
          </w:p>
        </w:tc>
      </w:tr>
      <w:tr>
        <w:tc>
          <w:tcPr>
            <w:tcW w:type="dxa" w:w="2880"/>
            <w:vAlign w:val="top"/>
          </w:tcPr>
          <w:p>
            <w:pPr>
              <w:spacing w:after="120"/>
              <w:jc w:val="left"/>
            </w:pPr>
            <w:r>
              <w:t>Elasticsearch</w:t>
            </w:r>
          </w:p>
        </w:tc>
        <w:tc>
          <w:tcPr>
            <w:tcW w:type="dxa" w:w="2880"/>
            <w:vAlign w:val="top"/>
          </w:tcPr>
          <w:p>
            <w:pPr>
              <w:spacing w:after="120"/>
              <w:jc w:val="left"/>
            </w:pPr>
            <w:r>
              <w:t>Kafka</w:t>
            </w:r>
          </w:p>
        </w:tc>
        <w:tc>
          <w:tcPr>
            <w:tcW w:type="dxa" w:w="2880"/>
            <w:vAlign w:val="top"/>
          </w:tcPr>
          <w:p>
            <w:pPr>
              <w:spacing w:after="120"/>
              <w:jc w:val="left"/>
            </w:pPr>
            <w:r>
              <w:t>Kubernetes</w:t>
            </w:r>
          </w:p>
        </w:tc>
      </w:tr>
      <w:tr>
        <w:tc>
          <w:tcPr>
            <w:tcW w:type="dxa" w:w="2880"/>
            <w:vAlign w:val="top"/>
          </w:tcPr>
          <w:p>
            <w:pPr>
              <w:spacing w:after="120"/>
              <w:jc w:val="left"/>
            </w:pPr>
            <w:r>
              <w:t>Istio</w:t>
            </w:r>
          </w:p>
        </w:tc>
        <w:tc>
          <w:tcPr>
            <w:tcW w:type="dxa" w:w="2880"/>
            <w:vAlign w:val="top"/>
          </w:tcPr>
          <w:p>
            <w:pPr>
              <w:spacing w:after="120"/>
              <w:jc w:val="left"/>
            </w:pPr>
            <w:r>
              <w:t>Keycloak</w:t>
            </w:r>
          </w:p>
        </w:tc>
        <w:tc>
          <w:tcPr>
            <w:tcW w:type="dxa" w:w="2880"/>
            <w:vAlign w:val="top"/>
          </w:tcPr>
          <w:p>
            <w:pPr>
              <w:spacing w:after="120"/>
              <w:jc w:val="left"/>
            </w:pPr>
            <w:r>
              <w:t>Redis</w:t>
            </w:r>
          </w:p>
        </w:tc>
      </w:tr>
      <w:tr>
        <w:tc>
          <w:tcPr>
            <w:tcW w:type="dxa" w:w="2880"/>
            <w:vAlign w:val="top"/>
          </w:tcPr>
          <w:p>
            <w:pPr>
              <w:spacing w:after="120"/>
              <w:jc w:val="left"/>
            </w:pPr>
            <w:r>
              <w:t>Hyperledger Fabric</w:t>
            </w:r>
          </w:p>
        </w:tc>
        <w:tc>
          <w:tcPr>
            <w:tcW w:type="dxa" w:w="2880"/>
            <w:vAlign w:val="top"/>
          </w:tcPr>
          <w:p>
            <w:pPr>
              <w:spacing w:after="120"/>
              <w:jc w:val="left"/>
            </w:pPr>
            <w:r>
              <w:t>Prometheus</w:t>
            </w:r>
          </w:p>
        </w:tc>
        <w:tc>
          <w:tcPr>
            <w:tcW w:type="dxa" w:w="2880"/>
            <w:vAlign w:val="top"/>
          </w:tcPr>
          <w:p>
            <w:pPr>
              <w:spacing w:after="120"/>
              <w:jc w:val="left"/>
            </w:pPr>
            <w:r>
              <w:t>Grafana</w:t>
            </w:r>
          </w:p>
        </w:tc>
      </w:tr>
      <w:tr>
        <w:tc>
          <w:tcPr>
            <w:tcW w:type="dxa" w:w="2880"/>
            <w:vAlign w:val="top"/>
          </w:tcPr>
          <w:p>
            <w:pPr>
              <w:spacing w:after="120"/>
              <w:jc w:val="left"/>
            </w:pPr>
            <w:r>
              <w:t>GraphQL</w:t>
            </w:r>
          </w:p>
        </w:tc>
        <w:tc>
          <w:tcPr>
            <w:tcW w:type="dxa" w:w="2880"/>
            <w:vAlign w:val="top"/>
          </w:tcPr>
          <w:p>
            <w:pPr>
              <w:spacing w:after="120"/>
              <w:jc w:val="left"/>
            </w:pPr>
            <w:r>
              <w:t>OAuth 2.0</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Project Initiation &amp; Procurement</w:t>
            </w:r>
          </w:p>
        </w:tc>
        <w:tc>
          <w:tcPr>
            <w:tcW w:type="dxa" w:w="2880"/>
            <w:vAlign w:val="top"/>
          </w:tcPr>
          <w:p>
            <w:pPr>
              <w:spacing w:after="120"/>
              <w:jc w:val="left"/>
            </w:pPr>
            <w:r>
              <w:t>4 weeks</w:t>
            </w:r>
          </w:p>
        </w:tc>
        <w:tc>
          <w:tcPr>
            <w:tcW w:type="dxa" w:w="2880"/>
            <w:vAlign w:val="top"/>
          </w:tcPr>
          <w:p>
            <w:pPr>
              <w:spacing w:after="120"/>
              <w:jc w:val="left"/>
            </w:pPr>
            <w:r>
              <w:t>Form State Empowered Committee, float tenders for 40</w:t>
              <w:br/>
              <w:t>drones, tablets, cloud tenancy, award contracts. Conduct</w:t>
              <w:br/>
              <w:t>baseline survey of 3 pilot gram panchayats,</w:t>
              <w:br/>
              <w:t>establish 81 performance metrics and sign MoUs.</w:t>
            </w:r>
          </w:p>
        </w:tc>
      </w:tr>
      <w:tr>
        <w:tc>
          <w:tcPr>
            <w:tcW w:type="dxa" w:w="2880"/>
            <w:vAlign w:val="top"/>
          </w:tcPr>
          <w:p>
            <w:pPr>
              <w:spacing w:after="120"/>
              <w:jc w:val="left"/>
            </w:pPr>
            <w:r>
              <w:t>Phase 2: Infrastructure &amp; DevSecOps</w:t>
            </w:r>
          </w:p>
        </w:tc>
        <w:tc>
          <w:tcPr>
            <w:tcW w:type="dxa" w:w="2880"/>
            <w:vAlign w:val="top"/>
          </w:tcPr>
          <w:p>
            <w:pPr>
              <w:spacing w:after="120"/>
              <w:jc w:val="left"/>
            </w:pPr>
            <w:r>
              <w:t>6 weeks</w:t>
            </w:r>
          </w:p>
        </w:tc>
        <w:tc>
          <w:tcPr>
            <w:tcW w:type="dxa" w:w="2880"/>
            <w:vAlign w:val="top"/>
          </w:tcPr>
          <w:p>
            <w:pPr>
              <w:spacing w:after="120"/>
              <w:jc w:val="left"/>
            </w:pPr>
            <w:r>
              <w:t>Setup on-prem K8s cluster, CI/CD, Prometheus, implement</w:t>
              <w:br/>
              <w:t>Istio mTLS, integrate HSM for e-Sign. Configure</w:t>
              <w:br/>
              <w:t>PostGIS spatial DB partitions, establish 30-day</w:t>
              <w:br/>
              <w:t>backup policy and DR drill checklist.</w:t>
            </w:r>
          </w:p>
        </w:tc>
      </w:tr>
      <w:tr>
        <w:tc>
          <w:tcPr>
            <w:tcW w:type="dxa" w:w="2880"/>
            <w:vAlign w:val="top"/>
          </w:tcPr>
          <w:p>
            <w:pPr>
              <w:spacing w:after="120"/>
              <w:jc w:val="left"/>
            </w:pPr>
            <w:r>
              <w:t>Phase 3: Drone &amp; Edge AI Integration</w:t>
            </w:r>
          </w:p>
        </w:tc>
        <w:tc>
          <w:tcPr>
            <w:tcW w:type="dxa" w:w="2880"/>
            <w:vAlign w:val="top"/>
          </w:tcPr>
          <w:p>
            <w:pPr>
              <w:spacing w:after="120"/>
              <w:jc w:val="left"/>
            </w:pPr>
            <w:r>
              <w:t>8 weeks</w:t>
            </w:r>
          </w:p>
        </w:tc>
        <w:tc>
          <w:tcPr>
            <w:tcW w:type="dxa" w:w="2880"/>
            <w:vAlign w:val="top"/>
          </w:tcPr>
          <w:p>
            <w:pPr>
              <w:spacing w:after="120"/>
              <w:jc w:val="left"/>
            </w:pPr>
            <w:r>
              <w:t>Calibrate RTK base stations, integrate PPK post-processing pipeline,</w:t>
              <w:br/>
              <w:t>flash U-Net model on Jetson. Achieve 2</w:t>
              <w:br/>
              <w:t>cm CE90 orthomosaic accuracy, auto-segment 12 crops</w:t>
              <w:br/>
              <w:t>with 92 % IoU on validation set.</w:t>
            </w:r>
          </w:p>
        </w:tc>
      </w:tr>
      <w:tr>
        <w:tc>
          <w:tcPr>
            <w:tcW w:type="dxa" w:w="2880"/>
            <w:vAlign w:val="top"/>
          </w:tcPr>
          <w:p>
            <w:pPr>
              <w:spacing w:after="120"/>
              <w:jc w:val="left"/>
            </w:pPr>
            <w:r>
              <w:t>Phase 4: PWA Development &amp; UAT</w:t>
            </w:r>
          </w:p>
        </w:tc>
        <w:tc>
          <w:tcPr>
            <w:tcW w:type="dxa" w:w="2880"/>
            <w:vAlign w:val="top"/>
          </w:tcPr>
          <w:p>
            <w:pPr>
              <w:spacing w:after="120"/>
              <w:jc w:val="left"/>
            </w:pPr>
            <w:r>
              <w:t>8 weeks</w:t>
            </w:r>
          </w:p>
        </w:tc>
        <w:tc>
          <w:tcPr>
            <w:tcW w:type="dxa" w:w="2880"/>
            <w:vAlign w:val="top"/>
          </w:tcPr>
          <w:p>
            <w:pPr>
              <w:spacing w:after="120"/>
              <w:jc w:val="left"/>
            </w:pPr>
            <w:r>
              <w:t>Develop offline-first PWA, implement bilingual UI, conduct</w:t>
              <w:br/>
              <w:t>50-user UAT, achieve 85 % SUS score.</w:t>
              <w:br/>
              <w:t>Integrate QR scanner, mutation e-signature, resolve 95</w:t>
              <w:br/>
              <w:t>% critical bugs before state-wide rollout.</w:t>
            </w:r>
          </w:p>
        </w:tc>
      </w:tr>
      <w:tr>
        <w:tc>
          <w:tcPr>
            <w:tcW w:type="dxa" w:w="2880"/>
            <w:vAlign w:val="top"/>
          </w:tcPr>
          <w:p>
            <w:pPr>
              <w:spacing w:after="120"/>
              <w:jc w:val="left"/>
            </w:pPr>
            <w:r>
              <w:t>Phase 5: Pilot Rollout &amp; Training</w:t>
            </w:r>
          </w:p>
        </w:tc>
        <w:tc>
          <w:tcPr>
            <w:tcW w:type="dxa" w:w="2880"/>
            <w:vAlign w:val="top"/>
          </w:tcPr>
          <w:p>
            <w:pPr>
              <w:spacing w:after="120"/>
              <w:jc w:val="left"/>
            </w:pPr>
            <w:r>
              <w:t>6 weeks</w:t>
            </w:r>
          </w:p>
        </w:tc>
        <w:tc>
          <w:tcPr>
            <w:tcW w:type="dxa" w:w="2880"/>
            <w:vAlign w:val="top"/>
          </w:tcPr>
          <w:p>
            <w:pPr>
              <w:spacing w:after="120"/>
              <w:jc w:val="left"/>
            </w:pPr>
            <w:r>
              <w:t>Deploy in 3 tahsils, train 120 patwaris, capture</w:t>
              <w:br/>
              <w:t>15 000 field images, validate against manual records.</w:t>
              <w:br/>
              <w:t>Demonstrate 5-day Girdawari completion, reduce data entry</w:t>
              <w:br/>
              <w:t>errors to &lt;0.5 %, obtain go-live approval.</w:t>
            </w:r>
          </w:p>
        </w:tc>
      </w:tr>
      <w:tr>
        <w:tc>
          <w:tcPr>
            <w:tcW w:type="dxa" w:w="2880"/>
            <w:vAlign w:val="top"/>
          </w:tcPr>
          <w:p>
            <w:pPr>
              <w:spacing w:after="120"/>
              <w:jc w:val="left"/>
            </w:pPr>
            <w:r>
              <w:t>Phase 6: State-Wide Scale-Up</w:t>
            </w:r>
          </w:p>
        </w:tc>
        <w:tc>
          <w:tcPr>
            <w:tcW w:type="dxa" w:w="2880"/>
            <w:vAlign w:val="top"/>
          </w:tcPr>
          <w:p>
            <w:pPr>
              <w:spacing w:after="120"/>
              <w:jc w:val="left"/>
            </w:pPr>
            <w:r>
              <w:t>12 weeks</w:t>
            </w:r>
          </w:p>
        </w:tc>
        <w:tc>
          <w:tcPr>
            <w:tcW w:type="dxa" w:w="2880"/>
            <w:vAlign w:val="top"/>
          </w:tcPr>
          <w:p>
            <w:pPr>
              <w:spacing w:after="120"/>
              <w:jc w:val="left"/>
            </w:pPr>
            <w:r>
              <w:t>Expand to 41 tahsils, procure 40 drones, onboard</w:t>
              <w:br/>
              <w:t>1 200 patwaris, integrate e-PM-KISAN APIs. Process 1</w:t>
              <w:br/>
              <w:t>M khasra records, maintain 99.5 % uptime, cut</w:t>
              <w:br/>
              <w:t>average survey time from 300 to 7 man-days.</w:t>
            </w:r>
          </w:p>
        </w:tc>
      </w:tr>
      <w:tr>
        <w:tc>
          <w:tcPr>
            <w:tcW w:type="dxa" w:w="2880"/>
            <w:vAlign w:val="top"/>
          </w:tcPr>
          <w:p>
            <w:pPr>
              <w:spacing w:after="120"/>
              <w:jc w:val="left"/>
            </w:pPr>
            <w:r>
              <w:t>Phase 7: Hypercare &amp; Optimisation</w:t>
            </w:r>
          </w:p>
        </w:tc>
        <w:tc>
          <w:tcPr>
            <w:tcW w:type="dxa" w:w="2880"/>
            <w:vAlign w:val="top"/>
          </w:tcPr>
          <w:p>
            <w:pPr>
              <w:spacing w:after="120"/>
              <w:jc w:val="left"/>
            </w:pPr>
            <w:r>
              <w:t>8 weeks</w:t>
            </w:r>
          </w:p>
        </w:tc>
        <w:tc>
          <w:tcPr>
            <w:tcW w:type="dxa" w:w="2880"/>
            <w:vAlign w:val="top"/>
          </w:tcPr>
          <w:p>
            <w:pPr>
              <w:spacing w:after="120"/>
              <w:jc w:val="left"/>
            </w:pPr>
            <w:r>
              <w:t>Tune AI model with statewide data, reduce anomaly</w:t>
              <w:br/>
              <w:t>false positives to &lt;3 %, publish citizen dashboard.</w:t>
              <w:br/>
              <w:t>Transition to SLA-based AMC, achieve 30 %</w:t>
              <w:br/>
              <w:t>cost savings via predictive maintenance and autoscaling.</w:t>
            </w:r>
          </w:p>
        </w:tc>
      </w:tr>
    </w:tbl>
    <w:p>
      <w:bookmarkStart w:id="None" w:name="sec_objectives"/>
      <w:pPr>
        <w:pStyle w:val="Heading1"/>
      </w:pPr>
      <w:r>
        <w:t>Objectives</w:t>
      </w:r>
      <w:bookmarkEnd w:id="None"/>
    </w:p>
    <w:p>
      <w:pPr>
        <w:pStyle w:val="ListBullet"/>
      </w:pPr>
      <w:r>
        <w:t>Reduce Girdawari cycle per Gram Panchayat from 300</w:t>
        <w:br/>
        <w:t>man-days to 7 man-days while maintaining 99</w:t>
        <w:br/>
        <w:t>% data accuracy. Achieve 2 cm CE90</w:t>
        <w:br/>
        <w:t>spatial accuracy for 100 % khasra boundaries</w:t>
        <w:br/>
        <w:t>using survey-grade RTK drones and PPK correction.</w:t>
      </w:r>
    </w:p>
    <w:p>
      <w:pPr>
        <w:pStyle w:val="ListBullet"/>
      </w:pPr>
      <w:r>
        <w:t>Digitise and AI-validate 5 M khasra crop</w:t>
        <w:br/>
        <w:t>records statewide within one crop season, eliminating</w:t>
        <w:br/>
        <w:t>paper ledgers. Enable real-time mutation workflow, cutting</w:t>
        <w:br/>
        <w:t>file approval time from 45 to 5</w:t>
        <w:br/>
        <w:t>days via e-signature and audit trail.</w:t>
      </w:r>
    </w:p>
    <w:p>
      <w:pPr>
        <w:pStyle w:val="ListBullet"/>
      </w:pPr>
      <w:r>
        <w:t>Increase crop-area fraud detection rate to 95</w:t>
        <w:br/>
        <w:t>% by comparing drone-derived acreage with</w:t>
        <w:br/>
        <w:t>textual jamabandi entries. Provide offline-first bilingual</w:t>
        <w:br/>
        <w:t>PWA, empowering 1 200 patwaris to</w:t>
        <w:br/>
        <w:t>survey without 4G, syncing when reachable.</w:t>
      </w:r>
    </w:p>
    <w:p>
      <w:pPr>
        <w:pStyle w:val="ListBullet"/>
      </w:pPr>
      <w:r>
        <w:t>Lower survey cost per field from ₹25</w:t>
        <w:br/>
        <w:t>to ₹8 via drone automation, cloud analytics</w:t>
        <w:br/>
        <w:t>and predictive maintenance. Ensure 100 %</w:t>
        <w:br/>
        <w:t>compliance with DGCA, MoEF and state</w:t>
        <w:br/>
        <w:t>drone regulations, achieving zero not-fly-zone violations.</w:t>
      </w:r>
    </w:p>
    <w:p>
      <w:pPr>
        <w:pStyle w:val="ListBullet"/>
      </w:pPr>
      <w:r>
        <w:t>Integrate with e-PM-KISAN, crop-insurance and land-bank</w:t>
        <w:br/>
        <w:t>portals via Kafka APIs, enabling subsidy</w:t>
        <w:br/>
        <w:t>auto-disbursement. Publish open dashboard, cutting citizen</w:t>
        <w:br/>
        <w:t>RTI petitions by 40 % and</w:t>
        <w:br/>
        <w:t>increasing trust in land-record transparency.</w:t>
      </w:r>
    </w:p>
    <w:p>
      <w:pPr>
        <w:pStyle w:val="ListBullet"/>
      </w:pPr>
      <w:r>
        <w:t>Train 90 % patwaris in digital literacy within</w:t>
        <w:br/>
        <w:t>6 months, create 200 Patwari Champions, achieve</w:t>
        <w:br/>
        <w:t>85 % SUS score. Maintain system availability</w:t>
        <w:br/>
        <w:t>99.5 % during peak harvest season, scaling</w:t>
        <w:br/>
        <w:t>to 10 000 concurrent users without degradation.</w:t>
      </w:r>
    </w:p>
    <w:p>
      <w:pPr>
        <w:pStyle w:val="ListBullet"/>
      </w:pPr>
      <w:r>
        <w:t>Establish immutable blockchain audit trail for</w:t>
        <w:br/>
        <w:t>every mutation, preventing retroactive tampering and</w:t>
        <w:br/>
        <w:t>legal disputes. Achieve 30 % reduction</w:t>
        <w:br/>
        <w:t>in land-related litigation by providing high-resolution</w:t>
        <w:br/>
        <w:t>drone evidence acceptable in court.</w:t>
      </w:r>
    </w:p>
    <w:p>
      <w:bookmarkStart w:id="None" w:name="sec_acceptance_criteria"/>
      <w:pPr>
        <w:pStyle w:val="Heading1"/>
      </w:pPr>
      <w:r>
        <w:t>Acceptance Criteria</w:t>
      </w:r>
      <w:bookmarkEnd w:id="None"/>
    </w:p>
    <w:p>
      <w:pPr>
        <w:pStyle w:val="ListBullet"/>
      </w:pPr>
      <w:r>
        <w:t>Drone-derived orthomosaic achieves ≤2 cm RMSE against 20 state-survey GCPs in pilot</w:t>
        <w:br/>
        <w:t>tahsils. AI crop-classification IoU ≥92 % on 12 crops validated against 1</w:t>
        <w:br/>
        <w:t>000 ground-truth polygons. PWA supports 100 % offline data entry, syncs</w:t>
        <w:br/>
        <w:t>within 30 s on 4G, passes 99 % end-to-end UAT scripts.</w:t>
      </w:r>
    </w:p>
    <w:p>
      <w:pPr>
        <w:pStyle w:val="ListBullet"/>
      </w:pPr>
      <w:r>
        <w:t>System processes 5 000 khasra mutations/day with p99 latency</w:t>
        <w:br/>
        <w:t>&lt;2 s, zero data loss under failover test. E-signature</w:t>
        <w:br/>
        <w:t>HSM token validates Aadhaar face match ≥99 %</w:t>
        <w:br/>
        <w:t>with liveness detection, completing mutation in &lt;5 min.</w:t>
      </w:r>
    </w:p>
    <w:p>
      <w:pPr>
        <w:pStyle w:val="ListBullet"/>
      </w:pPr>
      <w:r>
        <w:t>Anomaly engine flags acreage deviation &gt;2 % with</w:t>
        <w:br/>
        <w:t>95 % precision, sends SMS alert within 5</w:t>
        <w:br/>
        <w:t>minutes. Citizen dashboard loads ≤1 s, displays village-level</w:t>
        <w:br/>
        <w:t>acreage summary, reduces RTI petitions by 40 %.</w:t>
      </w:r>
    </w:p>
    <w:p>
      <w:pPr>
        <w:pStyle w:val="ListBullet"/>
      </w:pPr>
      <w:r>
        <w:t>Training completion rate ≥90 % patwaris, post-test score</w:t>
        <w:br/>
        <w:t>≥80 %, champion cascade trains 10 peers each.</w:t>
        <w:br/>
        <w:t>Helpdesk answers 95 % calls within 30 s,</w:t>
        <w:br/>
        <w:t>first-call resolution 85 %, satisfaction score ≥4.5/5.</w:t>
      </w:r>
    </w:p>
    <w:p>
      <w:pPr>
        <w:pStyle w:val="ListBullet"/>
      </w:pPr>
      <w:r>
        <w:t>System achieves 99.5 % uptime measured by Prometheus,</w:t>
        <w:br/>
        <w:t>withstands 10 000 concurrent users during harvest. Backup</w:t>
        <w:br/>
        <w:t>restore RPO ≤15 min, RTO ≤1 hr, passes</w:t>
        <w:br/>
        <w:t>quarterly DR drill with zero data corruption.</w:t>
      </w:r>
    </w:p>
    <w:p>
      <w:pPr>
        <w:pStyle w:val="ListBullet"/>
      </w:pPr>
      <w:r>
        <w:t>Survey cost per field ≤₹8, total project ROI</w:t>
        <w:br/>
        <w:t>positive within 18 months via subsidy disbursement savings.</w:t>
        <w:br/>
        <w:t>DGCA compliance 100 %, zero not-fly-zone breaches,</w:t>
        <w:br/>
        <w:t>maintains public liability insurance of ₹10 crore.</w:t>
      </w:r>
    </w:p>
    <w:p>
      <w:pPr>
        <w:pStyle w:val="ListBullet"/>
      </w:pPr>
      <w:r>
        <w:t>Immutable audit trail stores SHA-256 hashes on Hyperledger,</w:t>
        <w:br/>
        <w:t>verifies tamper evidence with 100 % success. Legal</w:t>
        <w:br/>
        <w:t>validity: drone imagery accepted as evidence in 10</w:t>
        <w:br/>
        <w:t>civil suits, reducing litigation duration by 30 %.</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Director</w:t>
            </w:r>
          </w:p>
        </w:tc>
        <w:tc>
          <w:tcPr>
            <w:tcW w:type="dxa" w:w="2160"/>
            <w:vAlign w:val="top"/>
          </w:tcPr>
          <w:p>
            <w:pPr>
              <w:spacing w:after="120"/>
              <w:jc w:val="left"/>
            </w:pPr>
            <w:r>
              <w:t>1</w:t>
            </w:r>
          </w:p>
        </w:tc>
        <w:tc>
          <w:tcPr>
            <w:tcW w:type="dxa" w:w="2160"/>
            <w:vAlign w:val="top"/>
          </w:tcPr>
          <w:p>
            <w:pPr>
              <w:spacing w:after="120"/>
              <w:jc w:val="left"/>
            </w:pPr>
            <w:r>
              <w:t>20</w:t>
            </w:r>
          </w:p>
        </w:tc>
        <w:tc>
          <w:tcPr>
            <w:tcW w:type="dxa" w:w="2160"/>
            <w:vAlign w:val="top"/>
          </w:tcPr>
          <w:p>
            <w:pPr>
              <w:spacing w:after="120"/>
              <w:jc w:val="left"/>
            </w:pPr>
            <w:r>
              <w:t>Overall governance, state liaison, budget control, risk management, steering committee reporting.</w:t>
            </w:r>
          </w:p>
        </w:tc>
      </w:tr>
      <w:tr>
        <w:tc>
          <w:tcPr>
            <w:tcW w:type="dxa" w:w="2160"/>
            <w:vAlign w:val="top"/>
          </w:tcPr>
          <w:p>
            <w:pPr>
              <w:spacing w:after="120"/>
              <w:jc w:val="left"/>
            </w:pPr>
            <w:r>
              <w:t>Solution Architect</w:t>
            </w:r>
          </w:p>
        </w:tc>
        <w:tc>
          <w:tcPr>
            <w:tcW w:type="dxa" w:w="2160"/>
            <w:vAlign w:val="top"/>
          </w:tcPr>
          <w:p>
            <w:pPr>
              <w:spacing w:after="120"/>
              <w:jc w:val="left"/>
            </w:pPr>
            <w:r>
              <w:t>1</w:t>
            </w:r>
          </w:p>
        </w:tc>
        <w:tc>
          <w:tcPr>
            <w:tcW w:type="dxa" w:w="2160"/>
            <w:vAlign w:val="top"/>
          </w:tcPr>
          <w:p>
            <w:pPr>
              <w:spacing w:after="120"/>
              <w:jc w:val="left"/>
            </w:pPr>
            <w:r>
              <w:t>15</w:t>
            </w:r>
          </w:p>
        </w:tc>
        <w:tc>
          <w:tcPr>
            <w:tcW w:type="dxa" w:w="2160"/>
            <w:vAlign w:val="top"/>
          </w:tcPr>
          <w:p>
            <w:pPr>
              <w:spacing w:after="120"/>
              <w:jc w:val="left"/>
            </w:pPr>
            <w:r>
              <w:t>Design drone-cloud AI system, define APIs, ensure scalability, security and regulatory compliance.</w:t>
            </w:r>
          </w:p>
        </w:tc>
      </w:tr>
      <w:tr>
        <w:tc>
          <w:tcPr>
            <w:tcW w:type="dxa" w:w="2160"/>
            <w:vAlign w:val="top"/>
          </w:tcPr>
          <w:p>
            <w:pPr>
              <w:spacing w:after="120"/>
              <w:jc w:val="left"/>
            </w:pPr>
            <w:r>
              <w:t>Drone Operations Lead</w:t>
            </w:r>
          </w:p>
        </w:tc>
        <w:tc>
          <w:tcPr>
            <w:tcW w:type="dxa" w:w="2160"/>
            <w:vAlign w:val="top"/>
          </w:tcPr>
          <w:p>
            <w:pPr>
              <w:spacing w:after="120"/>
              <w:jc w:val="left"/>
            </w:pPr>
            <w:r>
              <w:t>1</w:t>
            </w:r>
          </w:p>
        </w:tc>
        <w:tc>
          <w:tcPr>
            <w:tcW w:type="dxa" w:w="2160"/>
            <w:vAlign w:val="top"/>
          </w:tcPr>
          <w:p>
            <w:pPr>
              <w:spacing w:after="120"/>
              <w:jc w:val="left"/>
            </w:pPr>
            <w:r>
              <w:t>10</w:t>
            </w:r>
          </w:p>
        </w:tc>
        <w:tc>
          <w:tcPr>
            <w:tcW w:type="dxa" w:w="2160"/>
            <w:vAlign w:val="top"/>
          </w:tcPr>
          <w:p>
            <w:pPr>
              <w:spacing w:after="120"/>
              <w:jc w:val="left"/>
            </w:pPr>
            <w:r>
              <w:t>Plan sorties, manage RTK base stations, ensure DGCA compliance, train pilots, maintain fleet.</w:t>
            </w:r>
          </w:p>
        </w:tc>
      </w:tr>
      <w:tr>
        <w:tc>
          <w:tcPr>
            <w:tcW w:type="dxa" w:w="2160"/>
            <w:vAlign w:val="top"/>
          </w:tcPr>
          <w:p>
            <w:pPr>
              <w:spacing w:after="120"/>
              <w:jc w:val="left"/>
            </w:pPr>
            <w:r>
              <w:t>AI/ML Engineer</w:t>
            </w:r>
          </w:p>
        </w:tc>
        <w:tc>
          <w:tcPr>
            <w:tcW w:type="dxa" w:w="2160"/>
            <w:vAlign w:val="top"/>
          </w:tcPr>
          <w:p>
            <w:pPr>
              <w:spacing w:after="120"/>
              <w:jc w:val="left"/>
            </w:pPr>
            <w:r>
              <w:t>2</w:t>
            </w:r>
          </w:p>
        </w:tc>
        <w:tc>
          <w:tcPr>
            <w:tcW w:type="dxa" w:w="2160"/>
            <w:vAlign w:val="top"/>
          </w:tcPr>
          <w:p>
            <w:pPr>
              <w:spacing w:after="120"/>
              <w:jc w:val="left"/>
            </w:pPr>
            <w:r>
              <w:t>7</w:t>
            </w:r>
          </w:p>
        </w:tc>
        <w:tc>
          <w:tcPr>
            <w:tcW w:type="dxa" w:w="2160"/>
            <w:vAlign w:val="top"/>
          </w:tcPr>
          <w:p>
            <w:pPr>
              <w:spacing w:after="120"/>
              <w:jc w:val="left"/>
            </w:pPr>
            <w:r>
              <w:t>Develop crop segmentation models, optimise TensorRT, validate accuracy, retrain with statewide data.</w:t>
            </w:r>
          </w:p>
        </w:tc>
      </w:tr>
      <w:tr>
        <w:tc>
          <w:tcPr>
            <w:tcW w:type="dxa" w:w="2160"/>
            <w:vAlign w:val="top"/>
          </w:tcPr>
          <w:p>
            <w:pPr>
              <w:spacing w:after="120"/>
              <w:jc w:val="left"/>
            </w:pPr>
            <w:r>
              <w:t>Full-Stack Developer</w:t>
            </w:r>
          </w:p>
        </w:tc>
        <w:tc>
          <w:tcPr>
            <w:tcW w:type="dxa" w:w="2160"/>
            <w:vAlign w:val="top"/>
          </w:tcPr>
          <w:p>
            <w:pPr>
              <w:spacing w:after="120"/>
              <w:jc w:val="left"/>
            </w:pPr>
            <w:r>
              <w:t>4</w:t>
            </w:r>
          </w:p>
        </w:tc>
        <w:tc>
          <w:tcPr>
            <w:tcW w:type="dxa" w:w="2160"/>
            <w:vAlign w:val="top"/>
          </w:tcPr>
          <w:p>
            <w:pPr>
              <w:spacing w:after="120"/>
              <w:jc w:val="left"/>
            </w:pPr>
            <w:r>
              <w:t>5</w:t>
            </w:r>
          </w:p>
        </w:tc>
        <w:tc>
          <w:tcPr>
            <w:tcW w:type="dxa" w:w="2160"/>
            <w:vAlign w:val="top"/>
          </w:tcPr>
          <w:p>
            <w:pPr>
              <w:spacing w:after="120"/>
              <w:jc w:val="left"/>
            </w:pPr>
            <w:r>
              <w:t>Build React-PWA, Spring Boot microservices, integrate Kafka, GraphQL, ensure offline-first performance.</w:t>
            </w:r>
          </w:p>
        </w:tc>
      </w:tr>
      <w:tr>
        <w:tc>
          <w:tcPr>
            <w:tcW w:type="dxa" w:w="2160"/>
            <w:vAlign w:val="top"/>
          </w:tcPr>
          <w:p>
            <w:pPr>
              <w:spacing w:after="120"/>
              <w:jc w:val="left"/>
            </w:pPr>
            <w:r>
              <w:t>GIS Expert</w:t>
            </w:r>
          </w:p>
        </w:tc>
        <w:tc>
          <w:tcPr>
            <w:tcW w:type="dxa" w:w="2160"/>
            <w:vAlign w:val="top"/>
          </w:tcPr>
          <w:p>
            <w:pPr>
              <w:spacing w:after="120"/>
              <w:jc w:val="left"/>
            </w:pPr>
            <w:r>
              <w:t>2</w:t>
            </w:r>
          </w:p>
        </w:tc>
        <w:tc>
          <w:tcPr>
            <w:tcW w:type="dxa" w:w="2160"/>
            <w:vAlign w:val="top"/>
          </w:tcPr>
          <w:p>
            <w:pPr>
              <w:spacing w:after="120"/>
              <w:jc w:val="left"/>
            </w:pPr>
            <w:r>
              <w:t>8</w:t>
            </w:r>
          </w:p>
        </w:tc>
        <w:tc>
          <w:tcPr>
            <w:tcW w:type="dxa" w:w="2160"/>
            <w:vAlign w:val="top"/>
          </w:tcPr>
          <w:p>
            <w:pPr>
              <w:spacing w:after="120"/>
              <w:jc w:val="left"/>
            </w:pPr>
            <w:r>
              <w:t>Calibrate spatial data, manage PostGIS, generate maps, validate boundaries, ensure 2 cm accuracy.</w:t>
            </w:r>
          </w:p>
        </w:tc>
      </w:tr>
      <w:tr>
        <w:tc>
          <w:tcPr>
            <w:tcW w:type="dxa" w:w="2160"/>
            <w:vAlign w:val="top"/>
          </w:tcPr>
          <w:p>
            <w:pPr>
              <w:spacing w:after="120"/>
              <w:jc w:val="left"/>
            </w:pPr>
            <w:r>
              <w:t>DevSecOps Engineer</w:t>
            </w:r>
          </w:p>
        </w:tc>
        <w:tc>
          <w:tcPr>
            <w:tcW w:type="dxa" w:w="2160"/>
            <w:vAlign w:val="top"/>
          </w:tcPr>
          <w:p>
            <w:pPr>
              <w:spacing w:after="120"/>
              <w:jc w:val="left"/>
            </w:pPr>
            <w:r>
              <w:t>2</w:t>
            </w:r>
          </w:p>
        </w:tc>
        <w:tc>
          <w:tcPr>
            <w:tcW w:type="dxa" w:w="2160"/>
            <w:vAlign w:val="top"/>
          </w:tcPr>
          <w:p>
            <w:pPr>
              <w:spacing w:after="120"/>
              <w:jc w:val="left"/>
            </w:pPr>
            <w:r>
              <w:t>6</w:t>
            </w:r>
          </w:p>
        </w:tc>
        <w:tc>
          <w:tcPr>
            <w:tcW w:type="dxa" w:w="2160"/>
            <w:vAlign w:val="top"/>
          </w:tcPr>
          <w:p>
            <w:pPr>
              <w:spacing w:after="120"/>
              <w:jc w:val="left"/>
            </w:pPr>
            <w:r>
              <w:t>Setup K8s, CI/CD, monitoring, backups, security hardening, achieve 99.5 % uptime SLA.</w:t>
            </w:r>
          </w:p>
        </w:tc>
      </w:tr>
      <w:tr>
        <w:tc>
          <w:tcPr>
            <w:tcW w:type="dxa" w:w="2160"/>
            <w:vAlign w:val="top"/>
          </w:tcPr>
          <w:p>
            <w:pPr>
              <w:spacing w:after="120"/>
              <w:jc w:val="left"/>
            </w:pPr>
            <w:r>
              <w:t>Change-Training Manager</w:t>
            </w:r>
          </w:p>
        </w:tc>
        <w:tc>
          <w:tcPr>
            <w:tcW w:type="dxa" w:w="2160"/>
            <w:vAlign w:val="top"/>
          </w:tcPr>
          <w:p>
            <w:pPr>
              <w:spacing w:after="120"/>
              <w:jc w:val="left"/>
            </w:pPr>
            <w:r>
              <w:t>1</w:t>
            </w:r>
          </w:p>
        </w:tc>
        <w:tc>
          <w:tcPr>
            <w:tcW w:type="dxa" w:w="2160"/>
            <w:vAlign w:val="top"/>
          </w:tcPr>
          <w:p>
            <w:pPr>
              <w:spacing w:after="120"/>
              <w:jc w:val="left"/>
            </w:pPr>
            <w:r>
              <w:t>12</w:t>
            </w:r>
          </w:p>
        </w:tc>
        <w:tc>
          <w:tcPr>
            <w:tcW w:type="dxa" w:w="2160"/>
            <w:vAlign w:val="top"/>
          </w:tcPr>
          <w:p>
            <w:pPr>
              <w:spacing w:after="120"/>
              <w:jc w:val="left"/>
            </w:pPr>
            <w:r>
              <w:t>Design curriculum, conduct patwari bootcamps, create e-learning, measure adoption, ensure 90 % literacy.</w:t>
            </w:r>
          </w:p>
        </w:tc>
      </w:tr>
      <w:tr>
        <w:tc>
          <w:tcPr>
            <w:tcW w:type="dxa" w:w="2160"/>
            <w:vAlign w:val="top"/>
          </w:tcPr>
          <w:p>
            <w:pPr>
              <w:spacing w:after="120"/>
              <w:jc w:val="left"/>
            </w:pPr>
            <w:r>
              <w:t>Support Specialist</w:t>
            </w:r>
          </w:p>
        </w:tc>
        <w:tc>
          <w:tcPr>
            <w:tcW w:type="dxa" w:w="2160"/>
            <w:vAlign w:val="top"/>
          </w:tcPr>
          <w:p>
            <w:pPr>
              <w:spacing w:after="120"/>
              <w:jc w:val="left"/>
            </w:pPr>
            <w:r>
              <w:t>6</w:t>
            </w:r>
          </w:p>
        </w:tc>
        <w:tc>
          <w:tcPr>
            <w:tcW w:type="dxa" w:w="2160"/>
            <w:vAlign w:val="top"/>
          </w:tcPr>
          <w:p>
            <w:pPr>
              <w:spacing w:after="120"/>
              <w:jc w:val="left"/>
            </w:pPr>
            <w:r>
              <w:t>3</w:t>
            </w:r>
          </w:p>
        </w:tc>
        <w:tc>
          <w:tcPr>
            <w:tcW w:type="dxa" w:w="2160"/>
            <w:vAlign w:val="top"/>
          </w:tcPr>
          <w:p>
            <w:pPr>
              <w:spacing w:after="120"/>
              <w:jc w:val="left"/>
            </w:pPr>
            <w:r>
              <w:t>Staff 24×7 helpline, resolve field issues, maintain FAQ, escalate bugs, achieve 85 % FCR.</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Drone Fleet (40 units)</w:t>
            </w:r>
          </w:p>
        </w:tc>
        <w:tc>
          <w:tcPr>
            <w:tcW w:type="dxa" w:w="2880"/>
            <w:vAlign w:val="top"/>
          </w:tcPr>
          <w:p>
            <w:pPr>
              <w:spacing w:after="120"/>
              <w:jc w:val="left"/>
            </w:pPr>
            <w:r>
              <w:t>₹48,000,000</w:t>
            </w:r>
          </w:p>
        </w:tc>
        <w:tc>
          <w:tcPr>
            <w:tcW w:type="dxa" w:w="2880"/>
            <w:vAlign w:val="top"/>
          </w:tcPr>
          <w:p>
            <w:pPr>
              <w:spacing w:after="120"/>
              <w:jc w:val="left"/>
            </w:pPr>
            <w:r>
              <w:t>Includes DJI Matrice 300 RTK, extra batteries, sensors, rugged cases, 3-year warranty.</w:t>
            </w:r>
          </w:p>
        </w:tc>
      </w:tr>
      <w:tr>
        <w:tc>
          <w:tcPr>
            <w:tcW w:type="dxa" w:w="2880"/>
            <w:vAlign w:val="top"/>
          </w:tcPr>
          <w:p>
            <w:pPr>
              <w:spacing w:after="120"/>
              <w:jc w:val="left"/>
            </w:pPr>
            <w:r>
              <w:t>Cloud &amp; Data Centre</w:t>
            </w:r>
          </w:p>
        </w:tc>
        <w:tc>
          <w:tcPr>
            <w:tcW w:type="dxa" w:w="2880"/>
            <w:vAlign w:val="top"/>
          </w:tcPr>
          <w:p>
            <w:pPr>
              <w:spacing w:after="120"/>
              <w:jc w:val="left"/>
            </w:pPr>
            <w:r>
              <w:t>₹9,000,000</w:t>
            </w:r>
          </w:p>
        </w:tc>
        <w:tc>
          <w:tcPr>
            <w:tcW w:type="dxa" w:w="2880"/>
            <w:vAlign w:val="top"/>
          </w:tcPr>
          <w:p>
            <w:pPr>
              <w:spacing w:after="120"/>
              <w:jc w:val="left"/>
            </w:pPr>
            <w:r>
              <w:t>Co-location, K8s cluster, 100 TB Ceph storage, 3-year subscription with DR site.</w:t>
            </w:r>
          </w:p>
        </w:tc>
      </w:tr>
      <w:tr>
        <w:tc>
          <w:tcPr>
            <w:tcW w:type="dxa" w:w="2880"/>
            <w:vAlign w:val="top"/>
          </w:tcPr>
          <w:p>
            <w:pPr>
              <w:spacing w:after="120"/>
              <w:jc w:val="left"/>
            </w:pPr>
            <w:r>
              <w:t>Software Licences</w:t>
            </w:r>
          </w:p>
        </w:tc>
        <w:tc>
          <w:tcPr>
            <w:tcW w:type="dxa" w:w="2880"/>
            <w:vAlign w:val="top"/>
          </w:tcPr>
          <w:p>
            <w:pPr>
              <w:spacing w:after="120"/>
              <w:jc w:val="left"/>
            </w:pPr>
            <w:r>
              <w:t>₹6,000,000</w:t>
            </w:r>
          </w:p>
        </w:tc>
        <w:tc>
          <w:tcPr>
            <w:tcW w:type="dxa" w:w="2880"/>
            <w:vAlign w:val="top"/>
          </w:tcPr>
          <w:p>
            <w:pPr>
              <w:spacing w:after="120"/>
              <w:jc w:val="left"/>
            </w:pPr>
            <w:r>
              <w:t>PostgreSQL support, ElasticStack, Hyperledger Fabric, antivirus, security modules for 3 years.</w:t>
            </w:r>
          </w:p>
        </w:tc>
      </w:tr>
      <w:tr>
        <w:tc>
          <w:tcPr>
            <w:tcW w:type="dxa" w:w="2880"/>
            <w:vAlign w:val="top"/>
          </w:tcPr>
          <w:p>
            <w:pPr>
              <w:spacing w:after="120"/>
              <w:jc w:val="left"/>
            </w:pPr>
            <w:r>
              <w:t>AI/ML Platform</w:t>
            </w:r>
          </w:p>
        </w:tc>
        <w:tc>
          <w:tcPr>
            <w:tcW w:type="dxa" w:w="2880"/>
            <w:vAlign w:val="top"/>
          </w:tcPr>
          <w:p>
            <w:pPr>
              <w:spacing w:after="120"/>
              <w:jc w:val="left"/>
            </w:pPr>
            <w:r>
              <w:t>₹4,500,000</w:t>
            </w:r>
          </w:p>
        </w:tc>
        <w:tc>
          <w:tcPr>
            <w:tcW w:type="dxa" w:w="2880"/>
            <w:vAlign w:val="top"/>
          </w:tcPr>
          <w:p>
            <w:pPr>
              <w:spacing w:after="120"/>
              <w:jc w:val="left"/>
            </w:pPr>
            <w:r>
              <w:t>NVIDIA Jetson units, TensorRT, GPU cloud training credits, retraining cycles for 3 years.</w:t>
            </w:r>
          </w:p>
        </w:tc>
      </w:tr>
      <w:tr>
        <w:tc>
          <w:tcPr>
            <w:tcW w:type="dxa" w:w="2880"/>
            <w:vAlign w:val="top"/>
          </w:tcPr>
          <w:p>
            <w:pPr>
              <w:spacing w:after="120"/>
              <w:jc w:val="left"/>
            </w:pPr>
            <w:r>
              <w:t>Training &amp; Change Mgmt</w:t>
            </w:r>
          </w:p>
        </w:tc>
        <w:tc>
          <w:tcPr>
            <w:tcW w:type="dxa" w:w="2880"/>
            <w:vAlign w:val="top"/>
          </w:tcPr>
          <w:p>
            <w:pPr>
              <w:spacing w:after="120"/>
              <w:jc w:val="left"/>
            </w:pPr>
            <w:r>
              <w:t>₹3,000,000</w:t>
            </w:r>
          </w:p>
        </w:tc>
        <w:tc>
          <w:tcPr>
            <w:tcW w:type="dxa" w:w="2880"/>
            <w:vAlign w:val="top"/>
          </w:tcPr>
          <w:p>
            <w:pPr>
              <w:spacing w:after="120"/>
              <w:jc w:val="left"/>
            </w:pPr>
            <w:r>
              <w:t>Residential bootcamps, e-content, VR kits, champion network, travel, 1 200 patwaris.</w:t>
            </w:r>
          </w:p>
        </w:tc>
      </w:tr>
      <w:tr>
        <w:tc>
          <w:tcPr>
            <w:tcW w:type="dxa" w:w="2880"/>
            <w:vAlign w:val="top"/>
          </w:tcPr>
          <w:p>
            <w:pPr>
              <w:spacing w:after="120"/>
              <w:jc w:val="left"/>
            </w:pPr>
            <w:r>
              <w:t>Manpower (12 months)</w:t>
            </w:r>
          </w:p>
        </w:tc>
        <w:tc>
          <w:tcPr>
            <w:tcW w:type="dxa" w:w="2880"/>
            <w:vAlign w:val="top"/>
          </w:tcPr>
          <w:p>
            <w:pPr>
              <w:spacing w:after="120"/>
              <w:jc w:val="left"/>
            </w:pPr>
            <w:r>
              <w:t>₹18,000,000</w:t>
            </w:r>
          </w:p>
        </w:tc>
        <w:tc>
          <w:tcPr>
            <w:tcW w:type="dxa" w:w="2880"/>
            <w:vAlign w:val="top"/>
          </w:tcPr>
          <w:p>
            <w:pPr>
              <w:spacing w:after="120"/>
              <w:jc w:val="left"/>
            </w:pPr>
            <w:r>
              <w:t>Salaries for 20 specialists, support staff, insurance, performance bonuses as per state norms.</w:t>
            </w:r>
          </w:p>
        </w:tc>
      </w:tr>
      <w:tr>
        <w:tc>
          <w:tcPr>
            <w:tcW w:type="dxa" w:w="2880"/>
            <w:vAlign w:val="top"/>
          </w:tcPr>
          <w:p>
            <w:pPr>
              <w:spacing w:after="120"/>
              <w:jc w:val="left"/>
            </w:pPr>
            <w:r>
              <w:t>DGCA Compliance &amp; Insurance</w:t>
            </w:r>
          </w:p>
        </w:tc>
        <w:tc>
          <w:tcPr>
            <w:tcW w:type="dxa" w:w="2880"/>
            <w:vAlign w:val="top"/>
          </w:tcPr>
          <w:p>
            <w:pPr>
              <w:spacing w:after="120"/>
              <w:jc w:val="left"/>
            </w:pPr>
            <w:r>
              <w:t>₹2,250,000</w:t>
            </w:r>
          </w:p>
        </w:tc>
        <w:tc>
          <w:tcPr>
            <w:tcW w:type="dxa" w:w="2880"/>
            <w:vAlign w:val="top"/>
          </w:tcPr>
          <w:p>
            <w:pPr>
              <w:spacing w:after="120"/>
              <w:jc w:val="left"/>
            </w:pPr>
            <w:r>
              <w:t>NPNT software, pilot licencing, public liability insurance ₹10 crore, third-party audits.</w:t>
            </w:r>
          </w:p>
        </w:tc>
      </w:tr>
      <w:tr>
        <w:tc>
          <w:tcPr>
            <w:tcW w:type="dxa" w:w="2880"/>
            <w:vAlign w:val="top"/>
          </w:tcPr>
          <w:p>
            <w:pPr>
              <w:spacing w:after="120"/>
              <w:jc w:val="left"/>
            </w:pPr>
            <w:r>
              <w:t>Contingency &amp; AMC</w:t>
            </w:r>
          </w:p>
        </w:tc>
        <w:tc>
          <w:tcPr>
            <w:tcW w:type="dxa" w:w="2880"/>
            <w:vAlign w:val="top"/>
          </w:tcPr>
          <w:p>
            <w:pPr>
              <w:spacing w:after="120"/>
              <w:jc w:val="left"/>
            </w:pPr>
            <w:r>
              <w:t>₹4,050,000</w:t>
            </w:r>
          </w:p>
        </w:tc>
        <w:tc>
          <w:tcPr>
            <w:tcW w:type="dxa" w:w="2880"/>
            <w:vAlign w:val="top"/>
          </w:tcPr>
          <w:p>
            <w:pPr>
              <w:spacing w:after="120"/>
              <w:jc w:val="left"/>
            </w:pPr>
            <w:r>
              <w:t>10 % contingency, annual maintenance after first year, spares, on-call support.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Average Girdawari Duration per Gram Panchayat</w:t>
            </w:r>
          </w:p>
        </w:tc>
        <w:tc>
          <w:tcPr>
            <w:tcW w:type="dxa" w:w="2160"/>
            <w:vAlign w:val="top"/>
          </w:tcPr>
          <w:p>
            <w:pPr>
              <w:spacing w:after="120"/>
              <w:jc w:val="left"/>
            </w:pPr>
            <w:r>
              <w:t>≤7 man-days</w:t>
            </w:r>
          </w:p>
        </w:tc>
        <w:tc>
          <w:tcPr>
            <w:tcW w:type="dxa" w:w="2160"/>
            <w:vAlign w:val="top"/>
          </w:tcPr>
          <w:p>
            <w:pPr>
              <w:spacing w:after="120"/>
              <w:jc w:val="left"/>
            </w:pPr>
            <w:r>
              <w:t>Timesheet comparison pre- and post-implementation</w:t>
            </w:r>
          </w:p>
        </w:tc>
        <w:tc>
          <w:tcPr>
            <w:tcW w:type="dxa" w:w="2160"/>
            <w:vAlign w:val="top"/>
          </w:tcPr>
          <w:p>
            <w:pPr>
              <w:spacing w:after="120"/>
              <w:jc w:val="left"/>
            </w:pPr>
            <w:r>
              <w:t>Per survey cycle</w:t>
            </w:r>
          </w:p>
        </w:tc>
      </w:tr>
      <w:tr>
        <w:tc>
          <w:tcPr>
            <w:tcW w:type="dxa" w:w="2160"/>
            <w:vAlign w:val="top"/>
          </w:tcPr>
          <w:p>
            <w:pPr>
              <w:spacing w:after="120"/>
              <w:jc w:val="left"/>
            </w:pPr>
            <w:r>
              <w:t>Spatial Accuracy (RMSE)</w:t>
            </w:r>
          </w:p>
        </w:tc>
        <w:tc>
          <w:tcPr>
            <w:tcW w:type="dxa" w:w="2160"/>
            <w:vAlign w:val="top"/>
          </w:tcPr>
          <w:p>
            <w:pPr>
              <w:spacing w:after="120"/>
              <w:jc w:val="left"/>
            </w:pPr>
            <w:r>
              <w:t>≤2 cm</w:t>
            </w:r>
          </w:p>
        </w:tc>
        <w:tc>
          <w:tcPr>
            <w:tcW w:type="dxa" w:w="2160"/>
            <w:vAlign w:val="top"/>
          </w:tcPr>
          <w:p>
            <w:pPr>
              <w:spacing w:after="120"/>
              <w:jc w:val="left"/>
            </w:pPr>
            <w:r>
              <w:t>RTK-GCP validation of drone orthomosaic</w:t>
            </w:r>
          </w:p>
        </w:tc>
        <w:tc>
          <w:tcPr>
            <w:tcW w:type="dxa" w:w="2160"/>
            <w:vAlign w:val="top"/>
          </w:tcPr>
          <w:p>
            <w:pPr>
              <w:spacing w:after="120"/>
              <w:jc w:val="left"/>
            </w:pPr>
            <w:r>
              <w:t>Weekly during pilot</w:t>
            </w:r>
          </w:p>
        </w:tc>
      </w:tr>
      <w:tr>
        <w:tc>
          <w:tcPr>
            <w:tcW w:type="dxa" w:w="2160"/>
            <w:vAlign w:val="top"/>
          </w:tcPr>
          <w:p>
            <w:pPr>
              <w:spacing w:after="120"/>
              <w:jc w:val="left"/>
            </w:pPr>
            <w:r>
              <w:t>AI Crop Classification IoU</w:t>
            </w:r>
          </w:p>
        </w:tc>
        <w:tc>
          <w:tcPr>
            <w:tcW w:type="dxa" w:w="2160"/>
            <w:vAlign w:val="top"/>
          </w:tcPr>
          <w:p>
            <w:pPr>
              <w:spacing w:after="120"/>
              <w:jc w:val="left"/>
            </w:pPr>
            <w:r>
              <w:t>≥92 %</w:t>
            </w:r>
          </w:p>
        </w:tc>
        <w:tc>
          <w:tcPr>
            <w:tcW w:type="dxa" w:w="2160"/>
            <w:vAlign w:val="top"/>
          </w:tcPr>
          <w:p>
            <w:pPr>
              <w:spacing w:after="120"/>
              <w:jc w:val="left"/>
            </w:pPr>
            <w:r>
              <w:t>Ground-truth polygon validation</w:t>
            </w:r>
          </w:p>
        </w:tc>
        <w:tc>
          <w:tcPr>
            <w:tcW w:type="dxa" w:w="2160"/>
            <w:vAlign w:val="top"/>
          </w:tcPr>
          <w:p>
            <w:pPr>
              <w:spacing w:after="120"/>
              <w:jc w:val="left"/>
            </w:pPr>
            <w:r>
              <w:t>Per model release</w:t>
            </w:r>
          </w:p>
        </w:tc>
      </w:tr>
      <w:tr>
        <w:tc>
          <w:tcPr>
            <w:tcW w:type="dxa" w:w="2160"/>
            <w:vAlign w:val="top"/>
          </w:tcPr>
          <w:p>
            <w:pPr>
              <w:spacing w:after="120"/>
              <w:jc w:val="left"/>
            </w:pPr>
            <w:r>
              <w:t>System Uptime</w:t>
            </w:r>
          </w:p>
        </w:tc>
        <w:tc>
          <w:tcPr>
            <w:tcW w:type="dxa" w:w="2160"/>
            <w:vAlign w:val="top"/>
          </w:tcPr>
          <w:p>
            <w:pPr>
              <w:spacing w:after="120"/>
              <w:jc w:val="left"/>
            </w:pPr>
            <w:r>
              <w:t>99.5 %</w:t>
            </w:r>
          </w:p>
        </w:tc>
        <w:tc>
          <w:tcPr>
            <w:tcW w:type="dxa" w:w="2160"/>
            <w:vAlign w:val="top"/>
          </w:tcPr>
          <w:p>
            <w:pPr>
              <w:spacing w:after="120"/>
              <w:jc w:val="left"/>
            </w:pPr>
            <w:r>
              <w:t>Prometheus black-box exporter</w:t>
            </w:r>
          </w:p>
        </w:tc>
        <w:tc>
          <w:tcPr>
            <w:tcW w:type="dxa" w:w="2160"/>
            <w:vAlign w:val="top"/>
          </w:tcPr>
          <w:p>
            <w:pPr>
              <w:spacing w:after="120"/>
              <w:jc w:val="left"/>
            </w:pPr>
            <w:r>
              <w:t>Daily</w:t>
            </w:r>
          </w:p>
        </w:tc>
      </w:tr>
      <w:tr>
        <w:tc>
          <w:tcPr>
            <w:tcW w:type="dxa" w:w="2160"/>
            <w:vAlign w:val="top"/>
          </w:tcPr>
          <w:p>
            <w:pPr>
              <w:spacing w:after="120"/>
              <w:jc w:val="left"/>
            </w:pPr>
            <w:r>
              <w:t>Mutation Approval Turnaround</w:t>
            </w:r>
          </w:p>
        </w:tc>
        <w:tc>
          <w:tcPr>
            <w:tcW w:type="dxa" w:w="2160"/>
            <w:vAlign w:val="top"/>
          </w:tcPr>
          <w:p>
            <w:pPr>
              <w:spacing w:after="120"/>
              <w:jc w:val="left"/>
            </w:pPr>
            <w:r>
              <w:t>≤5 days</w:t>
            </w:r>
          </w:p>
        </w:tc>
        <w:tc>
          <w:tcPr>
            <w:tcW w:type="dxa" w:w="2160"/>
            <w:vAlign w:val="top"/>
          </w:tcPr>
          <w:p>
            <w:pPr>
              <w:spacing w:after="120"/>
              <w:jc w:val="left"/>
            </w:pPr>
            <w:r>
              <w:t>BPM timestamp analytics</w:t>
            </w:r>
          </w:p>
        </w:tc>
        <w:tc>
          <w:tcPr>
            <w:tcW w:type="dxa" w:w="2160"/>
            <w:vAlign w:val="top"/>
          </w:tcPr>
          <w:p>
            <w:pPr>
              <w:spacing w:after="120"/>
              <w:jc w:val="left"/>
            </w:pPr>
            <w:r>
              <w:t>Monthly</w:t>
            </w:r>
          </w:p>
        </w:tc>
      </w:tr>
      <w:tr>
        <w:tc>
          <w:tcPr>
            <w:tcW w:type="dxa" w:w="2160"/>
            <w:vAlign w:val="top"/>
          </w:tcPr>
          <w:p>
            <w:pPr>
              <w:spacing w:after="120"/>
              <w:jc w:val="left"/>
            </w:pPr>
            <w:r>
              <w:t>Data Entry Error Rate</w:t>
            </w:r>
          </w:p>
        </w:tc>
        <w:tc>
          <w:tcPr>
            <w:tcW w:type="dxa" w:w="2160"/>
            <w:vAlign w:val="top"/>
          </w:tcPr>
          <w:p>
            <w:pPr>
              <w:spacing w:after="120"/>
              <w:jc w:val="left"/>
            </w:pPr>
            <w:r>
              <w:t>≤0.5 %</w:t>
            </w:r>
          </w:p>
        </w:tc>
        <w:tc>
          <w:tcPr>
            <w:tcW w:type="dxa" w:w="2160"/>
            <w:vAlign w:val="top"/>
          </w:tcPr>
          <w:p>
            <w:pPr>
              <w:spacing w:after="120"/>
              <w:jc w:val="left"/>
            </w:pPr>
            <w:r>
              <w:t>Random sample audit vs drone output</w:t>
            </w:r>
          </w:p>
        </w:tc>
        <w:tc>
          <w:tcPr>
            <w:tcW w:type="dxa" w:w="2160"/>
            <w:vAlign w:val="top"/>
          </w:tcPr>
          <w:p>
            <w:pPr>
              <w:spacing w:after="120"/>
              <w:jc w:val="left"/>
            </w:pPr>
            <w:r>
              <w:t>Per survey cycle</w:t>
            </w:r>
          </w:p>
        </w:tc>
      </w:tr>
      <w:tr>
        <w:tc>
          <w:tcPr>
            <w:tcW w:type="dxa" w:w="2160"/>
            <w:vAlign w:val="top"/>
          </w:tcPr>
          <w:p>
            <w:pPr>
              <w:spacing w:after="120"/>
              <w:jc w:val="left"/>
            </w:pPr>
            <w:r>
              <w:t>Training Completion Rate</w:t>
            </w:r>
          </w:p>
        </w:tc>
        <w:tc>
          <w:tcPr>
            <w:tcW w:type="dxa" w:w="2160"/>
            <w:vAlign w:val="top"/>
          </w:tcPr>
          <w:p>
            <w:pPr>
              <w:spacing w:after="120"/>
              <w:jc w:val="left"/>
            </w:pPr>
            <w:r>
              <w:t>≥90 %</w:t>
            </w:r>
          </w:p>
        </w:tc>
        <w:tc>
          <w:tcPr>
            <w:tcW w:type="dxa" w:w="2160"/>
            <w:vAlign w:val="top"/>
          </w:tcPr>
          <w:p>
            <w:pPr>
              <w:spacing w:after="120"/>
              <w:jc w:val="left"/>
            </w:pPr>
            <w:r>
              <w:t>LMS course completion report</w:t>
            </w:r>
          </w:p>
        </w:tc>
        <w:tc>
          <w:tcPr>
            <w:tcW w:type="dxa" w:w="2160"/>
            <w:vAlign w:val="top"/>
          </w:tcPr>
          <w:p>
            <w:pPr>
              <w:spacing w:after="120"/>
              <w:jc w:val="left"/>
            </w:pPr>
            <w:r>
              <w:t>Post-bootcamp</w:t>
            </w:r>
          </w:p>
        </w:tc>
      </w:tr>
      <w:tr>
        <w:tc>
          <w:tcPr>
            <w:tcW w:type="dxa" w:w="2160"/>
            <w:vAlign w:val="top"/>
          </w:tcPr>
          <w:p>
            <w:pPr>
              <w:spacing w:after="120"/>
              <w:jc w:val="left"/>
            </w:pPr>
            <w:r>
              <w:t>Helpdesk First-Call Resolution</w:t>
            </w:r>
          </w:p>
        </w:tc>
        <w:tc>
          <w:tcPr>
            <w:tcW w:type="dxa" w:w="2160"/>
            <w:vAlign w:val="top"/>
          </w:tcPr>
          <w:p>
            <w:pPr>
              <w:spacing w:after="120"/>
              <w:jc w:val="left"/>
            </w:pPr>
            <w:r>
              <w:t>≥85 %</w:t>
            </w:r>
          </w:p>
        </w:tc>
        <w:tc>
          <w:tcPr>
            <w:tcW w:type="dxa" w:w="2160"/>
            <w:vAlign w:val="top"/>
          </w:tcPr>
          <w:p>
            <w:pPr>
              <w:spacing w:after="120"/>
              <w:jc w:val="left"/>
            </w:pPr>
            <w:r>
              <w:t>Ticketing system analytics</w:t>
            </w:r>
          </w:p>
        </w:tc>
        <w:tc>
          <w:tcPr>
            <w:tcW w:type="dxa" w:w="2160"/>
            <w:vAlign w:val="top"/>
          </w:tcPr>
          <w:p>
            <w:pPr>
              <w:spacing w:after="120"/>
              <w:jc w:val="left"/>
            </w:pPr>
            <w:r>
              <w:t>Weekly</w:t>
            </w:r>
          </w:p>
        </w:tc>
      </w:tr>
      <w:tr>
        <w:tc>
          <w:tcPr>
            <w:tcW w:type="dxa" w:w="2160"/>
            <w:vAlign w:val="top"/>
          </w:tcPr>
          <w:p>
            <w:pPr>
              <w:spacing w:after="120"/>
              <w:jc w:val="left"/>
            </w:pPr>
            <w:r>
              <w:t>Cost per Field Survey</w:t>
            </w:r>
          </w:p>
        </w:tc>
        <w:tc>
          <w:tcPr>
            <w:tcW w:type="dxa" w:w="2160"/>
            <w:vAlign w:val="top"/>
          </w:tcPr>
          <w:p>
            <w:pPr>
              <w:spacing w:after="120"/>
              <w:jc w:val="left"/>
            </w:pPr>
            <w:r>
              <w:t>≤₹8</w:t>
            </w:r>
          </w:p>
        </w:tc>
        <w:tc>
          <w:tcPr>
            <w:tcW w:type="dxa" w:w="2160"/>
            <w:vAlign w:val="top"/>
          </w:tcPr>
          <w:p>
            <w:pPr>
              <w:spacing w:after="120"/>
              <w:jc w:val="left"/>
            </w:pPr>
            <w:r>
              <w:t>Total project cost divided by surveyed fields</w:t>
            </w:r>
          </w:p>
        </w:tc>
        <w:tc>
          <w:tcPr>
            <w:tcW w:type="dxa" w:w="2160"/>
            <w:vAlign w:val="top"/>
          </w:tcPr>
          <w:p>
            <w:pPr>
              <w:spacing w:after="120"/>
              <w:jc w:val="left"/>
            </w:pPr>
            <w:r>
              <w:t>Quarterly</w:t>
            </w:r>
          </w:p>
        </w:tc>
      </w:tr>
      <w:tr>
        <w:tc>
          <w:tcPr>
            <w:tcW w:type="dxa" w:w="2160"/>
            <w:vAlign w:val="top"/>
          </w:tcPr>
          <w:p>
            <w:pPr>
              <w:spacing w:after="120"/>
              <w:jc w:val="left"/>
            </w:pPr>
            <w:r>
              <w:t>RTI Petitions Reduction</w:t>
            </w:r>
          </w:p>
        </w:tc>
        <w:tc>
          <w:tcPr>
            <w:tcW w:type="dxa" w:w="2160"/>
            <w:vAlign w:val="top"/>
          </w:tcPr>
          <w:p>
            <w:pPr>
              <w:spacing w:after="120"/>
              <w:jc w:val="left"/>
            </w:pPr>
            <w:r>
              <w:t>40 % decrease</w:t>
            </w:r>
          </w:p>
        </w:tc>
        <w:tc>
          <w:tcPr>
            <w:tcW w:type="dxa" w:w="2160"/>
            <w:vAlign w:val="top"/>
          </w:tcPr>
          <w:p>
            <w:pPr>
              <w:spacing w:after="120"/>
              <w:jc w:val="left"/>
            </w:pPr>
            <w:r>
              <w:t>State RTI portal comparison</w:t>
            </w:r>
          </w:p>
        </w:tc>
        <w:tc>
          <w:tcPr>
            <w:tcW w:type="dxa" w:w="2160"/>
            <w:vAlign w:val="top"/>
          </w:tcPr>
          <w:p>
            <w:pPr>
              <w:spacing w:after="120"/>
              <w:jc w:val="left"/>
            </w:pPr>
            <w:r>
              <w:t>Semi-annually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