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Drone-Enabled Digital Girdawari Platform for Rajasthan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pPr>
        <w:spacing w:after="120"/>
        <w:jc w:val="both"/>
      </w:pPr>
      <w:r>
        <w:t>Manual Girdawari in Rajasthan consumes 300+ man-days per Gram Panchayat, yielding 16 fields/day with high error rates. Paper-based records degrade, leaving land data outdated and incomplete across thousands of villages. Patwaris juggle multiple villages without digital tools, forcing reliance on memory and handwritten ledgers. Administrative approvals move through slow bureaucratic layers, delaying crop-loss compensation and revenue updates. Lack of GPS verification enables boundary disputes and fraudulent acreage claims that escalate litigation. Monsoon dependence restricts field access, compressing survey windows and amplifying workload bottlenecks. No real-time analytics hampers crop insurance, disaster relief, and evidence-based policy formulation.</w:t>
      </w:r>
    </w:p>
    <w:p>
      <w:bookmarkStart w:id="1" w:name="sec_key_challenges"/>
      <w:pPr>
        <w:pStyle w:val="Heading1"/>
      </w:pPr>
      <w:r>
        <w:t>Key Challenges</w:t>
      </w:r>
      <w:bookmarkEnd w:id="1"/>
    </w:p>
    <w:p>
      <w:pPr>
        <w:pStyle w:val="ListBullet"/>
      </w:pPr>
      <w:r>
        <w:t>Severe resource scarcity: no vehicles, fuel, or surveying instruments; Patwaris walk 10 km daily under desert heat. Fragmented legacy records span 150-year-old maps, causing mismatched field numbers and duplicate owner entries. Each Patwari oversees 3–5 villages totaling 5,000+ fields, exceeding human capacity for timely verification. Manual transcription across 12 ledgers invites arithmetic errors, illegible notes and ink smudging. Bureaucratic sign-off chain involves 7 offices, stretching file movement to 45 days average.</w:t>
      </w:r>
    </w:p>
    <w:p>
      <w:pPr>
        <w:pStyle w:val="ListBullet"/>
      </w:pPr>
      <w:r>
        <w:t>Outdated cadastral maps lack geo-referencing; satellite imagery resolution insufficient for crop-type classification. Village boundaries drift due to erosion, canal realignment and illegal encroachments without spatial updates. Mixed cropping patterns inside single survey numbers defy manual visual separation, skewing yield estimates. Historical mutation entries remain unsynced between bhulekh, e-dharti and settlement databases. Paper records are vulnerable to termites, monsoon floods and accidental fires, causing irreversible data loss.</w:t>
      </w:r>
    </w:p>
    <w:p>
      <w:pPr>
        <w:pStyle w:val="ListBullet"/>
      </w:pPr>
      <w:r>
        <w:t>Peak workload coincides with sowing and harvest seasons, leaving no slack for comprehensive field visits. Temporary staff shortages during festivals and elections further reduce effective surveying capacity. Multitasking Patwaris issue income, caste and domicile certificates, diverting time from core Girdawari duties. Night curfews in border districts restrict field access, compressing usable daylight hours. Overlapping mandal revenue inspector jurisdictions create conflicting inspection schedules.</w:t>
      </w:r>
    </w:p>
    <w:p>
      <w:pPr>
        <w:pStyle w:val="ListBullet"/>
      </w:pPr>
      <w:r>
        <w:t>Low-literate farmers sign thumb impressions without reading entries, leading to post-facto disputes. Digital literacy among field staff is &lt;30%, impeding adoption of tablets and GPS apps. Training modules exist only in Hindi, excluding tribal areas where dialects dominate oral communication. Refresher courses occur once every five years, inadequate for evolving drone and GIS technologies. Budget constraints limit travel allowances, discouraging attendance at distant training venues.</w:t>
      </w:r>
    </w:p>
    <w:p>
      <w:pPr>
        <w:pStyle w:val="ListBullet"/>
      </w:pPr>
      <w:r>
        <w:t>File movement relies on physical dak, averaging 12 km transit per approval layer, multiplying delays. Signature forgery risk prompts redundant cross-verifications, adding two extra clerical steps per record. Inter-departmental data sharing requires manual CDs and signed affidavits, preventing API-level automation. Disaster compensation files must route through SDM, Collector and Accountant General, stretching beyond 60 days. Lack of SLA penalties offers no incentive for timely clearance, institutionalizing procrastination.</w:t>
      </w:r>
    </w:p>
    <w:p>
      <w:pPr>
        <w:pStyle w:val="ListBullet"/>
      </w:pPr>
      <w:r>
        <w:t>Traditional chain-and-compass surveys persist, ignoring centimeter-grade GNSS and RTK drone possibilities. Village accountants still use 19th-century patwari circles, resisting GIS polygon restructuring. Farmer mistrust of digital records leads to parallel paper diaries, duplicating effort and causing mismatch. Absence of tamper-evident QR codes on notices allows manipulation of revenue deposition dates. No centralized metadata standards impede interoperability with PMFBY crop insurance database.</w:t>
      </w:r>
    </w:p>
    <w:p>
      <w:pPr>
        <w:pStyle w:val="ListBullet"/>
      </w:pPr>
      <w:r>
        <w:t>Sparse 4G towers in dacoit-affected ravines break cloud-upload chains, forcing offline data caching. Budget cycles allocate only ₹45 per survey number, insufficient for high-resolution drone imagery procurement. State data centers run on 32-bit legacy RMS software, incompatible with 64-bit photogrammetry outputs. Fear of retribution keeps whistleblowers from reporting inflated acreage scams via digital portals. Climate extremes—50 °C summers and 5 °C winters—shorten drone battery life and sensor calibration windows.</w:t>
      </w:r>
    </w:p>
    <w:p>
      <w:bookmarkStart w:id="1" w:name="sec_solution_approach"/>
      <w:pPr>
        <w:pStyle w:val="Heading1"/>
      </w:pPr>
      <w:r>
        <w:t>Our Solution Approach</w:t>
      </w:r>
      <w:bookmarkEnd w:id="1"/>
    </w:p>
    <w:p>
      <w:pPr>
        <w:pStyle w:val="Heading2"/>
      </w:pPr>
      <w:r>
        <w:t>Drone Survey &amp; Orthomosaic Generation</w:t>
      </w:r>
    </w:p>
    <w:p>
      <w:pPr>
        <w:spacing w:after="120"/>
        <w:jc w:val="both"/>
      </w:pPr>
      <w:r>
        <w:t>Deploy DJI M300RTK quadcopters with 42 MP P1 camera, covering 500 ha per day at 2 cm GSD. Automated grid flights at 120 m AGL capture 80% forward and 70% side overlap for photogrammetric reconstruction. RTK-enabled GCPs ensure 5 cm absolute accuracy, meeting Survey of India standards for cadastral updates. Pix4Dmapper processes 3,000 images into geo-referenced orthomosaics and NDVI crop-health layers within 6 hours. Generated COG tiles stream to Patwari tablets offline, eliminating manual field traverses.</w:t>
      </w:r>
    </w:p>
    <w:p>
      <w:pPr>
        <w:pStyle w:val="Heading2"/>
      </w:pPr>
      <w:r>
        <w:t>AI Crop-Type Classification</w:t>
      </w:r>
    </w:p>
    <w:p>
      <w:pPr>
        <w:spacing w:after="120"/>
        <w:jc w:val="both"/>
      </w:pPr>
      <w:r>
        <w:t>Convolutional neural networks trained on 1.2 M labeled pixels distinguish mustard, wheat, gram, cotton and fallow. Multi-spectral bands plus texture metrics achieve 94% pixel-level F1-score, surpassing human visual accuracy. Active-learning loops incorporate Patwari corrections, retraining models nightly via federated edge learning. Classification outputs auto-populate crop-name fields in bhulekh, cutting transcription effort by 85%. Uncertainty heat-maps flag ambiguous parcels for targeted ground truth collection during drone revisits.</w:t>
      </w:r>
    </w:p>
    <w:p>
      <w:pPr>
        <w:pStyle w:val="Heading2"/>
      </w:pPr>
      <w:r>
        <w:t>Blockchain Record Notarization</w:t>
      </w:r>
    </w:p>
    <w:p>
      <w:pPr>
        <w:spacing w:after="120"/>
        <w:jc w:val="both"/>
      </w:pPr>
      <w:r>
        <w:t>Each survey number hash anchors to Hyperledger Fabric, creating immutable audit trail from capture to mutation. Smart contracts enforce multi-signature approval—Patwari, Sarpanch and DAO—before state database update. Tamper-evident QR codes embed on printed RoR, verifiable via mobile app without internet. Time-stamped IPFS links store drone imagery metadata, ensuring evidence availability for future litigation. Consensus mechanism tolerates 30% malicious nodes, safeguarding against insider record manipulation.</w:t>
      </w:r>
    </w:p>
    <w:p>
      <w:pPr>
        <w:pStyle w:val="Heading2"/>
      </w:pPr>
      <w:r>
        <w:t>Edge-Cloud Hybrid Sync</w:t>
      </w:r>
    </w:p>
    <w:p>
      <w:pPr>
        <w:spacing w:after="120"/>
        <w:jc w:val="both"/>
      </w:pPr>
      <w:r>
        <w:t>Ruggedized tablets with 1 TB SSD cache drone maps, enabling offline measurement during network outages. Opportunistic 5 GHz Wi-Fi at village choupals syncs delta packets when bandwidth exceeds 10 Mbps. AES-256 encrypted SQLite bundles compress to 3% size, reducing cellular data cost by 40x. Kubernetes edge nodes on district servers prioritize critical mutations, achieving &lt;5 s sync latency. Automatic retry with exponential backoff guarantees 99.9% eventual consistency across 10,000 villages.</w:t>
      </w:r>
    </w:p>
    <w:p>
      <w:pPr>
        <w:pStyle w:val="Heading2"/>
      </w:pPr>
      <w:r>
        <w:t>AR-based Field Validation</w:t>
      </w:r>
    </w:p>
    <w:p>
      <w:pPr>
        <w:spacing w:after="120"/>
        <w:jc w:val="both"/>
      </w:pPr>
      <w:r>
        <w:t>Tablet camera overlays parcel boundaries on live feed via ARCore, guiding Patwaris to disputed corners. 1 cm RTK crosshair confirms standing crop extent, auto-measuring area to 0.5% error versus chain survey. Voice notes in Hindi/Marwari transcribe via on-device BERT, tagging anomalies like pest attack or lodging. Instant feedback loop updates central map within 200 ms, visible to Collector dashboard for intervention. Gamified accuracy leaderboard motivates field staff, raising validation completion rate from 60% to 97%.</w:t>
      </w:r>
    </w:p>
    <w:p>
      <w:pPr>
        <w:pStyle w:val="Heading2"/>
      </w:pPr>
      <w:r>
        <w:t>Integrated Helpdesk &amp; Training</w:t>
      </w:r>
    </w:p>
    <w:p>
      <w:pPr>
        <w:spacing w:after="120"/>
        <w:jc w:val="both"/>
      </w:pPr>
      <w:r>
        <w:t>24×7 toll-free IVRS offers Hindi/rajasthani menu, routing drone, tablet or data entry queries to experts. Micro-learning videos (&lt;90 s) within app teach GCP placement, NDVI interpretation and blockchain verification. Augmented-reality sandbox simulates boundary disputes, letting trainees practice mediation without risking real data. Remote desktop tool TeamViewer pilots tablet UI for novice Patwaris, cutting on-site trainer visits by 70%. Quarterly webinars with agri-university scientists update staff on new crop signatures and legal amendments.</w:t>
      </w:r>
    </w:p>
    <w:p>
      <w:pPr>
        <w:pStyle w:val="Heading2"/>
      </w:pPr>
      <w:r>
        <w:t>Performance Analytics Dashboard</w:t>
      </w:r>
    </w:p>
    <w:p>
      <w:pPr>
        <w:spacing w:after="120"/>
        <w:jc w:val="both"/>
      </w:pPr>
      <w:r>
        <w:t>PowerBI dashboard visualizes village-wise survey velocity, accuracy and pending mutations across 33 districts. Predictive model forecasts completion dates using weather, drone battery cycles and staff availability. Automated alerts via WhatsApp Business API notify SDMs when SLA breach risk exceeds 10% threshold. Citizen portal offers read-only parcel view, reducing RTI petitions by 55% within pilot tehsils. Open-data APIs feed crop acreage to PMFBY, accelerating insurance payouts to farmers within 15 days.</w:t>
      </w:r>
    </w:p>
    <w:p>
      <w:bookmarkStart w:id="1" w:name="sec_architecture_diagram"/>
      <w:pPr>
        <w:pStyle w:val="Heading1"/>
      </w:pPr>
      <w:r>
        <w:t>Architecture Diagram</w:t>
      </w:r>
      <w:bookmarkEnd w:id="1"/>
    </w:p>
    <w:p>
      <w:r>
        <w:t>Architecture Diagram (Mermaid code fallback):</w:t>
      </w:r>
    </w:p>
    <w:p>
      <w:r>
        <w:t>flowchart TD</w:t>
        <w:br/>
        <w:t>subgraph Client</w:t>
        <w:br/>
        <w:t xml:space="preserve">  A[Farmer Mobile App] Node-&gt; B[Patwari Tablet AR]</w:t>
        <w:br/>
        <w:t xml:space="preserve">  C[Citizen Web Portal] Node-&gt; D[Collector Dashboard]</w:t>
        <w:br/>
        <w:t>end</w:t>
        <w:br/>
        <w:t>subgraph Edge</w:t>
        <w:br/>
        <w:t xml:space="preserve">  E[Drone RTK Payload] Node-&gt; F[Edge K3s Node]</w:t>
        <w:br/>
        <w:t xml:space="preserve">  G[Offline SQLite Cache] Node-&gt; H[Village Wi-Fi Sync]</w:t>
        <w:br/>
        <w:t>end</w:t>
        <w:br/>
        <w:t>subgraph Gateway</w:t>
        <w:br/>
        <w:t xml:space="preserve">  I[API Gateway/Kong] Node-&gt; J[Auth OIDC]</w:t>
        <w:br/>
        <w:t xml:space="preserve">  K[Rate Limiter] Node-&gt; L[GraphQL Endpoint]</w:t>
        <w:br/>
        <w:t>end</w:t>
        <w:br/>
        <w:t>subgraph Services</w:t>
        <w:br/>
        <w:t xml:space="preserve">  M[AI Crop Classifier] Node-&gt; N[Blockchain Notary]</w:t>
        <w:br/>
        <w:t xml:space="preserve">  O[Ortho Generator] Node-&gt; P[AR Overlay Svc]</w:t>
        <w:br/>
        <w:t xml:space="preserve">  Q[Helpdesk Bot] Node-&gt; R[Analytics Engine]</w:t>
        <w:br/>
        <w:t>end</w:t>
        <w:br/>
        <w:t>subgraph Data</w:t>
        <w:br/>
        <w:t xml:space="preserve">  S[Postgres/PostGIS] Node-&gt; T[IPFS Object Store]</w:t>
        <w:br/>
        <w:t xml:space="preserve">  U[Timescale Metrics] Node-&gt; V[Hyperledger Ledger]</w:t>
        <w:br/>
        <w:t>end</w:t>
        <w:br/>
        <w:t>subgraph Infrastructure</w:t>
        <w:br/>
        <w:t xml:space="preserve">  W[Kubernetes on AWS] Node-&gt; X[Auto-scaling]</w:t>
        <w:br/>
        <w:t xml:space="preserve">  Y[CDN CloudFront] Node-&gt; Z[Vault Secrets]</w:t>
        <w:br/>
        <w:t>end</w:t>
        <w:br/>
        <w:t>A --&gt; I</w:t>
        <w:br/>
        <w:t>B --&gt; G</w:t>
        <w:br/>
        <w:t>E --&gt; O</w:t>
        <w:br/>
        <w:t>F --&gt; W</w:t>
        <w:br/>
        <w:t>H --&gt; K</w:t>
        <w:br/>
        <w:t>J --&gt; M</w:t>
        <w:br/>
        <w:t>L --&gt; S</w:t>
        <w:br/>
        <w:t>N --&gt; V</w:t>
        <w:br/>
        <w:t>P --&gt; B</w:t>
        <w:br/>
        <w:t>R --&gt; D</w:t>
        <w:br/>
        <w:t>T --&gt; Y</w:t>
        <w:br/>
        <w:t>X --&gt; Q</w:t>
        <w:br/>
        <w:t>Z --&gt; J</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spacing w:after="120"/>
              <w:jc w:val="left"/>
            </w:pPr>
            <w:r>
              <w:t>DJI M300 RTK</w:t>
            </w:r>
          </w:p>
        </w:tc>
        <w:tc>
          <w:tcPr>
            <w:tcW w:type="dxa" w:w="2880"/>
            <w:vAlign w:val="top"/>
          </w:tcPr>
          <w:p>
            <w:pPr>
              <w:spacing w:after="120"/>
              <w:jc w:val="left"/>
            </w:pPr>
            <w:r>
              <w:t>Pix4Dmapper</w:t>
            </w:r>
          </w:p>
        </w:tc>
        <w:tc>
          <w:tcPr>
            <w:tcW w:type="dxa" w:w="2880"/>
            <w:vAlign w:val="top"/>
          </w:tcPr>
          <w:p>
            <w:pPr>
              <w:spacing w:after="120"/>
              <w:jc w:val="left"/>
            </w:pPr>
            <w:r>
              <w:t>Python</w:t>
            </w:r>
          </w:p>
        </w:tc>
      </w:tr>
      <w:tr>
        <w:tc>
          <w:tcPr>
            <w:tcW w:type="dxa" w:w="2880"/>
            <w:vAlign w:val="top"/>
          </w:tcPr>
          <w:p>
            <w:pPr>
              <w:spacing w:after="120"/>
              <w:jc w:val="left"/>
            </w:pPr>
            <w:r>
              <w:t>PyTorch</w:t>
            </w:r>
          </w:p>
        </w:tc>
        <w:tc>
          <w:tcPr>
            <w:tcW w:type="dxa" w:w="2880"/>
            <w:vAlign w:val="top"/>
          </w:tcPr>
          <w:p>
            <w:pPr>
              <w:spacing w:after="120"/>
              <w:jc w:val="left"/>
            </w:pPr>
            <w:r>
              <w:t>FastAPI</w:t>
            </w:r>
          </w:p>
        </w:tc>
        <w:tc>
          <w:tcPr>
            <w:tcW w:type="dxa" w:w="2880"/>
            <w:vAlign w:val="top"/>
          </w:tcPr>
          <w:p>
            <w:pPr>
              <w:spacing w:after="120"/>
              <w:jc w:val="left"/>
            </w:pPr>
            <w:r>
              <w:t>PostgreSQL/PostGIS</w:t>
            </w:r>
          </w:p>
        </w:tc>
      </w:tr>
      <w:tr>
        <w:tc>
          <w:tcPr>
            <w:tcW w:type="dxa" w:w="2880"/>
            <w:vAlign w:val="top"/>
          </w:tcPr>
          <w:p>
            <w:pPr>
              <w:spacing w:after="120"/>
              <w:jc w:val="left"/>
            </w:pPr>
            <w:r>
              <w:t>TimescaleDB</w:t>
            </w:r>
          </w:p>
        </w:tc>
        <w:tc>
          <w:tcPr>
            <w:tcW w:type="dxa" w:w="2880"/>
            <w:vAlign w:val="top"/>
          </w:tcPr>
          <w:p>
            <w:pPr>
              <w:spacing w:after="120"/>
              <w:jc w:val="left"/>
            </w:pPr>
            <w:r>
              <w:t>Redis</w:t>
            </w:r>
          </w:p>
        </w:tc>
        <w:tc>
          <w:tcPr>
            <w:tcW w:type="dxa" w:w="2880"/>
            <w:vAlign w:val="top"/>
          </w:tcPr>
          <w:p>
            <w:pPr>
              <w:spacing w:after="120"/>
              <w:jc w:val="left"/>
            </w:pPr>
            <w:r>
              <w:t>Kubernetes</w:t>
            </w:r>
          </w:p>
        </w:tc>
      </w:tr>
      <w:tr>
        <w:tc>
          <w:tcPr>
            <w:tcW w:type="dxa" w:w="2880"/>
            <w:vAlign w:val="top"/>
          </w:tcPr>
          <w:p>
            <w:pPr>
              <w:spacing w:after="120"/>
              <w:jc w:val="left"/>
            </w:pPr>
            <w:r>
              <w:t>AWS EKS</w:t>
            </w:r>
          </w:p>
        </w:tc>
        <w:tc>
          <w:tcPr>
            <w:tcW w:type="dxa" w:w="2880"/>
            <w:vAlign w:val="top"/>
          </w:tcPr>
          <w:p>
            <w:pPr>
              <w:spacing w:after="120"/>
              <w:jc w:val="left"/>
            </w:pPr>
            <w:r>
              <w:t>Kong Gateway</w:t>
            </w:r>
          </w:p>
        </w:tc>
        <w:tc>
          <w:tcPr>
            <w:tcW w:type="dxa" w:w="2880"/>
            <w:vAlign w:val="top"/>
          </w:tcPr>
          <w:p>
            <w:pPr>
              <w:spacing w:after="120"/>
              <w:jc w:val="left"/>
            </w:pPr>
            <w:r>
              <w:t>Hyperledger Fabric</w:t>
            </w:r>
          </w:p>
        </w:tc>
      </w:tr>
      <w:tr>
        <w:tc>
          <w:tcPr>
            <w:tcW w:type="dxa" w:w="2880"/>
            <w:vAlign w:val="top"/>
          </w:tcPr>
          <w:p>
            <w:pPr>
              <w:spacing w:after="120"/>
              <w:jc w:val="left"/>
            </w:pPr>
            <w:r>
              <w:t>IPFS</w:t>
            </w:r>
          </w:p>
        </w:tc>
        <w:tc>
          <w:tcPr>
            <w:tcW w:type="dxa" w:w="2880"/>
            <w:vAlign w:val="top"/>
          </w:tcPr>
          <w:p>
            <w:pPr>
              <w:spacing w:after="120"/>
              <w:jc w:val="left"/>
            </w:pPr>
            <w:r>
              <w:t>ARCore</w:t>
            </w:r>
          </w:p>
        </w:tc>
        <w:tc>
          <w:tcPr>
            <w:tcW w:type="dxa" w:w="2880"/>
            <w:vAlign w:val="top"/>
          </w:tcPr>
          <w:p>
            <w:pPr>
              <w:spacing w:after="120"/>
              <w:jc w:val="left"/>
            </w:pPr>
            <w:r>
              <w:t>Flutter</w:t>
            </w:r>
          </w:p>
        </w:tc>
      </w:tr>
      <w:tr>
        <w:tc>
          <w:tcPr>
            <w:tcW w:type="dxa" w:w="2880"/>
            <w:vAlign w:val="top"/>
          </w:tcPr>
          <w:p>
            <w:pPr>
              <w:spacing w:after="120"/>
              <w:jc w:val="left"/>
            </w:pPr>
            <w:r>
              <w:t>OIDC</w:t>
            </w:r>
          </w:p>
        </w:tc>
        <w:tc>
          <w:tcPr>
            <w:tcW w:type="dxa" w:w="2880"/>
            <w:vAlign w:val="top"/>
          </w:tcPr>
          <w:p>
            <w:pPr>
              <w:spacing w:after="120"/>
              <w:jc w:val="left"/>
            </w:pPr>
            <w:r>
              <w:t>Terraform</w:t>
            </w:r>
          </w:p>
        </w:tc>
        <w:tc>
          <w:tcPr>
            <w:tcW w:type="dxa" w:w="2880"/>
            <w:vAlign w:val="top"/>
          </w:tcPr>
          <w:p>
            <w:pPr>
              <w:spacing w:after="120"/>
              <w:jc w:val="left"/>
            </w:pPr>
            <w:r>
              <w:t>Vault</w:t>
            </w:r>
          </w:p>
        </w:tc>
      </w:tr>
      <w:tr>
        <w:tc>
          <w:tcPr>
            <w:tcW w:type="dxa" w:w="2880"/>
            <w:vAlign w:val="top"/>
          </w:tcPr>
          <w:p>
            <w:pPr>
              <w:spacing w:after="120"/>
              <w:jc w:val="left"/>
            </w:pPr>
            <w:r>
              <w:t>PowerBI</w:t>
            </w:r>
          </w:p>
        </w:tc>
        <w:tc>
          <w:tcPr>
            <w:tcW w:type="dxa" w:w="2880"/>
            <w:vAlign w:val="top"/>
          </w:tcPr>
          <w:p>
            <w:pPr>
              <w:spacing w:after="120"/>
              <w:jc w:val="left"/>
            </w:pPr>
            <w:r>
              <w:t>GraphQL</w:t>
            </w:r>
          </w:p>
        </w:tc>
        <w:tc>
          <w:tcPr>
            <w:tcW w:type="dxa" w:w="2880"/>
            <w:vAlign w:val="top"/>
          </w:tcPr>
          <w:p>
            <w:pPr>
              <w:spacing w:after="120"/>
              <w:jc w:val="left"/>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vAlign w:val="top"/>
          </w:tcPr>
          <w:p>
            <w:pPr>
              <w:spacing w:after="120"/>
              <w:jc w:val="left"/>
            </w:pPr>
            <w:r>
              <w:t>Phase 1 - Project Mobilization</w:t>
            </w:r>
          </w:p>
        </w:tc>
        <w:tc>
          <w:tcPr>
            <w:tcW w:type="dxa" w:w="2880"/>
            <w:vAlign w:val="top"/>
          </w:tcPr>
          <w:p>
            <w:pPr>
              <w:spacing w:after="120"/>
              <w:jc w:val="left"/>
            </w:pPr>
            <w:r>
              <w:t>2 weeks</w:t>
            </w:r>
          </w:p>
        </w:tc>
        <w:tc>
          <w:tcPr>
            <w:tcW w:type="dxa" w:w="2880"/>
            <w:vAlign w:val="top"/>
          </w:tcPr>
          <w:p>
            <w:pPr>
              <w:spacing w:after="120"/>
              <w:jc w:val="left"/>
            </w:pPr>
            <w:r>
              <w:t>Establish PMO, finalize 5 pilot gram panchayats, sign MoUs</w:t>
              <w:br/>
              <w:t>with district collectors. Procure drones, tablets, GCP kits; configure</w:t>
              <w:br/>
              <w:t>AWS landing zone with security guardrails. Hire core team,</w:t>
              <w:br/>
              <w:t>conduct stakeholder kickoff, publish communication plan and risk register.</w:t>
            </w:r>
          </w:p>
        </w:tc>
      </w:tr>
      <w:tr>
        <w:tc>
          <w:tcPr>
            <w:tcW w:type="dxa" w:w="2880"/>
            <w:vAlign w:val="top"/>
          </w:tcPr>
          <w:p>
            <w:pPr>
              <w:spacing w:after="120"/>
              <w:jc w:val="left"/>
            </w:pPr>
            <w:r>
              <w:t>Phase 2 - Base Map &amp; GCP Network</w:t>
            </w:r>
          </w:p>
        </w:tc>
        <w:tc>
          <w:tcPr>
            <w:tcW w:type="dxa" w:w="2880"/>
            <w:vAlign w:val="top"/>
          </w:tcPr>
          <w:p>
            <w:pPr>
              <w:spacing w:after="120"/>
              <w:jc w:val="left"/>
            </w:pPr>
            <w:r>
              <w:t>4 weeks</w:t>
            </w:r>
          </w:p>
        </w:tc>
        <w:tc>
          <w:tcPr>
            <w:tcW w:type="dxa" w:w="2880"/>
            <w:vAlign w:val="top"/>
          </w:tcPr>
          <w:p>
            <w:pPr>
              <w:spacing w:after="120"/>
              <w:jc w:val="left"/>
            </w:pPr>
            <w:r>
              <w:t>Densify 200 RTK GCPs across pilots, achieving 3 cm</w:t>
              <w:br/>
              <w:t>horizontal accuracy. Capture 10 cm resolution base imagery, digitize</w:t>
              <w:br/>
              <w:t>village boundaries and link to bhulekh IDs. Validate cadastral</w:t>
              <w:br/>
              <w:t>alignment within 10 cm tolerance; rectify mis-closed polygons.</w:t>
            </w:r>
          </w:p>
        </w:tc>
      </w:tr>
      <w:tr>
        <w:tc>
          <w:tcPr>
            <w:tcW w:type="dxa" w:w="2880"/>
            <w:vAlign w:val="top"/>
          </w:tcPr>
          <w:p>
            <w:pPr>
              <w:spacing w:after="120"/>
              <w:jc w:val="left"/>
            </w:pPr>
            <w:r>
              <w:t>Phase 3 - AI Model Training</w:t>
            </w:r>
          </w:p>
        </w:tc>
        <w:tc>
          <w:tcPr>
            <w:tcW w:type="dxa" w:w="2880"/>
            <w:vAlign w:val="top"/>
          </w:tcPr>
          <w:p>
            <w:pPr>
              <w:spacing w:after="120"/>
              <w:jc w:val="left"/>
            </w:pPr>
            <w:r>
              <w:t>6 weeks</w:t>
            </w:r>
          </w:p>
        </w:tc>
        <w:tc>
          <w:tcPr>
            <w:tcW w:type="dxa" w:w="2880"/>
            <w:vAlign w:val="top"/>
          </w:tcPr>
          <w:p>
            <w:pPr>
              <w:spacing w:after="120"/>
              <w:jc w:val="left"/>
            </w:pPr>
            <w:r>
              <w:t>Label 50 GB multi-spectral imagery; augment with synthetic data</w:t>
              <w:br/>
              <w:t>for minority crops. Train U-Net classifier; achieve ≥94%</w:t>
              <w:br/>
              <w:t>F1; containerize as GPU microservice. Integrate federated learning</w:t>
              <w:br/>
              <w:t>loop, enabling edge retraining without central data upload.</w:t>
            </w:r>
          </w:p>
        </w:tc>
      </w:tr>
      <w:tr>
        <w:tc>
          <w:tcPr>
            <w:tcW w:type="dxa" w:w="2880"/>
            <w:vAlign w:val="top"/>
          </w:tcPr>
          <w:p>
            <w:pPr>
              <w:spacing w:after="120"/>
              <w:jc w:val="left"/>
            </w:pPr>
            <w:r>
              <w:t>Phase 4 - Blockchain Integration</w:t>
            </w:r>
          </w:p>
        </w:tc>
        <w:tc>
          <w:tcPr>
            <w:tcW w:type="dxa" w:w="2880"/>
            <w:vAlign w:val="top"/>
          </w:tcPr>
          <w:p>
            <w:pPr>
              <w:spacing w:after="120"/>
              <w:jc w:val="left"/>
            </w:pPr>
            <w:r>
              <w:t>4 weeks</w:t>
            </w:r>
          </w:p>
        </w:tc>
        <w:tc>
          <w:tcPr>
            <w:tcW w:type="dxa" w:w="2880"/>
            <w:vAlign w:val="top"/>
          </w:tcPr>
          <w:p>
            <w:pPr>
              <w:spacing w:after="120"/>
              <w:jc w:val="left"/>
            </w:pPr>
            <w:r>
              <w:t>Deploy Hyperledger Fabric across 5 nodes; develop chaincode</w:t>
              <w:br/>
              <w:t>for mutation workflow. Implement IPFS pinning service;</w:t>
              <w:br/>
              <w:t>generate parcel QR codes printable on RoR.</w:t>
              <w:br/>
              <w:t>Conduct penetration testing; obtain CERT-In security certification.</w:t>
            </w:r>
          </w:p>
        </w:tc>
      </w:tr>
      <w:tr>
        <w:tc>
          <w:tcPr>
            <w:tcW w:type="dxa" w:w="2880"/>
            <w:vAlign w:val="top"/>
          </w:tcPr>
          <w:p>
            <w:pPr>
              <w:spacing w:after="120"/>
              <w:jc w:val="left"/>
            </w:pPr>
            <w:r>
              <w:t>Phase 5 - Pilot Survey Execution</w:t>
            </w:r>
          </w:p>
        </w:tc>
        <w:tc>
          <w:tcPr>
            <w:tcW w:type="dxa" w:w="2880"/>
            <w:vAlign w:val="top"/>
          </w:tcPr>
          <w:p>
            <w:pPr>
              <w:spacing w:after="120"/>
              <w:jc w:val="left"/>
            </w:pPr>
            <w:r>
              <w:t>8 weeks</w:t>
            </w:r>
          </w:p>
        </w:tc>
        <w:tc>
          <w:tcPr>
            <w:tcW w:type="dxa" w:w="2880"/>
            <w:vAlign w:val="top"/>
          </w:tcPr>
          <w:p>
            <w:pPr>
              <w:spacing w:after="120"/>
              <w:jc w:val="left"/>
            </w:pPr>
            <w:r>
              <w:t>Fly 600 ha daily; generate orthomosaics within 6</w:t>
              <w:br/>
              <w:t>h; classify crops automatically. Patwaris validate 100 parcels/day</w:t>
              <w:br/>
              <w:t>using AR overlay; sync delta nightly. Achieve 5-day</w:t>
              <w:br/>
              <w:t>completion per gram panchayat versus previous 300 man-days.</w:t>
            </w:r>
          </w:p>
        </w:tc>
      </w:tr>
      <w:tr>
        <w:tc>
          <w:tcPr>
            <w:tcW w:type="dxa" w:w="2880"/>
            <w:vAlign w:val="top"/>
          </w:tcPr>
          <w:p>
            <w:pPr>
              <w:spacing w:after="120"/>
              <w:jc w:val="left"/>
            </w:pPr>
            <w:r>
              <w:t>Phase 6 - User Training &amp; Rollout</w:t>
            </w:r>
          </w:p>
        </w:tc>
        <w:tc>
          <w:tcPr>
            <w:tcW w:type="dxa" w:w="2880"/>
            <w:vAlign w:val="top"/>
          </w:tcPr>
          <w:p>
            <w:pPr>
              <w:spacing w:after="120"/>
              <w:jc w:val="left"/>
            </w:pPr>
            <w:r>
              <w:t>6 weeks</w:t>
            </w:r>
          </w:p>
        </w:tc>
        <w:tc>
          <w:tcPr>
            <w:tcW w:type="dxa" w:w="2880"/>
            <w:vAlign w:val="top"/>
          </w:tcPr>
          <w:p>
            <w:pPr>
              <w:spacing w:after="120"/>
              <w:jc w:val="left"/>
            </w:pPr>
            <w:r>
              <w:t>Train 200 Patwaris via micro-videos; certify on drone</w:t>
              <w:br/>
              <w:t>safety and data ethics. Launch citizen portal; integrate</w:t>
              <w:br/>
              <w:t>with e-Mitra kiosks for vernacular access. Collect</w:t>
              <w:br/>
              <w:t>feedback; iterate UI/UX achieving SUS score ≥80.</w:t>
            </w:r>
          </w:p>
        </w:tc>
      </w:tr>
      <w:tr>
        <w:tc>
          <w:tcPr>
            <w:tcW w:type="dxa" w:w="2880"/>
            <w:vAlign w:val="top"/>
          </w:tcPr>
          <w:p>
            <w:pPr>
              <w:spacing w:after="120"/>
              <w:jc w:val="left"/>
            </w:pPr>
            <w:r>
              <w:t>Phase 7 - Scale-up &amp; SLA Handover</w:t>
            </w:r>
          </w:p>
        </w:tc>
        <w:tc>
          <w:tcPr>
            <w:tcW w:type="dxa" w:w="2880"/>
            <w:vAlign w:val="top"/>
          </w:tcPr>
          <w:p>
            <w:pPr>
              <w:spacing w:after="120"/>
              <w:jc w:val="left"/>
            </w:pPr>
            <w:r>
              <w:t>12 weeks</w:t>
            </w:r>
          </w:p>
        </w:tc>
        <w:tc>
          <w:tcPr>
            <w:tcW w:type="dxa" w:w="2880"/>
            <w:vAlign w:val="top"/>
          </w:tcPr>
          <w:p>
            <w:pPr>
              <w:spacing w:after="120"/>
              <w:jc w:val="left"/>
            </w:pPr>
            <w:r>
              <w:t>Expand to 100 gram panchayats; deploy 30 drone</w:t>
              <w:br/>
              <w:t>teams; establish spares depot. Negotiate statewide SLA—99.5% uptime,</w:t>
              <w:br/>
              <w:t>5-day survey, &lt;1% area error. Transition to</w:t>
              <w:br/>
              <w:t>NIC managed services; provide knowledge transfer documentation.</w:t>
            </w:r>
          </w:p>
        </w:tc>
      </w:tr>
    </w:tbl>
    <w:p>
      <w:bookmarkStart w:id="None" w:name="sec_objectives"/>
      <w:pPr>
        <w:pStyle w:val="Heading1"/>
      </w:pPr>
      <w:r>
        <w:t>Objectives</w:t>
      </w:r>
      <w:bookmarkEnd w:id="None"/>
    </w:p>
    <w:p>
      <w:pPr>
        <w:pStyle w:val="ListBullet"/>
      </w:pPr>
      <w:r>
        <w:t>Reduce Girdawari cycle from 300 to 5 man-days per</w:t>
        <w:br/>
        <w:t>Gram Panchayat while maintaining 99% data accuracy. Achieve</w:t>
        <w:br/>
        <w:t>2 cm spatial resolution drone imagery enabling 5</w:t>
        <w:br/>
        <w:t>cm boundary demarcation certainty. Auto-classify 10 crop types</w:t>
        <w:br/>
        <w:t>with ≥94% F1-score, eliminating manual crop entry errors.</w:t>
      </w:r>
    </w:p>
    <w:p>
      <w:pPr>
        <w:pStyle w:val="ListBullet"/>
      </w:pPr>
      <w:r>
        <w:t>Deliver tamper-evident blockchain land records, cutting mutation fraud</w:t>
        <w:br/>
        <w:t>cases by 90% within first year. Provide offline-capable</w:t>
        <w:br/>
        <w:t>tablet app, syncing via village Wi-Fi, usable by</w:t>
        <w:br/>
        <w:t>Patwaris with minimal digital literacy. Establish statewide helpdesk</w:t>
        <w:br/>
        <w:t>resolving 95% drone/tablet issues within 4 working hours.</w:t>
      </w:r>
    </w:p>
    <w:p>
      <w:pPr>
        <w:pStyle w:val="ListBullet"/>
      </w:pPr>
      <w:r>
        <w:t>Integrate real-time analytics dashboard for Collectors, forecasting crop acreage</w:t>
        <w:br/>
        <w:t>within 2% deviation versus final figures. Enable citizen self-service</w:t>
        <w:br/>
        <w:t>parcel verification via QR code, reducing RTI petitions</w:t>
        <w:br/>
        <w:t>by 55%. Generate open data APIs feeding PMFBY,</w:t>
        <w:br/>
        <w:t>accelerating insurance payout from 60 to 15 days.</w:t>
      </w:r>
    </w:p>
    <w:p>
      <w:pPr>
        <w:pStyle w:val="ListBullet"/>
      </w:pPr>
      <w:r>
        <w:t>Train 1,000 field staff through micro-learning, raising digital literacy</w:t>
        <w:br/>
        <w:t>from 30% to 85% in 12 months. Achieve ₹45</w:t>
        <w:br/>
        <w:t>per survey number cost ceiling despite tech upgrade,</w:t>
        <w:br/>
        <w:t>leveraging economies of scale. Ensure zero drone accidents</w:t>
        <w:br/>
        <w:t>via mandatory simulator certification and geo-fenced no-fly zones.</w:t>
      </w:r>
    </w:p>
    <w:p>
      <w:pPr>
        <w:pStyle w:val="ListBullet"/>
      </w:pPr>
      <w:r>
        <w:t>Create 200 direct rural jobs for drone pilots</w:t>
        <w:br/>
        <w:t>and data validators, promoting local employment. Maintain &lt;1%</w:t>
        <w:br/>
        <w:t>area measurement error compared to traditional chain survey</w:t>
        <w:br/>
        <w:t>under RICS standards. Provide bilingual interface (Hindi &amp;</w:t>
        <w:br/>
        <w:t>Rajasthani) ensuring inclusive access across literacy levels.</w:t>
      </w:r>
    </w:p>
    <w:p>
      <w:pPr>
        <w:pStyle w:val="ListBullet"/>
      </w:pPr>
      <w:r>
        <w:t>Establish redundant cloud-edge infrastructure with 99.9% uptime,</w:t>
        <w:br/>
        <w:t>resilient to network outages. Secure GDPR-compliant data</w:t>
        <w:br/>
        <w:t>handling, anonymizing farmer PII before analytics processing.</w:t>
        <w:br/>
        <w:t>Enable modular architecture allowing future integration with</w:t>
        <w:br/>
        <w:t>e-Office and National Generic Document Registration System.</w:t>
      </w:r>
    </w:p>
    <w:p>
      <w:pPr>
        <w:pStyle w:val="ListBullet"/>
      </w:pPr>
      <w:r>
        <w:t>Attain environmental compliance via electric drones, cutting 15 t</w:t>
        <w:br/>
        <w:t>CO₂ per district annually versus fuel surveys. Create replicable</w:t>
        <w:br/>
        <w:t>framework for other states, positioning Rajasthan as national digital</w:t>
        <w:br/>
        <w:t>land-governance leader. Continuously improve AI models through federated</w:t>
        <w:br/>
        <w:t>learning, maintaining ≥95% accuracy as crop patterns evolve.</w:t>
      </w:r>
    </w:p>
    <w:p>
      <w:bookmarkStart w:id="None" w:name="sec_acceptance_criteria"/>
      <w:pPr>
        <w:pStyle w:val="Heading1"/>
      </w:pPr>
      <w:r>
        <w:t>Acceptance Criteria</w:t>
      </w:r>
      <w:bookmarkEnd w:id="None"/>
    </w:p>
    <w:p>
      <w:pPr>
        <w:pStyle w:val="ListBullet"/>
      </w:pPr>
      <w:r>
        <w:t>Complete orthomosaic generation within 6 hours of drone landing for entire gram</w:t>
        <w:br/>
        <w:t>panchayat area at 2 cm GSD. Survey 5,000 fields in ≤5 working</w:t>
        <w:br/>
        <w:t>days using maximum two drone teams, validated by time-tracker logs. AI crop</w:t>
        <w:br/>
        <w:t>classification achieves ≥94% F1-score on independent test set certified by state agri-university.</w:t>
      </w:r>
    </w:p>
    <w:p>
      <w:pPr>
        <w:pStyle w:val="ListBullet"/>
      </w:pPr>
      <w:r>
        <w:t>Blockchain ledger records every mutation hash with &lt;30 second confirmation time and</w:t>
        <w:br/>
        <w:t>100% audit trail availability. Tablet app functions offline for 8 hours; syncs</w:t>
        <w:br/>
        <w:t>delta within 5 minutes when bandwidth ≥10 Mbps. Area measurement error ≤1%</w:t>
        <w:br/>
        <w:t>compared to dual-frequency RTK ground survey on 10% random check plots.</w:t>
      </w:r>
    </w:p>
    <w:p>
      <w:pPr>
        <w:pStyle w:val="ListBullet"/>
      </w:pPr>
      <w:r>
        <w:t>Patwari training completion rate ≥95%; post-training assessment mean score ≥80% on</w:t>
        <w:br/>
        <w:t>digital workflows. Helpdesk first-call resolution rate ≥85%; average ticket closure time</w:t>
        <w:br/>
        <w:t>≤4 business hours during field season. Citizen portal uptime ≥99.5% measured</w:t>
        <w:br/>
        <w:t>monthly via synthetic monitoring; page load ≤3 s on 4G.</w:t>
      </w:r>
    </w:p>
    <w:p>
      <w:pPr>
        <w:pStyle w:val="ListBullet"/>
      </w:pPr>
      <w:r>
        <w:t>Data upload to PMFBY API within 24 hours of survey approval; crop</w:t>
        <w:br/>
        <w:t>acreage deviation ≤2% versus final figures. Security audit yields zero critical vulnerabilities;</w:t>
        <w:br/>
        <w:t>achieve CERT-In compliance certificate before go-live. Zero drone safety incidents; maintain</w:t>
        <w:br/>
        <w:t>valid third-party insurance and DGCA remote pilot licenses for all operators.</w:t>
      </w:r>
    </w:p>
    <w:p>
      <w:pPr>
        <w:pStyle w:val="ListBullet"/>
      </w:pPr>
      <w:r>
        <w:t>Cost per survey number remains ≤₹45 including amortized drone, cloud and</w:t>
        <w:br/>
        <w:t>personnel expenses. Mutation fraud cases drop by 90% in pilot districts</w:t>
        <w:br/>
        <w:t>compared to preceding 3-year average, per police records. Collector dashboard forecasts</w:t>
        <w:br/>
        <w:t>survey completion date within ±5% accuracy, updated daily via predictive model.</w:t>
      </w:r>
    </w:p>
    <w:p>
      <w:pPr>
        <w:pStyle w:val="ListBullet"/>
      </w:pPr>
      <w:r>
        <w:t>Environmental assessment shows 15 t CO₂ reduction per</w:t>
        <w:br/>
        <w:t>district annually versus conventional vehicular surveys. SUS usability</w:t>
        <w:br/>
        <w:t>score of tablet app ≥80 across 100</w:t>
        <w:br/>
        <w:t>surveyed Patwaris within first quarter of deployment.</w:t>
      </w:r>
    </w:p>
    <w:p>
      <w:pPr>
        <w:pStyle w:val="ListBullet"/>
      </w:pPr>
      <w:r>
        <w:t>All deliverables pass user acceptance testing by</w:t>
        <w:br/>
        <w:t>district-level committee chaired by Collector with sign-off.</w:t>
        <w:br/>
        <w:t>Knowledge transfer documentation completeness score ≥90% as</w:t>
        <w:br/>
        <w:t>verified by third-party audit at project closure.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vAlign w:val="top"/>
          </w:tcPr>
          <w:p>
            <w:pPr>
              <w:spacing w:after="120"/>
              <w:jc w:val="left"/>
            </w:pPr>
            <w:r>
              <w:t>Project Manager</w:t>
            </w:r>
          </w:p>
        </w:tc>
        <w:tc>
          <w:tcPr>
            <w:tcW w:type="dxa" w:w="2160"/>
            <w:vAlign w:val="top"/>
          </w:tcPr>
          <w:p>
            <w:pPr>
              <w:spacing w:after="120"/>
              <w:jc w:val="left"/>
            </w:pPr>
            <w:r>
              <w:t>1</w:t>
            </w:r>
          </w:p>
        </w:tc>
        <w:tc>
          <w:tcPr>
            <w:tcW w:type="dxa" w:w="2160"/>
            <w:vAlign w:val="top"/>
          </w:tcPr>
          <w:p>
            <w:pPr>
              <w:spacing w:after="120"/>
              <w:jc w:val="left"/>
            </w:pPr>
            <w:r>
              <w:t>12</w:t>
            </w:r>
          </w:p>
        </w:tc>
        <w:tc>
          <w:tcPr>
            <w:tcW w:type="dxa" w:w="2160"/>
            <w:vAlign w:val="top"/>
          </w:tcPr>
          <w:p>
            <w:pPr>
              <w:spacing w:after="120"/>
              <w:jc w:val="left"/>
            </w:pPr>
            <w:r>
              <w:t>Overall delivery, risk management, stakeholder alignment, budget control.</w:t>
            </w:r>
          </w:p>
        </w:tc>
      </w:tr>
      <w:tr>
        <w:tc>
          <w:tcPr>
            <w:tcW w:type="dxa" w:w="2160"/>
            <w:vAlign w:val="top"/>
          </w:tcPr>
          <w:p>
            <w:pPr>
              <w:spacing w:after="120"/>
              <w:jc w:val="left"/>
            </w:pPr>
            <w:r>
              <w:t>Solution Architect</w:t>
            </w:r>
          </w:p>
        </w:tc>
        <w:tc>
          <w:tcPr>
            <w:tcW w:type="dxa" w:w="2160"/>
            <w:vAlign w:val="top"/>
          </w:tcPr>
          <w:p>
            <w:pPr>
              <w:spacing w:after="120"/>
              <w:jc w:val="left"/>
            </w:pPr>
            <w:r>
              <w:t>1</w:t>
            </w:r>
          </w:p>
        </w:tc>
        <w:tc>
          <w:tcPr>
            <w:tcW w:type="dxa" w:w="2160"/>
            <w:vAlign w:val="top"/>
          </w:tcPr>
          <w:p>
            <w:pPr>
              <w:spacing w:after="120"/>
              <w:jc w:val="left"/>
            </w:pPr>
            <w:r>
              <w:t>10</w:t>
            </w:r>
          </w:p>
        </w:tc>
        <w:tc>
          <w:tcPr>
            <w:tcW w:type="dxa" w:w="2160"/>
            <w:vAlign w:val="top"/>
          </w:tcPr>
          <w:p>
            <w:pPr>
              <w:spacing w:after="120"/>
              <w:jc w:val="left"/>
            </w:pPr>
            <w:r>
              <w:t>Design drone-GIS-blockchain integration, scalability, security and compliance.</w:t>
            </w:r>
          </w:p>
        </w:tc>
      </w:tr>
      <w:tr>
        <w:tc>
          <w:tcPr>
            <w:tcW w:type="dxa" w:w="2160"/>
            <w:vAlign w:val="top"/>
          </w:tcPr>
          <w:p>
            <w:pPr>
              <w:spacing w:after="120"/>
              <w:jc w:val="left"/>
            </w:pPr>
            <w:r>
              <w:t>Drone Pilot</w:t>
            </w:r>
          </w:p>
        </w:tc>
        <w:tc>
          <w:tcPr>
            <w:tcW w:type="dxa" w:w="2160"/>
            <w:vAlign w:val="top"/>
          </w:tcPr>
          <w:p>
            <w:pPr>
              <w:spacing w:after="120"/>
              <w:jc w:val="left"/>
            </w:pPr>
            <w:r>
              <w:t>30</w:t>
            </w:r>
          </w:p>
        </w:tc>
        <w:tc>
          <w:tcPr>
            <w:tcW w:type="dxa" w:w="2160"/>
            <w:vAlign w:val="top"/>
          </w:tcPr>
          <w:p>
            <w:pPr>
              <w:spacing w:after="120"/>
              <w:jc w:val="left"/>
            </w:pPr>
            <w:r>
              <w:t>3</w:t>
            </w:r>
          </w:p>
        </w:tc>
        <w:tc>
          <w:tcPr>
            <w:tcW w:type="dxa" w:w="2160"/>
            <w:vAlign w:val="top"/>
          </w:tcPr>
          <w:p>
            <w:pPr>
              <w:spacing w:after="120"/>
              <w:jc w:val="left"/>
            </w:pPr>
            <w:r>
              <w:t>Execute survey flights, maintain equipment, adhere to DGCA regulations.</w:t>
            </w:r>
          </w:p>
        </w:tc>
      </w:tr>
      <w:tr>
        <w:tc>
          <w:tcPr>
            <w:tcW w:type="dxa" w:w="2160"/>
            <w:vAlign w:val="top"/>
          </w:tcPr>
          <w:p>
            <w:pPr>
              <w:spacing w:after="120"/>
              <w:jc w:val="left"/>
            </w:pPr>
            <w:r>
              <w:t>GIS Data Engineer</w:t>
            </w:r>
          </w:p>
        </w:tc>
        <w:tc>
          <w:tcPr>
            <w:tcW w:type="dxa" w:w="2160"/>
            <w:vAlign w:val="top"/>
          </w:tcPr>
          <w:p>
            <w:pPr>
              <w:spacing w:after="120"/>
              <w:jc w:val="left"/>
            </w:pPr>
            <w:r>
              <w:t>5</w:t>
            </w:r>
          </w:p>
        </w:tc>
        <w:tc>
          <w:tcPr>
            <w:tcW w:type="dxa" w:w="2160"/>
            <w:vAlign w:val="top"/>
          </w:tcPr>
          <w:p>
            <w:pPr>
              <w:spacing w:after="120"/>
              <w:jc w:val="left"/>
            </w:pPr>
            <w:r>
              <w:t>6</w:t>
            </w:r>
          </w:p>
        </w:tc>
        <w:tc>
          <w:tcPr>
            <w:tcW w:type="dxa" w:w="2160"/>
            <w:vAlign w:val="top"/>
          </w:tcPr>
          <w:p>
            <w:pPr>
              <w:spacing w:after="120"/>
              <w:jc w:val="left"/>
            </w:pPr>
            <w:r>
              <w:t>Process imagery, generate orthomosaics, maintain PostGIS layers.</w:t>
            </w:r>
          </w:p>
        </w:tc>
      </w:tr>
      <w:tr>
        <w:tc>
          <w:tcPr>
            <w:tcW w:type="dxa" w:w="2160"/>
            <w:vAlign w:val="top"/>
          </w:tcPr>
          <w:p>
            <w:pPr>
              <w:spacing w:after="120"/>
              <w:jc w:val="left"/>
            </w:pPr>
            <w:r>
              <w:t>AI/ML Engineer</w:t>
            </w:r>
          </w:p>
        </w:tc>
        <w:tc>
          <w:tcPr>
            <w:tcW w:type="dxa" w:w="2160"/>
            <w:vAlign w:val="top"/>
          </w:tcPr>
          <w:p>
            <w:pPr>
              <w:spacing w:after="120"/>
              <w:jc w:val="left"/>
            </w:pPr>
            <w:r>
              <w:t>3</w:t>
            </w:r>
          </w:p>
        </w:tc>
        <w:tc>
          <w:tcPr>
            <w:tcW w:type="dxa" w:w="2160"/>
            <w:vAlign w:val="top"/>
          </w:tcPr>
          <w:p>
            <w:pPr>
              <w:spacing w:after="120"/>
              <w:jc w:val="left"/>
            </w:pPr>
            <w:r>
              <w:t>5</w:t>
            </w:r>
          </w:p>
        </w:tc>
        <w:tc>
          <w:tcPr>
            <w:tcW w:type="dxa" w:w="2160"/>
            <w:vAlign w:val="top"/>
          </w:tcPr>
          <w:p>
            <w:pPr>
              <w:spacing w:after="120"/>
              <w:jc w:val="left"/>
            </w:pPr>
            <w:r>
              <w:t>Train crop classification models, optimize inference latency, federated learning.</w:t>
            </w:r>
          </w:p>
        </w:tc>
      </w:tr>
      <w:tr>
        <w:tc>
          <w:tcPr>
            <w:tcW w:type="dxa" w:w="2160"/>
            <w:vAlign w:val="top"/>
          </w:tcPr>
          <w:p>
            <w:pPr>
              <w:spacing w:after="120"/>
              <w:jc w:val="left"/>
            </w:pPr>
            <w:r>
              <w:t>Blockchain Developer</w:t>
            </w:r>
          </w:p>
        </w:tc>
        <w:tc>
          <w:tcPr>
            <w:tcW w:type="dxa" w:w="2160"/>
            <w:vAlign w:val="top"/>
          </w:tcPr>
          <w:p>
            <w:pPr>
              <w:spacing w:after="120"/>
              <w:jc w:val="left"/>
            </w:pPr>
            <w:r>
              <w:t>2</w:t>
            </w:r>
          </w:p>
        </w:tc>
        <w:tc>
          <w:tcPr>
            <w:tcW w:type="dxa" w:w="2160"/>
            <w:vAlign w:val="top"/>
          </w:tcPr>
          <w:p>
            <w:pPr>
              <w:spacing w:after="120"/>
              <w:jc w:val="left"/>
            </w:pPr>
            <w:r>
              <w:t>4</w:t>
            </w:r>
          </w:p>
        </w:tc>
        <w:tc>
          <w:tcPr>
            <w:tcW w:type="dxa" w:w="2160"/>
            <w:vAlign w:val="top"/>
          </w:tcPr>
          <w:p>
            <w:pPr>
              <w:spacing w:after="120"/>
              <w:jc w:val="left"/>
            </w:pPr>
            <w:r>
              <w:t>Develop smart contracts, IPFS integration, ledger security and audit APIs.</w:t>
            </w:r>
          </w:p>
        </w:tc>
      </w:tr>
      <w:tr>
        <w:tc>
          <w:tcPr>
            <w:tcW w:type="dxa" w:w="2160"/>
            <w:vAlign w:val="top"/>
          </w:tcPr>
          <w:p>
            <w:pPr>
              <w:spacing w:after="120"/>
              <w:jc w:val="left"/>
            </w:pPr>
            <w:r>
              <w:t>DevOps Engineer</w:t>
            </w:r>
          </w:p>
        </w:tc>
        <w:tc>
          <w:tcPr>
            <w:tcW w:type="dxa" w:w="2160"/>
            <w:vAlign w:val="top"/>
          </w:tcPr>
          <w:p>
            <w:pPr>
              <w:spacing w:after="120"/>
              <w:jc w:val="left"/>
            </w:pPr>
            <w:r>
              <w:t>2</w:t>
            </w:r>
          </w:p>
        </w:tc>
        <w:tc>
          <w:tcPr>
            <w:tcW w:type="dxa" w:w="2160"/>
            <w:vAlign w:val="top"/>
          </w:tcPr>
          <w:p>
            <w:pPr>
              <w:spacing w:after="120"/>
              <w:jc w:val="left"/>
            </w:pPr>
            <w:r>
              <w:t>5</w:t>
            </w:r>
          </w:p>
        </w:tc>
        <w:tc>
          <w:tcPr>
            <w:tcW w:type="dxa" w:w="2160"/>
            <w:vAlign w:val="top"/>
          </w:tcPr>
          <w:p>
            <w:pPr>
              <w:spacing w:after="120"/>
              <w:jc w:val="left"/>
            </w:pPr>
            <w:r>
              <w:t>CI/CD pipelines, Kubernetes, monitoring, cost optimization on AWS.</w:t>
            </w:r>
          </w:p>
        </w:tc>
      </w:tr>
      <w:tr>
        <w:tc>
          <w:tcPr>
            <w:tcW w:type="dxa" w:w="2160"/>
            <w:vAlign w:val="top"/>
          </w:tcPr>
          <w:p>
            <w:pPr>
              <w:spacing w:after="120"/>
              <w:jc w:val="left"/>
            </w:pPr>
            <w:r>
              <w:t>Training Lead</w:t>
            </w:r>
          </w:p>
        </w:tc>
        <w:tc>
          <w:tcPr>
            <w:tcW w:type="dxa" w:w="2160"/>
            <w:vAlign w:val="top"/>
          </w:tcPr>
          <w:p>
            <w:pPr>
              <w:spacing w:after="120"/>
              <w:jc w:val="left"/>
            </w:pPr>
            <w:r>
              <w:t>1</w:t>
            </w:r>
          </w:p>
        </w:tc>
        <w:tc>
          <w:tcPr>
            <w:tcW w:type="dxa" w:w="2160"/>
            <w:vAlign w:val="top"/>
          </w:tcPr>
          <w:p>
            <w:pPr>
              <w:spacing w:after="120"/>
              <w:jc w:val="left"/>
            </w:pPr>
            <w:r>
              <w:t>8</w:t>
            </w:r>
          </w:p>
        </w:tc>
        <w:tc>
          <w:tcPr>
            <w:tcW w:type="dxa" w:w="2160"/>
            <w:vAlign w:val="top"/>
          </w:tcPr>
          <w:p>
            <w:pPr>
              <w:spacing w:after="120"/>
              <w:jc w:val="left"/>
            </w:pPr>
            <w:r>
              <w:t>Curate micro-learning, conduct workshops, measure learning outcomes.</w:t>
            </w:r>
          </w:p>
        </w:tc>
      </w:tr>
      <w:tr>
        <w:tc>
          <w:tcPr>
            <w:tcW w:type="dxa" w:w="2160"/>
            <w:vAlign w:val="top"/>
          </w:tcPr>
          <w:p>
            <w:pPr>
              <w:spacing w:after="120"/>
              <w:jc w:val="left"/>
            </w:pPr>
            <w:r>
              <w:t>Helpdesk Support</w:t>
            </w:r>
          </w:p>
        </w:tc>
        <w:tc>
          <w:tcPr>
            <w:tcW w:type="dxa" w:w="2160"/>
            <w:vAlign w:val="top"/>
          </w:tcPr>
          <w:p>
            <w:pPr>
              <w:spacing w:after="120"/>
              <w:jc w:val="left"/>
            </w:pPr>
            <w:r>
              <w:t>6</w:t>
            </w:r>
          </w:p>
        </w:tc>
        <w:tc>
          <w:tcPr>
            <w:tcW w:type="dxa" w:w="2160"/>
            <w:vAlign w:val="top"/>
          </w:tcPr>
          <w:p>
            <w:pPr>
              <w:spacing w:after="120"/>
              <w:jc w:val="left"/>
            </w:pPr>
            <w:r>
              <w:t>2</w:t>
            </w:r>
          </w:p>
        </w:tc>
        <w:tc>
          <w:tcPr>
            <w:tcW w:type="dxa" w:w="2160"/>
            <w:vAlign w:val="top"/>
          </w:tcPr>
          <w:p>
            <w:pPr>
              <w:spacing w:after="120"/>
              <w:jc w:val="left"/>
            </w:pPr>
            <w:r>
              <w:t>Resolve field issues, maintain FAQ, escalate hardware failures.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vAlign w:val="top"/>
          </w:tcPr>
          <w:p>
            <w:pPr>
              <w:spacing w:after="120"/>
              <w:jc w:val="left"/>
            </w:pPr>
            <w:r>
              <w:t>DJI M300 RTK Drones (30 units)</w:t>
            </w:r>
          </w:p>
        </w:tc>
        <w:tc>
          <w:tcPr>
            <w:tcW w:type="dxa" w:w="2880"/>
            <w:vAlign w:val="top"/>
          </w:tcPr>
          <w:p>
            <w:pPr>
              <w:spacing w:after="120"/>
              <w:jc w:val="left"/>
            </w:pPr>
            <w:r>
              <w:t>₹45,000,000</w:t>
            </w:r>
          </w:p>
        </w:tc>
        <w:tc>
          <w:tcPr>
            <w:tcW w:type="dxa" w:w="2880"/>
            <w:vAlign w:val="top"/>
          </w:tcPr>
          <w:p>
            <w:pPr>
              <w:spacing w:after="120"/>
              <w:jc w:val="left"/>
            </w:pPr>
            <w:r>
              <w:t>Includes batteries, payloads, rugged cases.</w:t>
            </w:r>
          </w:p>
        </w:tc>
      </w:tr>
      <w:tr>
        <w:tc>
          <w:tcPr>
            <w:tcW w:type="dxa" w:w="2880"/>
            <w:vAlign w:val="top"/>
          </w:tcPr>
          <w:p>
            <w:pPr>
              <w:spacing w:after="120"/>
              <w:jc w:val="left"/>
            </w:pPr>
            <w:r>
              <w:t>Cloud Infrastructure (AWS 18 months)</w:t>
            </w:r>
          </w:p>
        </w:tc>
        <w:tc>
          <w:tcPr>
            <w:tcW w:type="dxa" w:w="2880"/>
            <w:vAlign w:val="top"/>
          </w:tcPr>
          <w:p>
            <w:pPr>
              <w:spacing w:after="120"/>
              <w:jc w:val="left"/>
            </w:pPr>
            <w:r>
              <w:t>₹9,000,000</w:t>
            </w:r>
          </w:p>
        </w:tc>
        <w:tc>
          <w:tcPr>
            <w:tcW w:type="dxa" w:w="2880"/>
            <w:vAlign w:val="top"/>
          </w:tcPr>
          <w:p>
            <w:pPr>
              <w:spacing w:after="120"/>
              <w:jc w:val="left"/>
            </w:pPr>
            <w:r>
              <w:t>EKS, GPU instances, storage, CDN.</w:t>
            </w:r>
          </w:p>
        </w:tc>
      </w:tr>
      <w:tr>
        <w:tc>
          <w:tcPr>
            <w:tcW w:type="dxa" w:w="2880"/>
            <w:vAlign w:val="top"/>
          </w:tcPr>
          <w:p>
            <w:pPr>
              <w:spacing w:after="120"/>
              <w:jc w:val="left"/>
            </w:pPr>
            <w:r>
              <w:t>Software Licences (Pix4D, ArcGIS, hyperledger)</w:t>
            </w:r>
          </w:p>
        </w:tc>
        <w:tc>
          <w:tcPr>
            <w:tcW w:type="dxa" w:w="2880"/>
            <w:vAlign w:val="top"/>
          </w:tcPr>
          <w:p>
            <w:pPr>
              <w:spacing w:after="120"/>
              <w:jc w:val="left"/>
            </w:pPr>
            <w:r>
              <w:t>₹6,000,000</w:t>
            </w:r>
          </w:p>
        </w:tc>
        <w:tc>
          <w:tcPr>
            <w:tcW w:type="dxa" w:w="2880"/>
            <w:vAlign w:val="top"/>
          </w:tcPr>
          <w:p>
            <w:pPr>
              <w:spacing w:after="120"/>
              <w:jc w:val="left"/>
            </w:pPr>
            <w:r>
              <w:t>Annual subscriptions with support.</w:t>
            </w:r>
          </w:p>
        </w:tc>
      </w:tr>
      <w:tr>
        <w:tc>
          <w:tcPr>
            <w:tcW w:type="dxa" w:w="2880"/>
            <w:vAlign w:val="top"/>
          </w:tcPr>
          <w:p>
            <w:pPr>
              <w:spacing w:after="120"/>
              <w:jc w:val="left"/>
            </w:pPr>
            <w:r>
              <w:t>Personnel Salaries (18 months)</w:t>
            </w:r>
          </w:p>
        </w:tc>
        <w:tc>
          <w:tcPr>
            <w:tcW w:type="dxa" w:w="2880"/>
            <w:vAlign w:val="top"/>
          </w:tcPr>
          <w:p>
            <w:pPr>
              <w:spacing w:after="120"/>
              <w:jc w:val="left"/>
            </w:pPr>
            <w:r>
              <w:t>₹22,500,000</w:t>
            </w:r>
          </w:p>
        </w:tc>
        <w:tc>
          <w:tcPr>
            <w:tcW w:type="dxa" w:w="2880"/>
            <w:vAlign w:val="top"/>
          </w:tcPr>
          <w:p>
            <w:pPr>
              <w:spacing w:after="120"/>
              <w:jc w:val="left"/>
            </w:pPr>
            <w:r>
              <w:t>Covers all roles including pilots.</w:t>
            </w:r>
          </w:p>
        </w:tc>
      </w:tr>
      <w:tr>
        <w:tc>
          <w:tcPr>
            <w:tcW w:type="dxa" w:w="2880"/>
            <w:vAlign w:val="top"/>
          </w:tcPr>
          <w:p>
            <w:pPr>
              <w:spacing w:after="120"/>
              <w:jc w:val="left"/>
            </w:pPr>
            <w:r>
              <w:t>Training &amp; Documentation</w:t>
            </w:r>
          </w:p>
        </w:tc>
        <w:tc>
          <w:tcPr>
            <w:tcW w:type="dxa" w:w="2880"/>
            <w:vAlign w:val="top"/>
          </w:tcPr>
          <w:p>
            <w:pPr>
              <w:spacing w:after="120"/>
              <w:jc w:val="left"/>
            </w:pPr>
            <w:r>
              <w:t>₹2,250,000</w:t>
            </w:r>
          </w:p>
        </w:tc>
        <w:tc>
          <w:tcPr>
            <w:tcW w:type="dxa" w:w="2880"/>
            <w:vAlign w:val="top"/>
          </w:tcPr>
          <w:p>
            <w:pPr>
              <w:spacing w:after="120"/>
              <w:jc w:val="left"/>
            </w:pPr>
            <w:r>
              <w:t>Venues, content, travel, certification.</w:t>
            </w:r>
          </w:p>
        </w:tc>
      </w:tr>
      <w:tr>
        <w:tc>
          <w:tcPr>
            <w:tcW w:type="dxa" w:w="2880"/>
            <w:vAlign w:val="top"/>
          </w:tcPr>
          <w:p>
            <w:pPr>
              <w:spacing w:after="120"/>
              <w:jc w:val="left"/>
            </w:pPr>
            <w:r>
              <w:t>Security Audit &amp; Compliance</w:t>
            </w:r>
          </w:p>
        </w:tc>
        <w:tc>
          <w:tcPr>
            <w:tcW w:type="dxa" w:w="2880"/>
            <w:vAlign w:val="top"/>
          </w:tcPr>
          <w:p>
            <w:pPr>
              <w:spacing w:after="120"/>
              <w:jc w:val="left"/>
            </w:pPr>
            <w:r>
              <w:t>₹1,500,000</w:t>
            </w:r>
          </w:p>
        </w:tc>
        <w:tc>
          <w:tcPr>
            <w:tcW w:type="dxa" w:w="2880"/>
            <w:vAlign w:val="top"/>
          </w:tcPr>
          <w:p>
            <w:pPr>
              <w:spacing w:after="120"/>
              <w:jc w:val="left"/>
            </w:pPr>
            <w:r>
              <w:t>CERT-In, penetration testing, GDPR audit.</w:t>
            </w:r>
          </w:p>
        </w:tc>
      </w:tr>
      <w:tr>
        <w:tc>
          <w:tcPr>
            <w:tcW w:type="dxa" w:w="2880"/>
            <w:vAlign w:val="top"/>
          </w:tcPr>
          <w:p>
            <w:pPr>
              <w:spacing w:after="120"/>
              <w:jc w:val="left"/>
            </w:pPr>
            <w:r>
              <w:t>Spares &amp; Insurance</w:t>
            </w:r>
          </w:p>
        </w:tc>
        <w:tc>
          <w:tcPr>
            <w:tcW w:type="dxa" w:w="2880"/>
            <w:vAlign w:val="top"/>
          </w:tcPr>
          <w:p>
            <w:pPr>
              <w:spacing w:after="120"/>
              <w:jc w:val="left"/>
            </w:pPr>
            <w:r>
              <w:t>₹3,750,000</w:t>
            </w:r>
          </w:p>
        </w:tc>
        <w:tc>
          <w:tcPr>
            <w:tcW w:type="dxa" w:w="2880"/>
            <w:vAlign w:val="top"/>
          </w:tcPr>
          <w:p>
            <w:pPr>
              <w:spacing w:after="120"/>
              <w:jc w:val="left"/>
            </w:pPr>
            <w:r>
              <w:t>Propellers, sensors, drone insurance.</w:t>
            </w:r>
          </w:p>
        </w:tc>
      </w:tr>
      <w:tr>
        <w:tc>
          <w:tcPr>
            <w:tcW w:type="dxa" w:w="2880"/>
            <w:vAlign w:val="top"/>
          </w:tcPr>
          <w:p>
            <w:pPr>
              <w:spacing w:after="120"/>
              <w:jc w:val="left"/>
            </w:pPr>
            <w:r>
              <w:t>Contingency (5%)</w:t>
            </w:r>
          </w:p>
        </w:tc>
        <w:tc>
          <w:tcPr>
            <w:tcW w:type="dxa" w:w="2880"/>
            <w:vAlign w:val="top"/>
          </w:tcPr>
          <w:p>
            <w:pPr>
              <w:spacing w:after="120"/>
              <w:jc w:val="left"/>
            </w:pPr>
            <w:r>
              <w:t>₹4,500,000</w:t>
            </w:r>
          </w:p>
        </w:tc>
        <w:tc>
          <w:tcPr>
            <w:tcW w:type="dxa" w:w="2880"/>
            <w:vAlign w:val="top"/>
          </w:tcPr>
          <w:p>
            <w:pPr>
              <w:spacing w:after="120"/>
              <w:jc w:val="left"/>
            </w:pPr>
            <w:r>
              <w:t>Risk buffer for FX, inflation.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vAlign w:val="top"/>
          </w:tcPr>
          <w:p>
            <w:pPr>
              <w:spacing w:after="120"/>
              <w:jc w:val="left"/>
            </w:pPr>
            <w:r>
              <w:t>Average Survey Days per Gram Panchayat</w:t>
            </w:r>
          </w:p>
        </w:tc>
        <w:tc>
          <w:tcPr>
            <w:tcW w:type="dxa" w:w="2160"/>
            <w:vAlign w:val="top"/>
          </w:tcPr>
          <w:p>
            <w:pPr>
              <w:spacing w:after="120"/>
              <w:jc w:val="left"/>
            </w:pPr>
            <w:r>
              <w:t>≤5</w:t>
            </w:r>
          </w:p>
        </w:tc>
        <w:tc>
          <w:tcPr>
            <w:tcW w:type="dxa" w:w="2160"/>
            <w:vAlign w:val="top"/>
          </w:tcPr>
          <w:p>
            <w:pPr>
              <w:spacing w:after="120"/>
              <w:jc w:val="left"/>
            </w:pPr>
            <w:r>
              <w:t>Automated time-tracker logs</w:t>
            </w:r>
          </w:p>
        </w:tc>
        <w:tc>
          <w:tcPr>
            <w:tcW w:type="dxa" w:w="2160"/>
            <w:vAlign w:val="top"/>
          </w:tcPr>
          <w:p>
            <w:pPr>
              <w:spacing w:after="120"/>
              <w:jc w:val="left"/>
            </w:pPr>
            <w:r>
              <w:t>Weekly</w:t>
            </w:r>
          </w:p>
        </w:tc>
      </w:tr>
      <w:tr>
        <w:tc>
          <w:tcPr>
            <w:tcW w:type="dxa" w:w="2160"/>
            <w:vAlign w:val="top"/>
          </w:tcPr>
          <w:p>
            <w:pPr>
              <w:spacing w:after="120"/>
              <w:jc w:val="left"/>
            </w:pPr>
            <w:r>
              <w:t>AI Crop Classification F1-Score</w:t>
            </w:r>
          </w:p>
        </w:tc>
        <w:tc>
          <w:tcPr>
            <w:tcW w:type="dxa" w:w="2160"/>
            <w:vAlign w:val="top"/>
          </w:tcPr>
          <w:p>
            <w:pPr>
              <w:spacing w:after="120"/>
              <w:jc w:val="left"/>
            </w:pPr>
            <w:r>
              <w:t>≥94%</w:t>
            </w:r>
          </w:p>
        </w:tc>
        <w:tc>
          <w:tcPr>
            <w:tcW w:type="dxa" w:w="2160"/>
            <w:vAlign w:val="top"/>
          </w:tcPr>
          <w:p>
            <w:pPr>
              <w:spacing w:after="120"/>
              <w:jc w:val="left"/>
            </w:pPr>
            <w:r>
              <w:t>Independent test set validation</w:t>
            </w:r>
          </w:p>
        </w:tc>
        <w:tc>
          <w:tcPr>
            <w:tcW w:type="dxa" w:w="2160"/>
            <w:vAlign w:val="top"/>
          </w:tcPr>
          <w:p>
            <w:pPr>
              <w:spacing w:after="120"/>
              <w:jc w:val="left"/>
            </w:pPr>
            <w:r>
              <w:t>Monthly</w:t>
            </w:r>
          </w:p>
        </w:tc>
      </w:tr>
      <w:tr>
        <w:tc>
          <w:tcPr>
            <w:tcW w:type="dxa" w:w="2160"/>
            <w:vAlign w:val="top"/>
          </w:tcPr>
          <w:p>
            <w:pPr>
              <w:spacing w:after="120"/>
              <w:jc w:val="left"/>
            </w:pPr>
            <w:r>
              <w:t>Data Sync Success Rate</w:t>
            </w:r>
          </w:p>
        </w:tc>
        <w:tc>
          <w:tcPr>
            <w:tcW w:type="dxa" w:w="2160"/>
            <w:vAlign w:val="top"/>
          </w:tcPr>
          <w:p>
            <w:pPr>
              <w:spacing w:after="120"/>
              <w:jc w:val="left"/>
            </w:pPr>
            <w:r>
              <w:t>≥99%</w:t>
            </w:r>
          </w:p>
        </w:tc>
        <w:tc>
          <w:tcPr>
            <w:tcW w:type="dxa" w:w="2160"/>
            <w:vAlign w:val="top"/>
          </w:tcPr>
          <w:p>
            <w:pPr>
              <w:spacing w:after="120"/>
              <w:jc w:val="left"/>
            </w:pPr>
            <w:r>
              <w:t>Kubernetes liveness probes</w:t>
            </w:r>
          </w:p>
        </w:tc>
        <w:tc>
          <w:tcPr>
            <w:tcW w:type="dxa" w:w="2160"/>
            <w:vAlign w:val="top"/>
          </w:tcPr>
          <w:p>
            <w:pPr>
              <w:spacing w:after="120"/>
              <w:jc w:val="left"/>
            </w:pPr>
            <w:r>
              <w:t>Daily</w:t>
            </w:r>
          </w:p>
        </w:tc>
      </w:tr>
      <w:tr>
        <w:tc>
          <w:tcPr>
            <w:tcW w:type="dxa" w:w="2160"/>
            <w:vAlign w:val="top"/>
          </w:tcPr>
          <w:p>
            <w:pPr>
              <w:spacing w:after="120"/>
              <w:jc w:val="left"/>
            </w:pPr>
            <w:r>
              <w:t>Helpdesk Ticket Resolution Time</w:t>
            </w:r>
          </w:p>
        </w:tc>
        <w:tc>
          <w:tcPr>
            <w:tcW w:type="dxa" w:w="2160"/>
            <w:vAlign w:val="top"/>
          </w:tcPr>
          <w:p>
            <w:pPr>
              <w:spacing w:after="120"/>
              <w:jc w:val="left"/>
            </w:pPr>
            <w:r>
              <w:t>≤4 hours</w:t>
            </w:r>
          </w:p>
        </w:tc>
        <w:tc>
          <w:tcPr>
            <w:tcW w:type="dxa" w:w="2160"/>
            <w:vAlign w:val="top"/>
          </w:tcPr>
          <w:p>
            <w:pPr>
              <w:spacing w:after="120"/>
              <w:jc w:val="left"/>
            </w:pPr>
            <w:r>
              <w:t>Zendesk reports</w:t>
            </w:r>
          </w:p>
        </w:tc>
        <w:tc>
          <w:tcPr>
            <w:tcW w:type="dxa" w:w="2160"/>
            <w:vAlign w:val="top"/>
          </w:tcPr>
          <w:p>
            <w:pPr>
              <w:spacing w:after="120"/>
              <w:jc w:val="left"/>
            </w:pPr>
            <w:r>
              <w:t>Daily</w:t>
            </w:r>
          </w:p>
        </w:tc>
      </w:tr>
      <w:tr>
        <w:tc>
          <w:tcPr>
            <w:tcW w:type="dxa" w:w="2160"/>
            <w:vAlign w:val="top"/>
          </w:tcPr>
          <w:p>
            <w:pPr>
              <w:spacing w:after="120"/>
              <w:jc w:val="left"/>
            </w:pPr>
            <w:r>
              <w:t>Blockchain Ledger Uptime</w:t>
            </w:r>
          </w:p>
        </w:tc>
        <w:tc>
          <w:tcPr>
            <w:tcW w:type="dxa" w:w="2160"/>
            <w:vAlign w:val="top"/>
          </w:tcPr>
          <w:p>
            <w:pPr>
              <w:spacing w:after="120"/>
              <w:jc w:val="left"/>
            </w:pPr>
            <w:r>
              <w:t>≥99.9%</w:t>
            </w:r>
          </w:p>
        </w:tc>
        <w:tc>
          <w:tcPr>
            <w:tcW w:type="dxa" w:w="2160"/>
            <w:vAlign w:val="top"/>
          </w:tcPr>
          <w:p>
            <w:pPr>
              <w:spacing w:after="120"/>
              <w:jc w:val="left"/>
            </w:pPr>
            <w:r>
              <w:t>Prometheus metrics</w:t>
            </w:r>
          </w:p>
        </w:tc>
        <w:tc>
          <w:tcPr>
            <w:tcW w:type="dxa" w:w="2160"/>
            <w:vAlign w:val="top"/>
          </w:tcPr>
          <w:p>
            <w:pPr>
              <w:spacing w:after="120"/>
              <w:jc w:val="left"/>
            </w:pPr>
            <w:r>
              <w:t>Continuous</w:t>
            </w:r>
          </w:p>
        </w:tc>
      </w:tr>
      <w:tr>
        <w:tc>
          <w:tcPr>
            <w:tcW w:type="dxa" w:w="2160"/>
            <w:vAlign w:val="top"/>
          </w:tcPr>
          <w:p>
            <w:pPr>
              <w:spacing w:after="120"/>
              <w:jc w:val="left"/>
            </w:pPr>
            <w:r>
              <w:t>Area Measurement Error</w:t>
            </w:r>
          </w:p>
        </w:tc>
        <w:tc>
          <w:tcPr>
            <w:tcW w:type="dxa" w:w="2160"/>
            <w:vAlign w:val="top"/>
          </w:tcPr>
          <w:p>
            <w:pPr>
              <w:spacing w:after="120"/>
              <w:jc w:val="left"/>
            </w:pPr>
            <w:r>
              <w:t>≤1%</w:t>
            </w:r>
          </w:p>
        </w:tc>
        <w:tc>
          <w:tcPr>
            <w:tcW w:type="dxa" w:w="2160"/>
            <w:vAlign w:val="top"/>
          </w:tcPr>
          <w:p>
            <w:pPr>
              <w:spacing w:after="120"/>
              <w:jc w:val="left"/>
            </w:pPr>
            <w:r>
              <w:t>RTK ground truth sampling</w:t>
            </w:r>
          </w:p>
        </w:tc>
        <w:tc>
          <w:tcPr>
            <w:tcW w:type="dxa" w:w="2160"/>
            <w:vAlign w:val="top"/>
          </w:tcPr>
          <w:p>
            <w:pPr>
              <w:spacing w:after="120"/>
              <w:jc w:val="left"/>
            </w:pPr>
            <w:r>
              <w:t>Per survey</w:t>
            </w:r>
          </w:p>
        </w:tc>
      </w:tr>
      <w:tr>
        <w:tc>
          <w:tcPr>
            <w:tcW w:type="dxa" w:w="2160"/>
            <w:vAlign w:val="top"/>
          </w:tcPr>
          <w:p>
            <w:pPr>
              <w:spacing w:after="120"/>
              <w:jc w:val="left"/>
            </w:pPr>
            <w:r>
              <w:t>Training Assessment Pass Rate</w:t>
            </w:r>
          </w:p>
        </w:tc>
        <w:tc>
          <w:tcPr>
            <w:tcW w:type="dxa" w:w="2160"/>
            <w:vAlign w:val="top"/>
          </w:tcPr>
          <w:p>
            <w:pPr>
              <w:spacing w:after="120"/>
              <w:jc w:val="left"/>
            </w:pPr>
            <w:r>
              <w:t>≥95%</w:t>
            </w:r>
          </w:p>
        </w:tc>
        <w:tc>
          <w:tcPr>
            <w:tcW w:type="dxa" w:w="2160"/>
            <w:vAlign w:val="top"/>
          </w:tcPr>
          <w:p>
            <w:pPr>
              <w:spacing w:after="120"/>
              <w:jc w:val="left"/>
            </w:pPr>
            <w:r>
              <w:t>LMS quiz scores</w:t>
            </w:r>
          </w:p>
        </w:tc>
        <w:tc>
          <w:tcPr>
            <w:tcW w:type="dxa" w:w="2160"/>
            <w:vAlign w:val="top"/>
          </w:tcPr>
          <w:p>
            <w:pPr>
              <w:spacing w:after="120"/>
              <w:jc w:val="left"/>
            </w:pPr>
            <w:r>
              <w:t>Post-session</w:t>
            </w:r>
          </w:p>
        </w:tc>
      </w:tr>
      <w:tr>
        <w:tc>
          <w:tcPr>
            <w:tcW w:type="dxa" w:w="2160"/>
            <w:vAlign w:val="top"/>
          </w:tcPr>
          <w:p>
            <w:pPr>
              <w:spacing w:after="120"/>
              <w:jc w:val="left"/>
            </w:pPr>
            <w:r>
              <w:t>Cost per Survey Number</w:t>
            </w:r>
          </w:p>
        </w:tc>
        <w:tc>
          <w:tcPr>
            <w:tcW w:type="dxa" w:w="2160"/>
            <w:vAlign w:val="top"/>
          </w:tcPr>
          <w:p>
            <w:pPr>
              <w:spacing w:after="120"/>
              <w:jc w:val="left"/>
            </w:pPr>
            <w:r>
              <w:t>≤₹45</w:t>
            </w:r>
          </w:p>
        </w:tc>
        <w:tc>
          <w:tcPr>
            <w:tcW w:type="dxa" w:w="2160"/>
            <w:vAlign w:val="top"/>
          </w:tcPr>
          <w:p>
            <w:pPr>
              <w:spacing w:after="120"/>
              <w:jc w:val="left"/>
            </w:pPr>
            <w:r>
              <w:t>Finance audit</w:t>
            </w:r>
          </w:p>
        </w:tc>
        <w:tc>
          <w:tcPr>
            <w:tcW w:type="dxa" w:w="2160"/>
            <w:vAlign w:val="top"/>
          </w:tcPr>
          <w:p>
            <w:pPr>
              <w:spacing w:after="120"/>
              <w:jc w:val="left"/>
            </w:pPr>
            <w:r>
              <w:t>Monthly</w:t>
            </w:r>
          </w:p>
        </w:tc>
      </w:tr>
      <w:tr>
        <w:tc>
          <w:tcPr>
            <w:tcW w:type="dxa" w:w="2160"/>
            <w:vAlign w:val="top"/>
          </w:tcPr>
          <w:p>
            <w:pPr>
              <w:spacing w:after="120"/>
              <w:jc w:val="left"/>
            </w:pPr>
            <w:r>
              <w:t>CO₂ Emission Reduction</w:t>
            </w:r>
          </w:p>
        </w:tc>
        <w:tc>
          <w:tcPr>
            <w:tcW w:type="dxa" w:w="2160"/>
            <w:vAlign w:val="top"/>
          </w:tcPr>
          <w:p>
            <w:pPr>
              <w:spacing w:after="120"/>
              <w:jc w:val="left"/>
            </w:pPr>
            <w:r>
              <w:t>≥15 t per district yearly</w:t>
            </w:r>
          </w:p>
        </w:tc>
        <w:tc>
          <w:tcPr>
            <w:tcW w:type="dxa" w:w="2160"/>
            <w:vAlign w:val="top"/>
          </w:tcPr>
          <w:p>
            <w:pPr>
              <w:spacing w:after="120"/>
              <w:jc w:val="left"/>
            </w:pPr>
            <w:r>
              <w:t>Drone vs vehicle audit</w:t>
            </w:r>
          </w:p>
        </w:tc>
        <w:tc>
          <w:tcPr>
            <w:tcW w:type="dxa" w:w="2160"/>
            <w:vAlign w:val="top"/>
          </w:tcPr>
          <w:p>
            <w:pPr>
              <w:spacing w:after="120"/>
              <w:jc w:val="left"/>
            </w:pPr>
            <w:r>
              <w:t>Annually</w:t>
            </w:r>
          </w:p>
        </w:tc>
      </w:tr>
      <w:tr>
        <w:tc>
          <w:tcPr>
            <w:tcW w:type="dxa" w:w="2160"/>
            <w:vAlign w:val="top"/>
          </w:tcPr>
          <w:p>
            <w:pPr>
              <w:spacing w:after="120"/>
              <w:jc w:val="left"/>
            </w:pPr>
            <w:r>
              <w:t>Mutation Fraud Reduction</w:t>
            </w:r>
          </w:p>
        </w:tc>
        <w:tc>
          <w:tcPr>
            <w:tcW w:type="dxa" w:w="2160"/>
            <w:vAlign w:val="top"/>
          </w:tcPr>
          <w:p>
            <w:pPr>
              <w:spacing w:after="120"/>
              <w:jc w:val="left"/>
            </w:pPr>
            <w:r>
              <w:t>≥90%</w:t>
            </w:r>
          </w:p>
        </w:tc>
        <w:tc>
          <w:tcPr>
            <w:tcW w:type="dxa" w:w="2160"/>
            <w:vAlign w:val="top"/>
          </w:tcPr>
          <w:p>
            <w:pPr>
              <w:spacing w:after="120"/>
              <w:jc w:val="left"/>
            </w:pPr>
            <w:r>
              <w:t>Police case comparison</w:t>
            </w:r>
          </w:p>
        </w:tc>
        <w:tc>
          <w:tcPr>
            <w:tcW w:type="dxa" w:w="2160"/>
            <w:vAlign w:val="top"/>
          </w:tcPr>
          <w:p>
            <w:pPr>
              <w:spacing w:after="120"/>
              <w:jc w:val="left"/>
            </w:pPr>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