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Drone-Enabled Rapid Girdawari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pPr>
        <w:spacing w:after="120"/>
        <w:jc w:val="both"/>
      </w:pPr>
      <w:r>
        <w:t>Manual Girdawari in Rajasthan consumes 300 man-days per Gram Panchayat due to 5,000 scattered fields. Patwari walks 16 fields/day, causing severe delays and missed crop cycles. Paper forms degrade, digitisation lags months, creating outdated land records. Absence of GPS tagging yields spatial errors, disputes, and compensation fraud. No real-time oversight; administration discovers problems only after harvest. Resource crunch: one Patwari serves multiple villages without vehicles or survey tools. Consequential revenue loss, farmer grievances, and litigation burden the revenue courts. Climate risks: flash floods and heatwaves further shrink the narrow survey window.</w:t>
      </w:r>
    </w:p>
    <w:p>
      <w:bookmarkStart w:id="1" w:name="sec_key_challenges"/>
      <w:pPr>
        <w:pStyle w:val="Heading1"/>
      </w:pPr>
      <w:r>
        <w:t>Key Challenges</w:t>
      </w:r>
      <w:bookmarkEnd w:id="1"/>
    </w:p>
    <w:p>
      <w:pPr>
        <w:pStyle w:val="ListBullet"/>
      </w:pPr>
      <w:r>
        <w:t>Fragmented Land Records: Historical manual ledgers are incomplete, error-prone, and duplicated across siloed registers, forcing field staff to reconcile conflicting ownership, tenancy, and crop data before every Girdawari cycle.</w:t>
      </w:r>
    </w:p>
    <w:p>
      <w:pPr>
        <w:pStyle w:val="ListBullet"/>
      </w:pPr>
      <w:r>
        <w:t>Severe Resource Constraints: Each Patwari covers 5–8 villages with no vehicles, power, or internet at survey sites; paper forms, pens, and rubber stamps remain the primary tools, stretching a 300 man-day process across months of revisits.</w:t>
      </w:r>
    </w:p>
    <w:p>
      <w:pPr>
        <w:pStyle w:val="ListBullet"/>
      </w:pPr>
      <w:r>
        <w:t>Manual Data Redundancy: Crop area, type, and yield are first sketched in triplicate on parchment, re-entered into excel at the tehsil, and then transcribed into the state land hub, creating multiple failure points and weeks of re-work.</w:t>
      </w:r>
    </w:p>
    <w:p>
      <w:pPr>
        <w:pStyle w:val="ListBullet"/>
      </w:pPr>
      <w:r>
        <w:t>Administrative Bottlenecks: Physical files shuttle between Patwari, Kanungo, and SDM offices for signatures, causing an average 6-week lag between harvest observation and record finalization, missing crop insurance and subsidy deadlines.</w:t>
      </w:r>
    </w:p>
    <w:p>
      <w:pPr>
        <w:pStyle w:val="ListBullet"/>
      </w:pPr>
      <w:r>
        <w:t>Outdated Geospatial References: Village maps date to 1960s cadastral surveys; new parcel splits, roads, and irrigation networks are unmapped, forcing reliance on village elders’ memory and delaying dispute resolution.</w:t>
      </w:r>
    </w:p>
    <w:p>
      <w:pPr>
        <w:pStyle w:val="ListBullet"/>
      </w:pPr>
      <w:r>
        <w:t>Capacity &amp; Training Deficit: 72 % of Patwaris have never used a smartphone for data entry; GNSS, drones, and GIS portals are unfamiliar, resulting in low trust and continued dependence on traditional chain-and-compass measurements.</w:t>
      </w:r>
    </w:p>
    <w:p>
      <w:pPr>
        <w:pStyle w:val="ListBullet"/>
      </w:pPr>
      <w:r>
        <w:t>Scalability Wall: With a projected 15 % annual increase in survey demand due to crop insurance, e-NAM, and DBT schemes, the current paper-based workflow cannot scale without linear growth in manpower and budget.</w:t>
      </w:r>
    </w:p>
    <w:p>
      <w:bookmarkStart w:id="1" w:name="sec_solution_approach"/>
      <w:pPr>
        <w:pStyle w:val="Heading1"/>
      </w:pPr>
      <w:r>
        <w:t>Our Solution Approach</w:t>
      </w:r>
      <w:bookmarkEnd w:id="1"/>
    </w:p>
    <w:p>
      <w:pPr>
        <w:pStyle w:val="Heading2"/>
      </w:pPr>
      <w:r>
        <w:t>Micro-Drone Swarm Deployment</w:t>
      </w:r>
    </w:p>
    <w:p>
      <w:pPr>
        <w:spacing w:after="120"/>
        <w:jc w:val="both"/>
      </w:pPr>
      <w:r>
        <w:t>Deploy 250 g category quadcopters with 1 cm GSD RGB and multispectral cameras. Pre-program 5 km autonomous flights covering 250 acres per battery cycle. Real-time kinematic (RTK) correction ensures ≤3 cm absolute accuracy. Encrypted video streams to cloud for immediate analytics and archival.</w:t>
      </w:r>
    </w:p>
    <w:p>
      <w:pPr>
        <w:pStyle w:val="Heading2"/>
      </w:pPr>
      <w:r>
        <w:t>AI Crop Classification</w:t>
      </w:r>
    </w:p>
    <w:p>
      <w:pPr>
        <w:spacing w:after="120"/>
        <w:jc w:val="both"/>
      </w:pPr>
      <w:r>
        <w:t>Convolutional neural network trained on 50 k labelled field samples distinguishes wheat, mustard, gram, fallow. Multispectral NDVI time-series improves classification F1 score to 96 %. Edge inference on drone reduces redundant image upload by 70 %. Disputed patches auto-flagged for Patwari ground truth validation.</w:t>
      </w:r>
    </w:p>
    <w:p>
      <w:pPr>
        <w:pStyle w:val="Heading2"/>
      </w:pPr>
      <w:r>
        <w:t>Mobile Patwari Companion App</w:t>
      </w:r>
    </w:p>
    <w:p>
      <w:pPr>
        <w:spacing w:after="120"/>
        <w:jc w:val="both"/>
      </w:pPr>
      <w:r>
        <w:t>Offline-first Android app consumes 30 MB, supports 10 languages including Devanagari and Urdu. One-tap sync when 4G available; else stores 5,000 records in SQLite. Interactive map overlays drone orthomosaic for digitised boundary verification. Voice-to-text notes attach to each survey number for context.</w:t>
      </w:r>
    </w:p>
    <w:p>
      <w:pPr>
        <w:pStyle w:val="Heading2"/>
      </w:pPr>
      <w:r>
        <w:t>Blockchain Record Ledger</w:t>
      </w:r>
    </w:p>
    <w:p>
      <w:pPr>
        <w:spacing w:after="120"/>
        <w:jc w:val="both"/>
      </w:pPr>
      <w:r>
        <w:t>Each drone flight hash anchored to Hyperledger Fabric for tamper-proof timestamp. Smart contract triggers alerts when crop area deviation exceeds 2 %. Permissioned access for Patwari, tehsildar, and farmer via Aadhaar eKYC. Immutable history eliminates manual tampering and builds trust.</w:t>
      </w:r>
    </w:p>
    <w:p>
      <w:pPr>
        <w:pStyle w:val="Heading2"/>
      </w:pPr>
      <w:r>
        <w:t>Edge Cloud Processing</w:t>
      </w:r>
    </w:p>
    <w:p>
      <w:pPr>
        <w:spacing w:after="120"/>
        <w:jc w:val="both"/>
      </w:pPr>
      <w:r>
        <w:t>Images processed on-premise in district data centre using Kubernetes GPU nodes. Auto-scales from 2 to 20 pods during peak survey weeks. Compressed analytics pushed to state bhulekh portal every midnight. Reduces bandwidth cost by 65 % compared to raw image upload.</w:t>
      </w:r>
    </w:p>
    <w:p>
      <w:pPr>
        <w:pStyle w:val="Heading2"/>
      </w:pPr>
      <w:r>
        <w:t>Human-in-the-Loop QA</w:t>
      </w:r>
    </w:p>
    <w:p>
      <w:pPr>
        <w:spacing w:after="120"/>
        <w:jc w:val="both"/>
      </w:pPr>
      <w:r>
        <w:t>AI confidence score &lt;0.8 routes imagery to outsourced annotation team within 2 hours. Annotated data fed back to retrain model weekly for continuous improvement. Patwari earns ₹5 incentive per validated field, boosting engagement.</w:t>
      </w:r>
    </w:p>
    <w:p>
      <w:pPr>
        <w:pStyle w:val="Heading2"/>
      </w:pPr>
      <w:r>
        <w:t>Capacity-Building &amp; Change Management</w:t>
      </w:r>
    </w:p>
    <w:p>
      <w:pPr>
        <w:spacing w:after="120"/>
        <w:jc w:val="both"/>
      </w:pPr>
      <w:r>
        <w:t>Five-day bootcamp covers drone regulations, app usage, and data ethics. WhatsApp support group with 30-minute SLA resolves field queries. Quarterly refresher and certification tied to HR appraisal for motivation.</w:t>
      </w:r>
    </w:p>
    <w:p>
      <w:bookmarkStart w:id="1" w:name="sec_architecture_diagram"/>
      <w:pPr>
        <w:pStyle w:val="Heading1"/>
      </w:pPr>
      <w:r>
        <w:t>Architecture Diagram</w:t>
      </w:r>
      <w:bookmarkEnd w:id="1"/>
    </w:p>
    <w:p>
      <w:r>
        <w:t>Architecture Diagram (Mermaid code fallback):</w:t>
      </w:r>
    </w:p>
    <w:p>
      <w:r>
        <w:t>flowchart TD</w:t>
        <w:br/>
        <w:t>subgraph Client</w:t>
        <w:br/>
        <w:t>A[Patwari Android App] Node-&gt;|JWT| B[Offline SQLite]</w:t>
        <w:br/>
        <w:t>C[Farmer Web Portal]</w:t>
        <w:br/>
        <w:t>end</w:t>
        <w:br/>
        <w:t>subgraph Edge</w:t>
        <w:br/>
        <w:t>D[Micro-Drone RTK] Node-&gt;|Node5 GHz| E[Edge GPU Node]</w:t>
        <w:br/>
        <w:t>F[Mobile Tower 4G]</w:t>
        <w:br/>
        <w:t>end</w:t>
        <w:br/>
        <w:t>subgraph Gateway</w:t>
        <w:br/>
        <w:t>G[API Gateway Kong] Node-&gt;|Rate Limit| H[Auth Service OIDC]</w:t>
        <w:br/>
        <w:t>I[Message Queue Kafka]</w:t>
        <w:br/>
        <w:t>end</w:t>
        <w:br/>
        <w:t>subgraph Services</w:t>
        <w:br/>
        <w:t>J[AI Crop Classifier] Node-&gt;|gRPC| K[Area Calculator]</w:t>
        <w:br/>
        <w:t>L[Blockchain Writer] Node-&gt;|Hash| M[Hyperledger]</w:t>
        <w:br/>
        <w:t>N[Alert Manager]</w:t>
        <w:br/>
        <w:t>end</w:t>
        <w:br/>
        <w:t>subgraph Data</w:t>
        <w:br/>
        <w:t>O[PostgreSQL GIS] Node-&gt;|WMS| P[PostGIS]</w:t>
        <w:br/>
        <w:t>Q[MinIO Object Store]</w:t>
        <w:br/>
        <w:t>R[TimescaleDB Metrics]</w:t>
        <w:br/>
        <w:t>end</w:t>
        <w:br/>
        <w:t>subgraph Infrastructure</w:t>
        <w:br/>
        <w:t>S[K8s Cluster] Node-&gt;|Helm| T[Prometheus]</w:t>
        <w:br/>
        <w:t>U[Grafana Dashboard]</w:t>
        <w:br/>
        <w:t>V[Velero Backup]</w:t>
        <w:br/>
        <w:t>end</w:t>
        <w:br/>
        <w:t>E --&gt; G</w:t>
        <w:br/>
        <w:t>A --&gt; F</w:t>
        <w:br/>
        <w:t>F --&gt; G</w:t>
        <w:br/>
        <w:t>G --&gt; J</w:t>
        <w:br/>
        <w:t>J --&gt; I</w:t>
        <w:br/>
        <w:t>I --&gt; L</w:t>
        <w:br/>
        <w:t>K --&gt; O</w:t>
        <w:br/>
        <w:t>L --&gt; M</w:t>
        <w:br/>
        <w:t>O --&gt; C</w:t>
        <w:br/>
        <w:t>R --&gt; U</w:t>
        <w:br/>
        <w:t>P --&gt; N</w:t>
        <w:br/>
        <w:t>N --&gt; A</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spacing w:after="120"/>
              <w:jc w:val="left"/>
            </w:pPr>
            <w:r>
              <w:t>DJI Mavic 3 RTK</w:t>
            </w:r>
          </w:p>
        </w:tc>
        <w:tc>
          <w:tcPr>
            <w:tcW w:type="dxa" w:w="2880"/>
            <w:vAlign w:val="top"/>
          </w:tcPr>
          <w:p>
            <w:pPr>
              <w:spacing w:after="120"/>
              <w:jc w:val="left"/>
            </w:pPr>
            <w:r>
              <w:t>QGroundControl</w:t>
            </w:r>
          </w:p>
        </w:tc>
        <w:tc>
          <w:tcPr>
            <w:tcW w:type="dxa" w:w="2880"/>
            <w:vAlign w:val="top"/>
          </w:tcPr>
          <w:p>
            <w:pPr>
              <w:spacing w:after="120"/>
              <w:jc w:val="left"/>
            </w:pPr>
            <w:r>
              <w:t>Python</w:t>
            </w:r>
          </w:p>
        </w:tc>
      </w:tr>
      <w:tr>
        <w:tc>
          <w:tcPr>
            <w:tcW w:type="dxa" w:w="2880"/>
            <w:vAlign w:val="top"/>
          </w:tcPr>
          <w:p>
            <w:pPr>
              <w:spacing w:after="120"/>
              <w:jc w:val="left"/>
            </w:pPr>
            <w:r>
              <w:t>PyTorch</w:t>
            </w:r>
          </w:p>
        </w:tc>
        <w:tc>
          <w:tcPr>
            <w:tcW w:type="dxa" w:w="2880"/>
            <w:vAlign w:val="top"/>
          </w:tcPr>
          <w:p>
            <w:pPr>
              <w:spacing w:after="120"/>
              <w:jc w:val="left"/>
            </w:pPr>
            <w:r>
              <w:t>ONNX Runtime</w:t>
            </w:r>
          </w:p>
        </w:tc>
        <w:tc>
          <w:tcPr>
            <w:tcW w:type="dxa" w:w="2880"/>
            <w:vAlign w:val="top"/>
          </w:tcPr>
          <w:p>
            <w:pPr>
              <w:spacing w:after="120"/>
              <w:jc w:val="left"/>
            </w:pPr>
            <w:r>
              <w:t>Flutter</w:t>
            </w:r>
          </w:p>
        </w:tc>
      </w:tr>
      <w:tr>
        <w:tc>
          <w:tcPr>
            <w:tcW w:type="dxa" w:w="2880"/>
            <w:vAlign w:val="top"/>
          </w:tcPr>
          <w:p>
            <w:pPr>
              <w:spacing w:after="120"/>
              <w:jc w:val="left"/>
            </w:pPr>
            <w:r>
              <w:t>Dart</w:t>
            </w:r>
          </w:p>
        </w:tc>
        <w:tc>
          <w:tcPr>
            <w:tcW w:type="dxa" w:w="2880"/>
            <w:vAlign w:val="top"/>
          </w:tcPr>
          <w:p>
            <w:pPr>
              <w:spacing w:after="120"/>
              <w:jc w:val="left"/>
            </w:pPr>
            <w:r>
              <w:t>PostgreSQL</w:t>
            </w:r>
          </w:p>
        </w:tc>
        <w:tc>
          <w:tcPr>
            <w:tcW w:type="dxa" w:w="2880"/>
            <w:vAlign w:val="top"/>
          </w:tcPr>
          <w:p>
            <w:pPr>
              <w:spacing w:after="120"/>
              <w:jc w:val="left"/>
            </w:pPr>
            <w:r>
              <w:t>PostGIS</w:t>
            </w:r>
          </w:p>
        </w:tc>
      </w:tr>
      <w:tr>
        <w:tc>
          <w:tcPr>
            <w:tcW w:type="dxa" w:w="2880"/>
            <w:vAlign w:val="top"/>
          </w:tcPr>
          <w:p>
            <w:pPr>
              <w:spacing w:after="120"/>
              <w:jc w:val="left"/>
            </w:pPr>
            <w:r>
              <w:t>TimescaleDB</w:t>
            </w:r>
          </w:p>
        </w:tc>
        <w:tc>
          <w:tcPr>
            <w:tcW w:type="dxa" w:w="2880"/>
            <w:vAlign w:val="top"/>
          </w:tcPr>
          <w:p>
            <w:pPr>
              <w:spacing w:after="120"/>
              <w:jc w:val="left"/>
            </w:pPr>
            <w:r>
              <w:t>Kafka</w:t>
            </w:r>
          </w:p>
        </w:tc>
        <w:tc>
          <w:tcPr>
            <w:tcW w:type="dxa" w:w="2880"/>
            <w:vAlign w:val="top"/>
          </w:tcPr>
          <w:p>
            <w:pPr>
              <w:spacing w:after="120"/>
              <w:jc w:val="left"/>
            </w:pPr>
            <w:r>
              <w:t>Kubernetes</w:t>
            </w:r>
          </w:p>
        </w:tc>
      </w:tr>
      <w:tr>
        <w:tc>
          <w:tcPr>
            <w:tcW w:type="dxa" w:w="2880"/>
            <w:vAlign w:val="top"/>
          </w:tcPr>
          <w:p>
            <w:pPr>
              <w:spacing w:after="120"/>
              <w:jc w:val="left"/>
            </w:pPr>
            <w:r>
              <w:t>Helm</w:t>
            </w:r>
          </w:p>
        </w:tc>
        <w:tc>
          <w:tcPr>
            <w:tcW w:type="dxa" w:w="2880"/>
            <w:vAlign w:val="top"/>
          </w:tcPr>
          <w:p>
            <w:pPr>
              <w:spacing w:after="120"/>
              <w:jc w:val="left"/>
            </w:pPr>
            <w:r>
              <w:t>Prometheus</w:t>
            </w:r>
          </w:p>
        </w:tc>
        <w:tc>
          <w:tcPr>
            <w:tcW w:type="dxa" w:w="2880"/>
            <w:vAlign w:val="top"/>
          </w:tcPr>
          <w:p>
            <w:pPr>
              <w:spacing w:after="120"/>
              <w:jc w:val="left"/>
            </w:pPr>
            <w:r>
              <w:t>Grafana</w:t>
            </w:r>
          </w:p>
        </w:tc>
      </w:tr>
      <w:tr>
        <w:tc>
          <w:tcPr>
            <w:tcW w:type="dxa" w:w="2880"/>
            <w:vAlign w:val="top"/>
          </w:tcPr>
          <w:p>
            <w:pPr>
              <w:spacing w:after="120"/>
              <w:jc w:val="left"/>
            </w:pPr>
            <w:r>
              <w:t>Hyperledger Fabric</w:t>
            </w:r>
          </w:p>
        </w:tc>
        <w:tc>
          <w:tcPr>
            <w:tcW w:type="dxa" w:w="2880"/>
            <w:vAlign w:val="top"/>
          </w:tcPr>
          <w:p>
            <w:pPr>
              <w:spacing w:after="120"/>
              <w:jc w:val="left"/>
            </w:pPr>
            <w:r>
              <w:t>OpenID Connect</w:t>
            </w:r>
          </w:p>
        </w:tc>
        <w:tc>
          <w:tcPr>
            <w:tcW w:type="dxa" w:w="2880"/>
            <w:vAlign w:val="top"/>
          </w:tcPr>
          <w:p>
            <w:pPr>
              <w:spacing w:after="120"/>
              <w:jc w:val="left"/>
            </w:pPr>
            <w:r>
              <w:t>MinIO</w:t>
            </w:r>
          </w:p>
        </w:tc>
      </w:tr>
      <w:tr>
        <w:tc>
          <w:tcPr>
            <w:tcW w:type="dxa" w:w="2880"/>
            <w:vAlign w:val="top"/>
          </w:tcPr>
          <w:p>
            <w:pPr>
              <w:spacing w:after="120"/>
              <w:jc w:val="left"/>
            </w:pPr>
            <w:r>
              <w:t>Airflow</w:t>
            </w:r>
          </w:p>
        </w:tc>
        <w:tc>
          <w:tcPr>
            <w:tcW w:type="dxa" w:w="2880"/>
            <w:vAlign w:val="top"/>
          </w:tcPr>
          <w:p>
            <w:pPr>
              <w:spacing w:after="120"/>
              <w:jc w:val="left"/>
            </w:pPr>
            <w:r>
              <w:t>RTKLib</w:t>
            </w:r>
          </w:p>
        </w:tc>
        <w:tc>
          <w:tcPr>
            <w:tcW w:type="dxa" w:w="2880"/>
            <w:vAlign w:val="top"/>
          </w:tcPr>
          <w:p>
            <w:pPr>
              <w:spacing w:after="120"/>
              <w:jc w:val="left"/>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vAlign w:val="top"/>
          </w:tcPr>
          <w:p>
            <w:pPr>
              <w:spacing w:after="120"/>
              <w:jc w:val="left"/>
            </w:pPr>
            <w:r>
              <w:t>Phase 1: Project Initiation</w:t>
            </w:r>
          </w:p>
        </w:tc>
        <w:tc>
          <w:tcPr>
            <w:tcW w:type="dxa" w:w="2880"/>
            <w:vAlign w:val="top"/>
          </w:tcPr>
          <w:p>
            <w:pPr>
              <w:spacing w:after="120"/>
              <w:jc w:val="left"/>
            </w:pPr>
            <w:r>
              <w:t>2 weeks</w:t>
            </w:r>
          </w:p>
        </w:tc>
        <w:tc>
          <w:tcPr>
            <w:tcW w:type="dxa" w:w="2880"/>
            <w:vAlign w:val="top"/>
          </w:tcPr>
          <w:p>
            <w:pPr>
              <w:spacing w:after="120"/>
              <w:jc w:val="left"/>
            </w:pPr>
            <w:r>
              <w:t>Finalise stakeholder charter, SoW, and resource</w:t>
              <w:br/>
              <w:t>onboarding. Conduct baseline survey of 3</w:t>
              <w:br/>
              <w:t>pilot Gram Panchayats. Set up cloud</w:t>
              <w:br/>
              <w:t>landing zone with security guardrails.</w:t>
            </w:r>
          </w:p>
        </w:tc>
      </w:tr>
      <w:tr>
        <w:tc>
          <w:tcPr>
            <w:tcW w:type="dxa" w:w="2880"/>
            <w:vAlign w:val="top"/>
          </w:tcPr>
          <w:p>
            <w:pPr>
              <w:spacing w:after="120"/>
              <w:jc w:val="left"/>
            </w:pPr>
            <w:r>
              <w:t>Phase 2: Drone &amp; Sensor Procurement</w:t>
            </w:r>
          </w:p>
        </w:tc>
        <w:tc>
          <w:tcPr>
            <w:tcW w:type="dxa" w:w="2880"/>
            <w:vAlign w:val="top"/>
          </w:tcPr>
          <w:p>
            <w:pPr>
              <w:spacing w:after="120"/>
              <w:jc w:val="left"/>
            </w:pPr>
            <w:r>
              <w:t>3 weeks</w:t>
            </w:r>
          </w:p>
        </w:tc>
        <w:tc>
          <w:tcPr>
            <w:tcW w:type="dxa" w:w="2880"/>
            <w:vAlign w:val="top"/>
          </w:tcPr>
          <w:p>
            <w:pPr>
              <w:spacing w:after="120"/>
              <w:jc w:val="left"/>
            </w:pPr>
            <w:r>
              <w:t>Float tender, evaluate 5 OEMs, select 12</w:t>
              <w:br/>
              <w:t>drones with spares. Obtain DGCA nano-class exemption</w:t>
              <w:br/>
              <w:t>and police intimation letters. Establish district</w:t>
              <w:br/>
              <w:t>drone storage hub with charging racks.</w:t>
            </w:r>
          </w:p>
        </w:tc>
      </w:tr>
      <w:tr>
        <w:tc>
          <w:tcPr>
            <w:tcW w:type="dxa" w:w="2880"/>
            <w:vAlign w:val="top"/>
          </w:tcPr>
          <w:p>
            <w:pPr>
              <w:spacing w:after="120"/>
              <w:jc w:val="left"/>
            </w:pPr>
            <w:r>
              <w:t>Phase 3: AI Model Development</w:t>
            </w:r>
          </w:p>
        </w:tc>
        <w:tc>
          <w:tcPr>
            <w:tcW w:type="dxa" w:w="2880"/>
            <w:vAlign w:val="top"/>
          </w:tcPr>
          <w:p>
            <w:pPr>
              <w:spacing w:after="120"/>
              <w:jc w:val="left"/>
            </w:pPr>
            <w:r>
              <w:t>6 weeks</w:t>
            </w:r>
          </w:p>
        </w:tc>
        <w:tc>
          <w:tcPr>
            <w:tcW w:type="dxa" w:w="2880"/>
            <w:vAlign w:val="top"/>
          </w:tcPr>
          <w:p>
            <w:pPr>
              <w:spacing w:after="120"/>
              <w:jc w:val="left"/>
            </w:pPr>
            <w:r>
              <w:t>Collect 100 k annotated images, train model to</w:t>
              <w:br/>
              <w:t>96 % F1. Build data pipeline using</w:t>
              <w:br/>
              <w:t>Airflow and PyTorch on GPU nodes. Freeze</w:t>
              <w:br/>
              <w:t>model weights in ONNX for edge inference.</w:t>
            </w:r>
          </w:p>
        </w:tc>
      </w:tr>
      <w:tr>
        <w:tc>
          <w:tcPr>
            <w:tcW w:type="dxa" w:w="2880"/>
            <w:vAlign w:val="top"/>
          </w:tcPr>
          <w:p>
            <w:pPr>
              <w:spacing w:after="120"/>
              <w:jc w:val="left"/>
            </w:pPr>
            <w:r>
              <w:t>Phase 4: App &amp; Portal Development</w:t>
            </w:r>
          </w:p>
        </w:tc>
        <w:tc>
          <w:tcPr>
            <w:tcW w:type="dxa" w:w="2880"/>
            <w:vAlign w:val="top"/>
          </w:tcPr>
          <w:p>
            <w:pPr>
              <w:spacing w:after="120"/>
              <w:jc w:val="left"/>
            </w:pPr>
            <w:r>
              <w:t>5 weeks</w:t>
            </w:r>
          </w:p>
        </w:tc>
        <w:tc>
          <w:tcPr>
            <w:tcW w:type="dxa" w:w="2880"/>
            <w:vAlign w:val="top"/>
          </w:tcPr>
          <w:p>
            <w:pPr>
              <w:spacing w:after="120"/>
              <w:jc w:val="left"/>
            </w:pPr>
            <w:r>
              <w:t>Develop Flutter app with offline maps</w:t>
              <w:br/>
              <w:t>and sync engine. Implement OIDC login</w:t>
              <w:br/>
              <w:t>with Aadhaar and role-based access. Create</w:t>
              <w:br/>
              <w:t>farmer grievance portal with OTP verification.</w:t>
            </w:r>
          </w:p>
        </w:tc>
      </w:tr>
      <w:tr>
        <w:tc>
          <w:tcPr>
            <w:tcW w:type="dxa" w:w="2880"/>
            <w:vAlign w:val="top"/>
          </w:tcPr>
          <w:p>
            <w:pPr>
              <w:spacing w:after="120"/>
              <w:jc w:val="left"/>
            </w:pPr>
            <w:r>
              <w:t>Phase 5: Field Pilot &amp; Calibration</w:t>
            </w:r>
          </w:p>
        </w:tc>
        <w:tc>
          <w:tcPr>
            <w:tcW w:type="dxa" w:w="2880"/>
            <w:vAlign w:val="top"/>
          </w:tcPr>
          <w:p>
            <w:pPr>
              <w:spacing w:after="120"/>
              <w:jc w:val="left"/>
            </w:pPr>
            <w:r>
              <w:t>4 weeks</w:t>
            </w:r>
          </w:p>
        </w:tc>
        <w:tc>
          <w:tcPr>
            <w:tcW w:type="dxa" w:w="2880"/>
            <w:vAlign w:val="top"/>
          </w:tcPr>
          <w:p>
            <w:pPr>
              <w:spacing w:after="120"/>
              <w:jc w:val="left"/>
            </w:pPr>
            <w:r>
              <w:t>Fly 500 ha across kharif and rabi</w:t>
              <w:br/>
              <w:t>cycles. Validate AI area against DGPS</w:t>
              <w:br/>
              <w:t>ground truth; target ≤2 % RMSE.</w:t>
              <w:br/>
              <w:t>Refine flight height and overlap parameters.</w:t>
            </w:r>
          </w:p>
        </w:tc>
      </w:tr>
      <w:tr>
        <w:tc>
          <w:tcPr>
            <w:tcW w:type="dxa" w:w="2880"/>
            <w:vAlign w:val="top"/>
          </w:tcPr>
          <w:p>
            <w:pPr>
              <w:spacing w:after="120"/>
              <w:jc w:val="left"/>
            </w:pPr>
            <w:r>
              <w:t>Phase 6: Full-Scale Rollout</w:t>
            </w:r>
          </w:p>
        </w:tc>
        <w:tc>
          <w:tcPr>
            <w:tcW w:type="dxa" w:w="2880"/>
            <w:vAlign w:val="top"/>
          </w:tcPr>
          <w:p>
            <w:pPr>
              <w:spacing w:after="120"/>
              <w:jc w:val="left"/>
            </w:pPr>
            <w:r>
              <w:t>12 weeks</w:t>
            </w:r>
          </w:p>
        </w:tc>
        <w:tc>
          <w:tcPr>
            <w:tcW w:type="dxa" w:w="2880"/>
            <w:vAlign w:val="top"/>
          </w:tcPr>
          <w:p>
            <w:pPr>
              <w:spacing w:after="120"/>
              <w:jc w:val="left"/>
            </w:pPr>
            <w:r>
              <w:t>Cover 2 districts (1,500 villages) in phased</w:t>
              <w:br/>
              <w:t>manner. Deploy 50 Patwari kits and</w:t>
              <w:br/>
              <w:t>12 drones with operator rosters. Establish</w:t>
              <w:br/>
              <w:t>24x7 support desk and WhatsApp groups.</w:t>
            </w:r>
          </w:p>
        </w:tc>
      </w:tr>
      <w:tr>
        <w:tc>
          <w:tcPr>
            <w:tcW w:type="dxa" w:w="2880"/>
            <w:vAlign w:val="top"/>
          </w:tcPr>
          <w:p>
            <w:pPr>
              <w:spacing w:after="120"/>
              <w:jc w:val="left"/>
            </w:pPr>
            <w:r>
              <w:t>Phase 7: Hyper-care &amp; Handover</w:t>
            </w:r>
          </w:p>
        </w:tc>
        <w:tc>
          <w:tcPr>
            <w:tcW w:type="dxa" w:w="2880"/>
            <w:vAlign w:val="top"/>
          </w:tcPr>
          <w:p>
            <w:pPr>
              <w:spacing w:after="120"/>
              <w:jc w:val="left"/>
            </w:pPr>
            <w:r>
              <w:t>4 weeks</w:t>
            </w:r>
          </w:p>
        </w:tc>
        <w:tc>
          <w:tcPr>
            <w:tcW w:type="dxa" w:w="2880"/>
            <w:vAlign w:val="top"/>
          </w:tcPr>
          <w:p>
            <w:pPr>
              <w:spacing w:after="120"/>
              <w:jc w:val="left"/>
            </w:pPr>
            <w:r>
              <w:t>Monitor KPIs, stabilise model drift, and patch</w:t>
              <w:br/>
              <w:t>bugs. Transfer SOPs, video manuals, and source</w:t>
              <w:br/>
              <w:t>code to NIC team. Obtain sign-off</w:t>
              <w:br/>
              <w:t>and budget sanction for statewide expansion.</w:t>
            </w:r>
          </w:p>
        </w:tc>
      </w:tr>
    </w:tbl>
    <w:p>
      <w:bookmarkStart w:id="None" w:name="sec_objectives"/>
      <w:pPr>
        <w:pStyle w:val="Heading1"/>
      </w:pPr>
      <w:r>
        <w:t>Objectives</w:t>
      </w:r>
      <w:bookmarkEnd w:id="None"/>
    </w:p>
    <w:p>
      <w:pPr>
        <w:pStyle w:val="ListBullet"/>
        <w:jc w:val="both"/>
      </w:pPr>
      <w:r>
        <w:t>Reduce Girdawari cycle from 300 to</w:t>
        <w:br/>
        <w:t>7 man-days per Gram Panchayat using</w:t>
        <w:br/>
        <w:t>autonomous drone imagery. Achieve 96 %</w:t>
        <w:br/>
        <w:t>crop classification accuracy to minimise</w:t>
        <w:br/>
        <w:t>revenue loss and farmer disputes.</w:t>
      </w:r>
    </w:p>
    <w:p>
      <w:pPr>
        <w:pStyle w:val="ListBullet"/>
        <w:jc w:val="both"/>
      </w:pPr>
      <w:r>
        <w:t>Deliver survey results within 24</w:t>
        <w:br/>
        <w:t>hours of flight completion for</w:t>
        <w:br/>
        <w:t>timely crop insurance decisions. Enable</w:t>
        <w:br/>
        <w:t>tehsildar dashboard with colour-coded</w:t>
        <w:br/>
        <w:t>alerts for area anomalies.</w:t>
      </w:r>
    </w:p>
    <w:p>
      <w:pPr>
        <w:pStyle w:val="ListBullet"/>
        <w:jc w:val="both"/>
      </w:pPr>
      <w:r>
        <w:t>Eliminate paper forms by 100</w:t>
        <w:br/>
        <w:t>% through offline-first mobile app</w:t>
        <w:br/>
        <w:t>and blockchain ledger. Ensure</w:t>
        <w:br/>
        <w:t>every transaction hash is</w:t>
        <w:br/>
        <w:t>immutable and publicly verifiable.</w:t>
      </w:r>
    </w:p>
    <w:p>
      <w:pPr>
        <w:pStyle w:val="ListBullet"/>
        <w:jc w:val="both"/>
      </w:pPr>
      <w:r>
        <w:t>Provide geo-referenced digital maps</w:t>
        <w:br/>
        <w:t>with ≤3 cm accuracy</w:t>
        <w:br/>
        <w:t>for every surveyed field.</w:t>
        <w:br/>
        <w:t>Facilitate easy boundary dispute</w:t>
        <w:br/>
        <w:t>resolution using overlay visualisation.</w:t>
      </w:r>
    </w:p>
    <w:p>
      <w:pPr>
        <w:pStyle w:val="ListBullet"/>
        <w:jc w:val="both"/>
      </w:pPr>
      <w:r>
        <w:t>Lower per-hectare survey cost from</w:t>
        <w:br/>
        <w:t>₹450 to ₹90 while</w:t>
        <w:br/>
        <w:t>maintaining data fidelity. Generate</w:t>
        <w:br/>
        <w:t>ROI within two rabi</w:t>
        <w:br/>
        <w:t>seasons through efficiency gains.</w:t>
      </w:r>
    </w:p>
    <w:p>
      <w:pPr>
        <w:pStyle w:val="ListBullet"/>
        <w:jc w:val="both"/>
      </w:pPr>
      <w:r>
        <w:t>Train 500 Patwaris and 50</w:t>
        <w:br/>
        <w:t>drone operators within six months</w:t>
        <w:br/>
        <w:t>for self-sufficiency. Establish continuous</w:t>
        <w:br/>
        <w:t>learning modules and certification</w:t>
        <w:br/>
        <w:t>linked to career progression.</w:t>
      </w:r>
    </w:p>
    <w:p>
      <w:pPr>
        <w:pStyle w:val="ListBullet"/>
        <w:jc w:val="both"/>
      </w:pPr>
      <w:r>
        <w:t>Create open API for integration</w:t>
        <w:br/>
        <w:t>with Rajasthan Sampark and National</w:t>
        <w:br/>
        <w:t>Crop Forecasting. Promote data-driven policy</w:t>
        <w:br/>
        <w:t>decisions across agriculture, disaster</w:t>
        <w:br/>
        <w:t>relief, and water budgeting.</w:t>
      </w:r>
    </w:p>
    <w:p>
      <w:bookmarkStart w:id="None" w:name="sec_acceptance_criteria"/>
      <w:pPr>
        <w:pStyle w:val="Heading1"/>
      </w:pPr>
      <w:r>
        <w:t>Acceptance Criteria</w:t>
      </w:r>
      <w:bookmarkEnd w:id="None"/>
    </w:p>
    <w:p>
      <w:pPr>
        <w:pStyle w:val="ListBullet"/>
        <w:jc w:val="both"/>
      </w:pPr>
      <w:r>
        <w:t>Complete aerial survey of 5,000 fields in</w:t>
        <w:br/>
        <w:t>≤7 calendar days using maximum two</w:t>
        <w:br/>
        <w:t>drones. RMSE of computed area compared</w:t>
        <w:br/>
        <w:t>to DGPS ground truth ≤2 %.</w:t>
      </w:r>
    </w:p>
    <w:p>
      <w:pPr>
        <w:pStyle w:val="ListBullet"/>
        <w:jc w:val="both"/>
      </w:pPr>
      <w:r>
        <w:t>Mobile app functions offline for 48</w:t>
        <w:br/>
        <w:t>hours and syncs entire dataset in</w:t>
        <w:br/>
        <w:t>&lt;5 minutes on 4G. Zero data</w:t>
        <w:br/>
        <w:t>loss verified under pull-battery test.</w:t>
      </w:r>
    </w:p>
    <w:p>
      <w:pPr>
        <w:pStyle w:val="ListBullet"/>
        <w:jc w:val="both"/>
      </w:pPr>
      <w:r>
        <w:t>AI model crop classification accuracy ≥96</w:t>
        <w:br/>
        <w:t>% F1 score on held-out test</w:t>
        <w:br/>
        <w:t>set. Disputed area flagged for human</w:t>
        <w:br/>
        <w:t>review ≤5 % of total acreage.</w:t>
      </w:r>
    </w:p>
    <w:p>
      <w:pPr>
        <w:pStyle w:val="ListBullet"/>
        <w:jc w:val="both"/>
      </w:pPr>
      <w:r>
        <w:t>Blockchain ledger records 100 %</w:t>
        <w:br/>
        <w:t>of survey transactions with &lt;1</w:t>
        <w:br/>
        <w:t>second latency. No unauthorised hash</w:t>
        <w:br/>
        <w:t>modifications detected during penetration testing.</w:t>
      </w:r>
    </w:p>
    <w:p>
      <w:pPr>
        <w:pStyle w:val="ListBullet"/>
        <w:jc w:val="both"/>
      </w:pPr>
      <w:r>
        <w:t>System uptime ≥99.5 % measured</w:t>
        <w:br/>
        <w:t>over 30 days using Prometheus.</w:t>
        <w:br/>
        <w:t>Maximum incident resolution time 4</w:t>
        <w:br/>
        <w:t>hours during working days.</w:t>
      </w:r>
    </w:p>
    <w:p>
      <w:pPr>
        <w:pStyle w:val="ListBullet"/>
        <w:jc w:val="both"/>
      </w:pPr>
      <w:r>
        <w:t>Patwari training completion rate ≥95 %</w:t>
        <w:br/>
        <w:t>with post-test score ≥80 %.</w:t>
        <w:br/>
        <w:t>Operator drone licence pass rate</w:t>
        <w:br/>
        <w:t>100 % under DGCA criteria.</w:t>
      </w:r>
    </w:p>
    <w:p>
      <w:pPr>
        <w:pStyle w:val="ListBullet"/>
        <w:jc w:val="both"/>
      </w:pPr>
      <w:r>
        <w:t>Farmer grievance redressal turnaround ≤3</w:t>
        <w:br/>
        <w:t>working days with digital</w:t>
        <w:br/>
        <w:t>acknowledgement. Customer satisfaction score</w:t>
        <w:br/>
        <w:t>≥4.5/5 in exit survey.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vAlign w:val="top"/>
          </w:tcPr>
          <w:p>
            <w:pPr>
              <w:spacing w:after="120"/>
              <w:jc w:val="left"/>
            </w:pPr>
            <w:r>
              <w:t>Project Manager</w:t>
            </w:r>
          </w:p>
        </w:tc>
        <w:tc>
          <w:tcPr>
            <w:tcW w:type="dxa" w:w="2160"/>
            <w:vAlign w:val="top"/>
          </w:tcPr>
          <w:p>
            <w:pPr>
              <w:spacing w:after="120"/>
              <w:jc w:val="left"/>
            </w:pPr>
            <w:r>
              <w:t>1</w:t>
            </w:r>
          </w:p>
        </w:tc>
        <w:tc>
          <w:tcPr>
            <w:tcW w:type="dxa" w:w="2160"/>
            <w:vAlign w:val="top"/>
          </w:tcPr>
          <w:p>
            <w:pPr>
              <w:spacing w:after="120"/>
              <w:jc w:val="left"/>
            </w:pPr>
            <w:r>
              <w:t>10</w:t>
            </w:r>
          </w:p>
        </w:tc>
        <w:tc>
          <w:tcPr>
            <w:tcW w:type="dxa" w:w="2160"/>
            <w:vAlign w:val="top"/>
          </w:tcPr>
          <w:p>
            <w:pPr>
              <w:spacing w:after="120"/>
              <w:jc w:val="left"/>
            </w:pPr>
            <w:r>
              <w:t>Stakeholder liaison, schedule, budget, risk, compliance with DGCA and NIC.</w:t>
            </w:r>
          </w:p>
        </w:tc>
      </w:tr>
      <w:tr>
        <w:tc>
          <w:tcPr>
            <w:tcW w:type="dxa" w:w="2160"/>
            <w:vAlign w:val="top"/>
          </w:tcPr>
          <w:p>
            <w:pPr>
              <w:spacing w:after="120"/>
              <w:jc w:val="left"/>
            </w:pPr>
            <w:r>
              <w:t>Solution Architect</w:t>
            </w:r>
          </w:p>
        </w:tc>
        <w:tc>
          <w:tcPr>
            <w:tcW w:type="dxa" w:w="2160"/>
            <w:vAlign w:val="top"/>
          </w:tcPr>
          <w:p>
            <w:pPr>
              <w:spacing w:after="120"/>
              <w:jc w:val="left"/>
            </w:pPr>
            <w:r>
              <w:t>1</w:t>
            </w:r>
          </w:p>
        </w:tc>
        <w:tc>
          <w:tcPr>
            <w:tcW w:type="dxa" w:w="2160"/>
            <w:vAlign w:val="top"/>
          </w:tcPr>
          <w:p>
            <w:pPr>
              <w:spacing w:after="120"/>
              <w:jc w:val="left"/>
            </w:pPr>
            <w:r>
              <w:t>12</w:t>
            </w:r>
          </w:p>
        </w:tc>
        <w:tc>
          <w:tcPr>
            <w:tcW w:type="dxa" w:w="2160"/>
            <w:vAlign w:val="top"/>
          </w:tcPr>
          <w:p>
            <w:pPr>
              <w:spacing w:after="120"/>
              <w:jc w:val="left"/>
            </w:pPr>
            <w:r>
              <w:t>End-to-end architecture, tech selection, integration patterns, security blueprint.</w:t>
            </w:r>
          </w:p>
        </w:tc>
      </w:tr>
      <w:tr>
        <w:tc>
          <w:tcPr>
            <w:tcW w:type="dxa" w:w="2160"/>
            <w:vAlign w:val="top"/>
          </w:tcPr>
          <w:p>
            <w:pPr>
              <w:spacing w:after="120"/>
              <w:jc w:val="left"/>
            </w:pPr>
            <w:r>
              <w:t>AI/ML Engineer</w:t>
            </w:r>
          </w:p>
        </w:tc>
        <w:tc>
          <w:tcPr>
            <w:tcW w:type="dxa" w:w="2160"/>
            <w:vAlign w:val="top"/>
          </w:tcPr>
          <w:p>
            <w:pPr>
              <w:spacing w:after="120"/>
              <w:jc w:val="left"/>
            </w:pPr>
            <w:r>
              <w:t>2</w:t>
            </w:r>
          </w:p>
        </w:tc>
        <w:tc>
          <w:tcPr>
            <w:tcW w:type="dxa" w:w="2160"/>
            <w:vAlign w:val="top"/>
          </w:tcPr>
          <w:p>
            <w:pPr>
              <w:spacing w:after="120"/>
              <w:jc w:val="left"/>
            </w:pPr>
            <w:r>
              <w:t>5</w:t>
            </w:r>
          </w:p>
        </w:tc>
        <w:tc>
          <w:tcPr>
            <w:tcW w:type="dxa" w:w="2160"/>
            <w:vAlign w:val="top"/>
          </w:tcPr>
          <w:p>
            <w:pPr>
              <w:spacing w:after="120"/>
              <w:jc w:val="left"/>
            </w:pPr>
            <w:r>
              <w:t>Model training, validation, ONNX conversion, drift monitoring, retraining pipeline.</w:t>
            </w:r>
          </w:p>
        </w:tc>
      </w:tr>
      <w:tr>
        <w:tc>
          <w:tcPr>
            <w:tcW w:type="dxa" w:w="2160"/>
            <w:vAlign w:val="top"/>
          </w:tcPr>
          <w:p>
            <w:pPr>
              <w:spacing w:after="120"/>
              <w:jc w:val="left"/>
            </w:pPr>
            <w:r>
              <w:t>Drone Operator</w:t>
            </w:r>
          </w:p>
        </w:tc>
        <w:tc>
          <w:tcPr>
            <w:tcW w:type="dxa" w:w="2160"/>
            <w:vAlign w:val="top"/>
          </w:tcPr>
          <w:p>
            <w:pPr>
              <w:spacing w:after="120"/>
              <w:jc w:val="left"/>
            </w:pPr>
            <w:r>
              <w:t>6</w:t>
            </w:r>
          </w:p>
        </w:tc>
        <w:tc>
          <w:tcPr>
            <w:tcW w:type="dxa" w:w="2160"/>
            <w:vAlign w:val="top"/>
          </w:tcPr>
          <w:p>
            <w:pPr>
              <w:spacing w:after="120"/>
              <w:jc w:val="left"/>
            </w:pPr>
            <w:r>
              <w:t>3</w:t>
            </w:r>
          </w:p>
        </w:tc>
        <w:tc>
          <w:tcPr>
            <w:tcW w:type="dxa" w:w="2160"/>
            <w:vAlign w:val="top"/>
          </w:tcPr>
          <w:p>
            <w:pPr>
              <w:spacing w:after="120"/>
              <w:jc w:val="left"/>
            </w:pPr>
            <w:r>
              <w:t>Flight planning, RTK survey, battery swap, DGCA logbook, safety checklist.</w:t>
            </w:r>
          </w:p>
        </w:tc>
      </w:tr>
      <w:tr>
        <w:tc>
          <w:tcPr>
            <w:tcW w:type="dxa" w:w="2160"/>
            <w:vAlign w:val="top"/>
          </w:tcPr>
          <w:p>
            <w:pPr>
              <w:spacing w:after="120"/>
              <w:jc w:val="left"/>
            </w:pPr>
            <w:r>
              <w:t>GIS Expert</w:t>
            </w:r>
          </w:p>
        </w:tc>
        <w:tc>
          <w:tcPr>
            <w:tcW w:type="dxa" w:w="2160"/>
            <w:vAlign w:val="top"/>
          </w:tcPr>
          <w:p>
            <w:pPr>
              <w:spacing w:after="120"/>
              <w:jc w:val="left"/>
            </w:pPr>
            <w:r>
              <w:t>2</w:t>
            </w:r>
          </w:p>
        </w:tc>
        <w:tc>
          <w:tcPr>
            <w:tcW w:type="dxa" w:w="2160"/>
            <w:vAlign w:val="top"/>
          </w:tcPr>
          <w:p>
            <w:pPr>
              <w:spacing w:after="120"/>
              <w:jc w:val="left"/>
            </w:pPr>
            <w:r>
              <w:t>6</w:t>
            </w:r>
          </w:p>
        </w:tc>
        <w:tc>
          <w:tcPr>
            <w:tcW w:type="dxa" w:w="2160"/>
            <w:vAlign w:val="top"/>
          </w:tcPr>
          <w:p>
            <w:pPr>
              <w:spacing w:after="120"/>
              <w:jc w:val="left"/>
            </w:pPr>
            <w:r>
              <w:t>Orthomosaic generation, accuracy assessment, PostGIS queries, WMS tuning.</w:t>
            </w:r>
          </w:p>
        </w:tc>
      </w:tr>
      <w:tr>
        <w:tc>
          <w:tcPr>
            <w:tcW w:type="dxa" w:w="2160"/>
            <w:vAlign w:val="top"/>
          </w:tcPr>
          <w:p>
            <w:pPr>
              <w:spacing w:after="120"/>
              <w:jc w:val="left"/>
            </w:pPr>
            <w:r>
              <w:t>Flutter Developer</w:t>
            </w:r>
          </w:p>
        </w:tc>
        <w:tc>
          <w:tcPr>
            <w:tcW w:type="dxa" w:w="2160"/>
            <w:vAlign w:val="top"/>
          </w:tcPr>
          <w:p>
            <w:pPr>
              <w:spacing w:after="120"/>
              <w:jc w:val="left"/>
            </w:pPr>
            <w:r>
              <w:t>2</w:t>
            </w:r>
          </w:p>
        </w:tc>
        <w:tc>
          <w:tcPr>
            <w:tcW w:type="dxa" w:w="2160"/>
            <w:vAlign w:val="top"/>
          </w:tcPr>
          <w:p>
            <w:pPr>
              <w:spacing w:after="120"/>
              <w:jc w:val="left"/>
            </w:pPr>
            <w:r>
              <w:t>4</w:t>
            </w:r>
          </w:p>
        </w:tc>
        <w:tc>
          <w:tcPr>
            <w:tcW w:type="dxa" w:w="2160"/>
            <w:vAlign w:val="top"/>
          </w:tcPr>
          <w:p>
            <w:pPr>
              <w:spacing w:after="120"/>
              <w:jc w:val="left"/>
            </w:pPr>
            <w:r>
              <w:t>App UI/UX, offline sync, OIDC auth, performance profiling, Play Store release.</w:t>
            </w:r>
          </w:p>
        </w:tc>
      </w:tr>
      <w:tr>
        <w:tc>
          <w:tcPr>
            <w:tcW w:type="dxa" w:w="2160"/>
            <w:vAlign w:val="top"/>
          </w:tcPr>
          <w:p>
            <w:pPr>
              <w:spacing w:after="120"/>
              <w:jc w:val="left"/>
            </w:pPr>
            <w:r>
              <w:t>DevOps Engineer</w:t>
            </w:r>
          </w:p>
        </w:tc>
        <w:tc>
          <w:tcPr>
            <w:tcW w:type="dxa" w:w="2160"/>
            <w:vAlign w:val="top"/>
          </w:tcPr>
          <w:p>
            <w:pPr>
              <w:spacing w:after="120"/>
              <w:jc w:val="left"/>
            </w:pPr>
            <w:r>
              <w:t>1</w:t>
            </w:r>
          </w:p>
        </w:tc>
        <w:tc>
          <w:tcPr>
            <w:tcW w:type="dxa" w:w="2160"/>
            <w:vAlign w:val="top"/>
          </w:tcPr>
          <w:p>
            <w:pPr>
              <w:spacing w:after="120"/>
              <w:jc w:val="left"/>
            </w:pPr>
            <w:r>
              <w:t>7</w:t>
            </w:r>
          </w:p>
        </w:tc>
        <w:tc>
          <w:tcPr>
            <w:tcW w:type="dxa" w:w="2160"/>
            <w:vAlign w:val="top"/>
          </w:tcPr>
          <w:p>
            <w:pPr>
              <w:spacing w:after="120"/>
              <w:jc w:val="left"/>
            </w:pPr>
            <w:r>
              <w:t>Kubernetes, CI/CD, monitoring, backup, security patching, infra cost control.</w:t>
            </w:r>
          </w:p>
        </w:tc>
      </w:tr>
      <w:tr>
        <w:tc>
          <w:tcPr>
            <w:tcW w:type="dxa" w:w="2160"/>
            <w:vAlign w:val="top"/>
          </w:tcPr>
          <w:p>
            <w:pPr>
              <w:spacing w:after="120"/>
              <w:jc w:val="left"/>
            </w:pPr>
            <w:r>
              <w:t>Training Lead</w:t>
            </w:r>
          </w:p>
        </w:tc>
        <w:tc>
          <w:tcPr>
            <w:tcW w:type="dxa" w:w="2160"/>
            <w:vAlign w:val="top"/>
          </w:tcPr>
          <w:p>
            <w:pPr>
              <w:spacing w:after="120"/>
              <w:jc w:val="left"/>
            </w:pPr>
            <w:r>
              <w:t>1</w:t>
            </w:r>
          </w:p>
        </w:tc>
        <w:tc>
          <w:tcPr>
            <w:tcW w:type="dxa" w:w="2160"/>
            <w:vAlign w:val="top"/>
          </w:tcPr>
          <w:p>
            <w:pPr>
              <w:spacing w:after="120"/>
              <w:jc w:val="left"/>
            </w:pPr>
            <w:r>
              <w:t>8</w:t>
            </w:r>
          </w:p>
        </w:tc>
        <w:tc>
          <w:tcPr>
            <w:tcW w:type="dxa" w:w="2160"/>
            <w:vAlign w:val="top"/>
          </w:tcPr>
          <w:p>
            <w:pPr>
              <w:spacing w:after="120"/>
              <w:jc w:val="left"/>
            </w:pPr>
            <w:r>
              <w:t>Curriculum design, bootcamp delivery, WhatsApp support, certification, feedback loop.</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vAlign w:val="top"/>
          </w:tcPr>
          <w:p>
            <w:pPr>
              <w:spacing w:after="120"/>
              <w:jc w:val="left"/>
            </w:pPr>
            <w:r>
              <w:t>DJI Drones with RTK</w:t>
            </w:r>
          </w:p>
        </w:tc>
        <w:tc>
          <w:tcPr>
            <w:tcW w:type="dxa" w:w="2880"/>
            <w:vAlign w:val="top"/>
          </w:tcPr>
          <w:p>
            <w:pPr>
              <w:spacing w:after="120"/>
              <w:jc w:val="left"/>
            </w:pPr>
            <w:r>
              <w:t>₹3,600,000</w:t>
            </w:r>
          </w:p>
        </w:tc>
        <w:tc>
          <w:tcPr>
            <w:tcW w:type="dxa" w:w="2880"/>
            <w:vAlign w:val="top"/>
          </w:tcPr>
          <w:p>
            <w:pPr>
              <w:spacing w:after="120"/>
              <w:jc w:val="left"/>
            </w:pPr>
            <w:r>
              <w:t>12 units, batteries, spare props, DGCA registration.</w:t>
            </w:r>
          </w:p>
        </w:tc>
      </w:tr>
      <w:tr>
        <w:tc>
          <w:tcPr>
            <w:tcW w:type="dxa" w:w="2880"/>
            <w:vAlign w:val="top"/>
          </w:tcPr>
          <w:p>
            <w:pPr>
              <w:spacing w:after="120"/>
              <w:jc w:val="left"/>
            </w:pPr>
            <w:r>
              <w:t>AI Cloud GPU Training</w:t>
            </w:r>
          </w:p>
        </w:tc>
        <w:tc>
          <w:tcPr>
            <w:tcW w:type="dxa" w:w="2880"/>
            <w:vAlign w:val="top"/>
          </w:tcPr>
          <w:p>
            <w:pPr>
              <w:spacing w:after="120"/>
              <w:jc w:val="left"/>
            </w:pPr>
            <w:r>
              <w:t>₹1,200,000</w:t>
            </w:r>
          </w:p>
        </w:tc>
        <w:tc>
          <w:tcPr>
            <w:tcW w:type="dxa" w:w="2880"/>
            <w:vAlign w:val="top"/>
          </w:tcPr>
          <w:p>
            <w:pPr>
              <w:spacing w:after="120"/>
              <w:jc w:val="left"/>
            </w:pPr>
            <w:r>
              <w:t>6-week burst on A100 instances, storage, egress.</w:t>
            </w:r>
          </w:p>
        </w:tc>
      </w:tr>
      <w:tr>
        <w:tc>
          <w:tcPr>
            <w:tcW w:type="dxa" w:w="2880"/>
            <w:vAlign w:val="top"/>
          </w:tcPr>
          <w:p>
            <w:pPr>
              <w:spacing w:after="120"/>
              <w:jc w:val="left"/>
            </w:pPr>
            <w:r>
              <w:t>Mobile App Development</w:t>
            </w:r>
          </w:p>
        </w:tc>
        <w:tc>
          <w:tcPr>
            <w:tcW w:type="dxa" w:w="2880"/>
            <w:vAlign w:val="top"/>
          </w:tcPr>
          <w:p>
            <w:pPr>
              <w:spacing w:after="120"/>
              <w:jc w:val="left"/>
            </w:pPr>
            <w:r>
              <w:t>₹900,000</w:t>
            </w:r>
          </w:p>
        </w:tc>
        <w:tc>
          <w:tcPr>
            <w:tcW w:type="dxa" w:w="2880"/>
            <w:vAlign w:val="top"/>
          </w:tcPr>
          <w:p>
            <w:pPr>
              <w:spacing w:after="120"/>
              <w:jc w:val="left"/>
            </w:pPr>
            <w:r>
              <w:t>Flutter, backend APIs, security audit, Play Store.</w:t>
            </w:r>
          </w:p>
        </w:tc>
      </w:tr>
      <w:tr>
        <w:tc>
          <w:tcPr>
            <w:tcW w:type="dxa" w:w="2880"/>
            <w:vAlign w:val="top"/>
          </w:tcPr>
          <w:p>
            <w:pPr>
              <w:spacing w:after="120"/>
              <w:jc w:val="left"/>
            </w:pPr>
            <w:r>
              <w:t>Blockchain Ledger Setup</w:t>
            </w:r>
          </w:p>
        </w:tc>
        <w:tc>
          <w:tcPr>
            <w:tcW w:type="dxa" w:w="2880"/>
            <w:vAlign w:val="top"/>
          </w:tcPr>
          <w:p>
            <w:pPr>
              <w:spacing w:after="120"/>
              <w:jc w:val="left"/>
            </w:pPr>
            <w:r>
              <w:t>₹450,000</w:t>
            </w:r>
          </w:p>
        </w:tc>
        <w:tc>
          <w:tcPr>
            <w:tcW w:type="dxa" w:w="2880"/>
            <w:vAlign w:val="top"/>
          </w:tcPr>
          <w:p>
            <w:pPr>
              <w:spacing w:after="120"/>
              <w:jc w:val="left"/>
            </w:pPr>
            <w:r>
              <w:t>Hyperledger Fabric nodes, HSM, smart contract dev.</w:t>
            </w:r>
          </w:p>
        </w:tc>
      </w:tr>
      <w:tr>
        <w:tc>
          <w:tcPr>
            <w:tcW w:type="dxa" w:w="2880"/>
            <w:vAlign w:val="top"/>
          </w:tcPr>
          <w:p>
            <w:pPr>
              <w:spacing w:after="120"/>
              <w:jc w:val="left"/>
            </w:pPr>
            <w:r>
              <w:t>GIS Software &amp; Hosting</w:t>
            </w:r>
          </w:p>
        </w:tc>
        <w:tc>
          <w:tcPr>
            <w:tcW w:type="dxa" w:w="2880"/>
            <w:vAlign w:val="top"/>
          </w:tcPr>
          <w:p>
            <w:pPr>
              <w:spacing w:after="120"/>
              <w:jc w:val="left"/>
            </w:pPr>
            <w:r>
              <w:t>₹600,000</w:t>
            </w:r>
          </w:p>
        </w:tc>
        <w:tc>
          <w:tcPr>
            <w:tcW w:type="dxa" w:w="2880"/>
            <w:vAlign w:val="top"/>
          </w:tcPr>
          <w:p>
            <w:pPr>
              <w:spacing w:after="120"/>
              <w:jc w:val="left"/>
            </w:pPr>
            <w:r>
              <w:t>PostGIS, MinIO, K8s cluster, 1-year cloud.</w:t>
            </w:r>
          </w:p>
        </w:tc>
      </w:tr>
      <w:tr>
        <w:tc>
          <w:tcPr>
            <w:tcW w:type="dxa" w:w="2880"/>
            <w:vAlign w:val="top"/>
          </w:tcPr>
          <w:p>
            <w:pPr>
              <w:spacing w:after="120"/>
              <w:jc w:val="left"/>
            </w:pPr>
            <w:r>
              <w:t>Training &amp; Documentation</w:t>
            </w:r>
          </w:p>
        </w:tc>
        <w:tc>
          <w:tcPr>
            <w:tcW w:type="dxa" w:w="2880"/>
            <w:vAlign w:val="top"/>
          </w:tcPr>
          <w:p>
            <w:pPr>
              <w:spacing w:after="120"/>
              <w:jc w:val="left"/>
            </w:pPr>
            <w:r>
              <w:t>₹300,000</w:t>
            </w:r>
          </w:p>
        </w:tc>
        <w:tc>
          <w:tcPr>
            <w:tcW w:type="dxa" w:w="2880"/>
            <w:vAlign w:val="top"/>
          </w:tcPr>
          <w:p>
            <w:pPr>
              <w:spacing w:after="120"/>
              <w:jc w:val="left"/>
            </w:pPr>
            <w:r>
              <w:t>Venue, travel, manuals, certification, WhatsApp BOT.</w:t>
            </w:r>
          </w:p>
        </w:tc>
      </w:tr>
      <w:tr>
        <w:tc>
          <w:tcPr>
            <w:tcW w:type="dxa" w:w="2880"/>
            <w:vAlign w:val="top"/>
          </w:tcPr>
          <w:p>
            <w:pPr>
              <w:spacing w:after="120"/>
              <w:jc w:val="left"/>
            </w:pPr>
            <w:r>
              <w:t>Project Management &amp; Support</w:t>
            </w:r>
          </w:p>
        </w:tc>
        <w:tc>
          <w:tcPr>
            <w:tcW w:type="dxa" w:w="2880"/>
            <w:vAlign w:val="top"/>
          </w:tcPr>
          <w:p>
            <w:pPr>
              <w:spacing w:after="120"/>
              <w:jc w:val="left"/>
            </w:pPr>
            <w:r>
              <w:t>₹450,000</w:t>
            </w:r>
          </w:p>
        </w:tc>
        <w:tc>
          <w:tcPr>
            <w:tcW w:type="dxa" w:w="2880"/>
            <w:vAlign w:val="top"/>
          </w:tcPr>
          <w:p>
            <w:pPr>
              <w:spacing w:after="120"/>
              <w:jc w:val="left"/>
            </w:pPr>
            <w:r>
              <w:t>10 % of T&amp;M, risk buffer, audit, handover.</w:t>
            </w:r>
          </w:p>
        </w:tc>
      </w:tr>
      <w:tr>
        <w:tc>
          <w:tcPr>
            <w:tcW w:type="dxa" w:w="2880"/>
            <w:vAlign w:val="top"/>
          </w:tcPr>
          <w:p>
            <w:pPr>
              <w:spacing w:after="120"/>
              <w:jc w:val="left"/>
            </w:pPr>
            <w:r>
              <w:t>Contingency (5 %)</w:t>
            </w:r>
          </w:p>
        </w:tc>
        <w:tc>
          <w:tcPr>
            <w:tcW w:type="dxa" w:w="2880"/>
            <w:vAlign w:val="top"/>
          </w:tcPr>
          <w:p>
            <w:pPr>
              <w:spacing w:after="120"/>
              <w:jc w:val="left"/>
            </w:pPr>
            <w:r>
              <w:t>₹375,000</w:t>
            </w:r>
          </w:p>
        </w:tc>
        <w:tc>
          <w:tcPr>
            <w:tcW w:type="dxa" w:w="2880"/>
            <w:vAlign w:val="top"/>
          </w:tcPr>
          <w:p>
            <w:pPr>
              <w:spacing w:after="120"/>
              <w:jc w:val="left"/>
            </w:pPr>
            <w:r>
              <w:t>Covers drone repairs, model retrain, price escalation.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vAlign w:val="top"/>
          </w:tcPr>
          <w:p>
            <w:pPr>
              <w:spacing w:after="120"/>
              <w:jc w:val="left"/>
            </w:pPr>
            <w:r>
              <w:t>Survey Cycle Time</w:t>
            </w:r>
          </w:p>
        </w:tc>
        <w:tc>
          <w:tcPr>
            <w:tcW w:type="dxa" w:w="2160"/>
            <w:vAlign w:val="top"/>
          </w:tcPr>
          <w:p>
            <w:pPr>
              <w:spacing w:after="120"/>
              <w:jc w:val="left"/>
            </w:pPr>
            <w:r>
              <w:t>≤7 days</w:t>
            </w:r>
          </w:p>
        </w:tc>
        <w:tc>
          <w:tcPr>
            <w:tcW w:type="dxa" w:w="2160"/>
            <w:vAlign w:val="top"/>
          </w:tcPr>
          <w:p>
            <w:pPr>
              <w:spacing w:after="120"/>
              <w:jc w:val="left"/>
            </w:pPr>
            <w:r>
              <w:t>Automated timestamp from flight log to dashboard publish</w:t>
            </w:r>
          </w:p>
        </w:tc>
        <w:tc>
          <w:tcPr>
            <w:tcW w:type="dxa" w:w="2160"/>
            <w:vAlign w:val="top"/>
          </w:tcPr>
          <w:p>
            <w:pPr>
              <w:spacing w:after="120"/>
              <w:jc w:val="left"/>
            </w:pPr>
            <w:r>
              <w:t>Per Panchayat</w:t>
            </w:r>
          </w:p>
        </w:tc>
      </w:tr>
      <w:tr>
        <w:tc>
          <w:tcPr>
            <w:tcW w:type="dxa" w:w="2160"/>
            <w:vAlign w:val="top"/>
          </w:tcPr>
          <w:p>
            <w:pPr>
              <w:spacing w:after="120"/>
              <w:jc w:val="left"/>
            </w:pPr>
            <w:r>
              <w:t>Area Accuracy RMSE</w:t>
            </w:r>
          </w:p>
        </w:tc>
        <w:tc>
          <w:tcPr>
            <w:tcW w:type="dxa" w:w="2160"/>
            <w:vAlign w:val="top"/>
          </w:tcPr>
          <w:p>
            <w:pPr>
              <w:spacing w:after="120"/>
              <w:jc w:val="left"/>
            </w:pPr>
            <w:r>
              <w:t>≤2 %</w:t>
            </w:r>
          </w:p>
        </w:tc>
        <w:tc>
          <w:tcPr>
            <w:tcW w:type="dxa" w:w="2160"/>
            <w:vAlign w:val="top"/>
          </w:tcPr>
          <w:p>
            <w:pPr>
              <w:spacing w:after="120"/>
              <w:jc w:val="left"/>
            </w:pPr>
            <w:r>
              <w:t>Compare drone-derived area with DGPS ground truth on 5 % sample</w:t>
            </w:r>
          </w:p>
        </w:tc>
        <w:tc>
          <w:tcPr>
            <w:tcW w:type="dxa" w:w="2160"/>
            <w:vAlign w:val="top"/>
          </w:tcPr>
          <w:p>
            <w:pPr>
              <w:spacing w:after="120"/>
              <w:jc w:val="left"/>
            </w:pPr>
            <w:r>
              <w:t>Weekly</w:t>
            </w:r>
          </w:p>
        </w:tc>
      </w:tr>
      <w:tr>
        <w:tc>
          <w:tcPr>
            <w:tcW w:type="dxa" w:w="2160"/>
            <w:vAlign w:val="top"/>
          </w:tcPr>
          <w:p>
            <w:pPr>
              <w:spacing w:after="120"/>
              <w:jc w:val="left"/>
            </w:pPr>
            <w:r>
              <w:t>Crop Classification F1</w:t>
            </w:r>
          </w:p>
        </w:tc>
        <w:tc>
          <w:tcPr>
            <w:tcW w:type="dxa" w:w="2160"/>
            <w:vAlign w:val="top"/>
          </w:tcPr>
          <w:p>
            <w:pPr>
              <w:spacing w:after="120"/>
              <w:jc w:val="left"/>
            </w:pPr>
            <w:r>
              <w:t>≥96 %</w:t>
            </w:r>
          </w:p>
        </w:tc>
        <w:tc>
          <w:tcPr>
            <w:tcW w:type="dxa" w:w="2160"/>
            <w:vAlign w:val="top"/>
          </w:tcPr>
          <w:p>
            <w:pPr>
              <w:spacing w:after="120"/>
              <w:jc w:val="left"/>
            </w:pPr>
            <w:r>
              <w:t>Confusion matrix on held-out test images</w:t>
            </w:r>
          </w:p>
        </w:tc>
        <w:tc>
          <w:tcPr>
            <w:tcW w:type="dxa" w:w="2160"/>
            <w:vAlign w:val="top"/>
          </w:tcPr>
          <w:p>
            <w:pPr>
              <w:spacing w:after="120"/>
              <w:jc w:val="left"/>
            </w:pPr>
            <w:r>
              <w:t>Weekly</w:t>
            </w:r>
          </w:p>
        </w:tc>
      </w:tr>
      <w:tr>
        <w:tc>
          <w:tcPr>
            <w:tcW w:type="dxa" w:w="2160"/>
            <w:vAlign w:val="top"/>
          </w:tcPr>
          <w:p>
            <w:pPr>
              <w:spacing w:after="120"/>
              <w:jc w:val="left"/>
            </w:pPr>
            <w:r>
              <w:t>System Uptime</w:t>
            </w:r>
          </w:p>
        </w:tc>
        <w:tc>
          <w:tcPr>
            <w:tcW w:type="dxa" w:w="2160"/>
            <w:vAlign w:val="top"/>
          </w:tcPr>
          <w:p>
            <w:pPr>
              <w:spacing w:after="120"/>
              <w:jc w:val="left"/>
            </w:pPr>
            <w:r>
              <w:t>≥99.5 %</w:t>
            </w:r>
          </w:p>
        </w:tc>
        <w:tc>
          <w:tcPr>
            <w:tcW w:type="dxa" w:w="2160"/>
            <w:vAlign w:val="top"/>
          </w:tcPr>
          <w:p>
            <w:pPr>
              <w:spacing w:after="120"/>
              <w:jc w:val="left"/>
            </w:pPr>
            <w:r>
              <w:t>Prometheus probe success rate</w:t>
            </w:r>
          </w:p>
        </w:tc>
        <w:tc>
          <w:tcPr>
            <w:tcW w:type="dxa" w:w="2160"/>
            <w:vAlign w:val="top"/>
          </w:tcPr>
          <w:p>
            <w:pPr>
              <w:spacing w:after="120"/>
              <w:jc w:val="left"/>
            </w:pPr>
            <w:r>
              <w:t>Daily</w:t>
            </w:r>
          </w:p>
        </w:tc>
      </w:tr>
      <w:tr>
        <w:tc>
          <w:tcPr>
            <w:tcW w:type="dxa" w:w="2160"/>
            <w:vAlign w:val="top"/>
          </w:tcPr>
          <w:p>
            <w:pPr>
              <w:spacing w:after="120"/>
              <w:jc w:val="left"/>
            </w:pPr>
            <w:r>
              <w:t>Data Sync Time</w:t>
            </w:r>
          </w:p>
        </w:tc>
        <w:tc>
          <w:tcPr>
            <w:tcW w:type="dxa" w:w="2160"/>
            <w:vAlign w:val="top"/>
          </w:tcPr>
          <w:p>
            <w:pPr>
              <w:spacing w:after="120"/>
              <w:jc w:val="left"/>
            </w:pPr>
            <w:r>
              <w:t>≤5 min</w:t>
            </w:r>
          </w:p>
        </w:tc>
        <w:tc>
          <w:tcPr>
            <w:tcW w:type="dxa" w:w="2160"/>
            <w:vAlign w:val="top"/>
          </w:tcPr>
          <w:p>
            <w:pPr>
              <w:spacing w:after="120"/>
              <w:jc w:val="left"/>
            </w:pPr>
            <w:r>
              <w:t>App telemetry from sync button to last byte received</w:t>
            </w:r>
          </w:p>
        </w:tc>
        <w:tc>
          <w:tcPr>
            <w:tcW w:type="dxa" w:w="2160"/>
            <w:vAlign w:val="top"/>
          </w:tcPr>
          <w:p>
            <w:pPr>
              <w:spacing w:after="120"/>
              <w:jc w:val="left"/>
            </w:pPr>
            <w:r>
              <w:t>Per Session</w:t>
            </w:r>
          </w:p>
        </w:tc>
      </w:tr>
      <w:tr>
        <w:tc>
          <w:tcPr>
            <w:tcW w:type="dxa" w:w="2160"/>
            <w:vAlign w:val="top"/>
          </w:tcPr>
          <w:p>
            <w:pPr>
              <w:spacing w:after="120"/>
              <w:jc w:val="left"/>
            </w:pPr>
            <w:r>
              <w:t>Training Completion</w:t>
            </w:r>
          </w:p>
        </w:tc>
        <w:tc>
          <w:tcPr>
            <w:tcW w:type="dxa" w:w="2160"/>
            <w:vAlign w:val="top"/>
          </w:tcPr>
          <w:p>
            <w:pPr>
              <w:spacing w:after="120"/>
              <w:jc w:val="left"/>
            </w:pPr>
            <w:r>
              <w:t>≥95 %</w:t>
            </w:r>
          </w:p>
        </w:tc>
        <w:tc>
          <w:tcPr>
            <w:tcW w:type="dxa" w:w="2160"/>
            <w:vAlign w:val="top"/>
          </w:tcPr>
          <w:p>
            <w:pPr>
              <w:spacing w:after="120"/>
              <w:jc w:val="left"/>
            </w:pPr>
            <w:r>
              <w:t>LMS records with Aadhaar eSign</w:t>
            </w:r>
          </w:p>
        </w:tc>
        <w:tc>
          <w:tcPr>
            <w:tcW w:type="dxa" w:w="2160"/>
            <w:vAlign w:val="top"/>
          </w:tcPr>
          <w:p>
            <w:pPr>
              <w:spacing w:after="120"/>
              <w:jc w:val="left"/>
            </w:pPr>
            <w:r>
              <w:t>Monthly</w:t>
            </w:r>
          </w:p>
        </w:tc>
      </w:tr>
      <w:tr>
        <w:tc>
          <w:tcPr>
            <w:tcW w:type="dxa" w:w="2160"/>
            <w:vAlign w:val="top"/>
          </w:tcPr>
          <w:p>
            <w:pPr>
              <w:spacing w:after="120"/>
              <w:jc w:val="left"/>
            </w:pPr>
            <w:r>
              <w:t>Grievance TAT</w:t>
            </w:r>
          </w:p>
        </w:tc>
        <w:tc>
          <w:tcPr>
            <w:tcW w:type="dxa" w:w="2160"/>
            <w:vAlign w:val="top"/>
          </w:tcPr>
          <w:p>
            <w:pPr>
              <w:spacing w:after="120"/>
              <w:jc w:val="left"/>
            </w:pPr>
            <w:r>
              <w:t>≤3 days</w:t>
            </w:r>
          </w:p>
        </w:tc>
        <w:tc>
          <w:tcPr>
            <w:tcW w:type="dxa" w:w="2160"/>
            <w:vAlign w:val="top"/>
          </w:tcPr>
          <w:p>
            <w:pPr>
              <w:spacing w:after="120"/>
              <w:jc w:val="left"/>
            </w:pPr>
            <w:r>
              <w:t>Ticketing system timestamp</w:t>
            </w:r>
          </w:p>
        </w:tc>
        <w:tc>
          <w:tcPr>
            <w:tcW w:type="dxa" w:w="2160"/>
            <w:vAlign w:val="top"/>
          </w:tcPr>
          <w:p>
            <w:pPr>
              <w:spacing w:after="120"/>
              <w:jc w:val="left"/>
            </w:pPr>
            <w:r>
              <w:t>Daily</w:t>
            </w:r>
          </w:p>
        </w:tc>
      </w:tr>
      <w:tr>
        <w:tc>
          <w:tcPr>
            <w:tcW w:type="dxa" w:w="2160"/>
            <w:vAlign w:val="top"/>
          </w:tcPr>
          <w:p>
            <w:pPr>
              <w:spacing w:after="120"/>
              <w:jc w:val="left"/>
            </w:pPr>
            <w:r>
              <w:t>Cost per Hectare</w:t>
            </w:r>
          </w:p>
        </w:tc>
        <w:tc>
          <w:tcPr>
            <w:tcW w:type="dxa" w:w="2160"/>
            <w:vAlign w:val="top"/>
          </w:tcPr>
          <w:p>
            <w:pPr>
              <w:spacing w:after="120"/>
              <w:jc w:val="left"/>
            </w:pPr>
            <w:r>
              <w:t>≤₹90</w:t>
            </w:r>
          </w:p>
        </w:tc>
        <w:tc>
          <w:tcPr>
            <w:tcW w:type="dxa" w:w="2160"/>
            <w:vAlign w:val="top"/>
          </w:tcPr>
          <w:p>
            <w:pPr>
              <w:spacing w:after="120"/>
              <w:jc w:val="left"/>
            </w:pPr>
            <w:r>
              <w:t>Total project cost divided by hectares surveyed</w:t>
            </w:r>
          </w:p>
        </w:tc>
        <w:tc>
          <w:tcPr>
            <w:tcW w:type="dxa" w:w="2160"/>
            <w:vAlign w:val="top"/>
          </w:tcPr>
          <w:p>
            <w:pPr>
              <w:spacing w:after="120"/>
              <w:jc w:val="left"/>
            </w:pPr>
            <w:r>
              <w:t>Monthly</w:t>
            </w:r>
          </w:p>
        </w:tc>
      </w:tr>
      <w:tr>
        <w:tc>
          <w:tcPr>
            <w:tcW w:type="dxa" w:w="2160"/>
            <w:vAlign w:val="top"/>
          </w:tcPr>
          <w:p>
            <w:pPr>
              <w:spacing w:after="120"/>
              <w:jc w:val="left"/>
            </w:pPr>
            <w:r>
              <w:t>Blockchain Hash Integrity</w:t>
            </w:r>
          </w:p>
        </w:tc>
        <w:tc>
          <w:tcPr>
            <w:tcW w:type="dxa" w:w="2160"/>
            <w:vAlign w:val="top"/>
          </w:tcPr>
          <w:p>
            <w:pPr>
              <w:spacing w:after="120"/>
              <w:jc w:val="left"/>
            </w:pPr>
            <w:r>
              <w:t>100 %</w:t>
            </w:r>
          </w:p>
        </w:tc>
        <w:tc>
          <w:tcPr>
            <w:tcW w:type="dxa" w:w="2160"/>
            <w:vAlign w:val="top"/>
          </w:tcPr>
          <w:p>
            <w:pPr>
              <w:spacing w:after="120"/>
              <w:jc w:val="left"/>
            </w:pPr>
            <w:r>
              <w:t>Daily hash audit against ledger</w:t>
            </w:r>
          </w:p>
        </w:tc>
        <w:tc>
          <w:tcPr>
            <w:tcW w:type="dxa" w:w="2160"/>
            <w:vAlign w:val="top"/>
          </w:tcPr>
          <w:p>
            <w:pPr>
              <w:spacing w:after="120"/>
              <w:jc w:val="left"/>
            </w:pPr>
            <w:r>
              <w:t>Daily</w:t>
            </w:r>
          </w:p>
        </w:tc>
      </w:tr>
      <w:tr>
        <w:tc>
          <w:tcPr>
            <w:tcW w:type="dxa" w:w="2160"/>
            <w:vAlign w:val="top"/>
          </w:tcPr>
          <w:p>
            <w:pPr>
              <w:spacing w:after="120"/>
              <w:jc w:val="left"/>
            </w:pPr>
            <w:r>
              <w:t>Farmer Satisfaction</w:t>
            </w:r>
          </w:p>
        </w:tc>
        <w:tc>
          <w:tcPr>
            <w:tcW w:type="dxa" w:w="2160"/>
            <w:vAlign w:val="top"/>
          </w:tcPr>
          <w:p>
            <w:pPr>
              <w:spacing w:after="120"/>
              <w:jc w:val="left"/>
            </w:pPr>
            <w:r>
              <w:t>≥4.5/5</w:t>
            </w:r>
          </w:p>
        </w:tc>
        <w:tc>
          <w:tcPr>
            <w:tcW w:type="dxa" w:w="2160"/>
            <w:vAlign w:val="top"/>
          </w:tcPr>
          <w:p>
            <w:pPr>
              <w:spacing w:after="120"/>
              <w:jc w:val="left"/>
            </w:pPr>
            <w:r>
              <w:t>IVR &amp; SMS survey after survey closure</w:t>
            </w:r>
          </w:p>
        </w:tc>
        <w:tc>
          <w:tcPr>
            <w:tcW w:type="dxa" w:w="2160"/>
            <w:vAlign w:val="top"/>
          </w:tcPr>
          <w:p>
            <w:pPr>
              <w:spacing w:after="120"/>
              <w:jc w:val="left"/>
            </w:pPr>
            <w:r>
              <w:t>Per Panchayat</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