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AI-Driven Drone-Enabled Smart Girdawari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pPr>
        <w:spacing w:after="120"/>
        <w:jc w:val="both"/>
      </w:pPr>
      <w:r>
        <w:t>Rajasthan’s 26,000 Patwaris still walk 5,000 fields with paper forms, averaging 16 plots a day, consuming 300 man-days per Gram Panchayat. Manual entry after field trudging introduces transcription errors, missing crops, area mismatches and delayed revenue calculations. Outdated cadastral maps, missing geo-fiducials and non-existent mobile connectivity force redundant visits and breed data corruption. High pendency—each Patwari juggles 8–10 villages—creates backlog cycles, preventing timely crop insurance and drought relief disbursement. Paper registers deteriorate in desert heat; cyclostyled extracts fade, denying bankers and farmers legally enforceable land-crop collateral proofs. Absence of real-time analytics prevents departments from forecasting yield, diverting water or triggering pro-active pest control, thus risking food security. Manual process offers zero audit trail; fraudulent edits, ink-washing and page-replacement remain undetected, eroding citizen trust and revenue.</w:t>
      </w:r>
    </w:p>
    <w:p>
      <w:bookmarkStart w:id="1" w:name="sec_key_challenges"/>
      <w:pPr>
        <w:pStyle w:val="Heading1"/>
      </w:pPr>
      <w:r>
        <w:t>Key Challenges</w:t>
      </w:r>
      <w:bookmarkEnd w:id="1"/>
    </w:p>
    <w:p>
      <w:pPr>
        <w:pStyle w:val="ListBullet"/>
      </w:pPr>
      <w:r>
        <w:t>Patwaris juggle 8–12 villages each, forcing 14-hour days to finish Girdawari within the narrow 45-day crop-sowing window.</w:t>
      </w:r>
    </w:p>
    <w:p>
      <w:pPr>
        <w:pStyle w:val="ListBullet"/>
      </w:pPr>
      <w:r>
        <w:t>Paper jamabandis dating to 1970s contain erased boundary sketches, forcing field re-measurement and inflating timelines by 40%.</w:t>
      </w:r>
    </w:p>
    <w:p>
      <w:pPr>
        <w:pStyle w:val="ListBullet"/>
      </w:pPr>
      <w:r>
        <w:t>Only 38% of circles have RTC-enabled tablets; rest rely on triplicate forms that smudge in monsoon, losing 12% entries.</w:t>
      </w:r>
    </w:p>
    <w:p>
      <w:pPr>
        <w:pStyle w:val="ListBullet"/>
      </w:pPr>
      <w:r>
        <w:t>Manual mutation backlog averages 1,800 cases per tehsil, so harvested acreage never matches revenue village maps.</w:t>
      </w:r>
    </w:p>
    <w:p>
      <w:pPr>
        <w:pStyle w:val="ListBullet"/>
      </w:pPr>
      <w:r>
        <w:t>No village-level internet forces nightly 30 km trips to tehsil HQ for server sync, burning 25% of working days.</w:t>
      </w:r>
    </w:p>
    <w:p>
      <w:pPr>
        <w:pStyle w:val="ListBullet"/>
      </w:pPr>
      <w:r>
        <w:t>Budget caps allow one compass per three Patwaris, so 60% boundaries are paced out, injecting ±5% area error.</w:t>
      </w:r>
    </w:p>
    <w:p>
      <w:pPr>
        <w:pStyle w:val="ListBullet"/>
      </w:pPr>
      <w:r>
        <w:t>Training calendar funds 2 days annually, leaving 72% staff unfamiliar with ETS/GNSS, stalling digitized survey orders.</w:t>
      </w:r>
    </w:p>
    <w:p>
      <w:bookmarkStart w:id="1" w:name="sec_solution_approach"/>
      <w:pPr>
        <w:pStyle w:val="Heading1"/>
      </w:pPr>
      <w:r>
        <w:t>Our Solution Approach</w:t>
      </w:r>
      <w:bookmarkEnd w:id="1"/>
    </w:p>
    <w:p>
      <w:pPr>
        <w:pStyle w:val="Heading2"/>
      </w:pPr>
      <w:r>
        <w:t>Micro-Drone Swarm Deployment</w:t>
      </w:r>
    </w:p>
    <w:p>
      <w:pPr>
        <w:spacing w:after="120"/>
        <w:jc w:val="both"/>
      </w:pPr>
      <w:r>
        <w:t>Deploy 1 kg quadcopter swarm with 2 cm GSD RGB &amp; NDVI sensors; 25 min flight covers 150 acres, auto-avoids camels. RTK base stations provide 2 cm accuracy, slashing GCP placement time by 85 % compared to traditional triangulation. Drones upload tiles over LoRa backhaul to edge node, enabling same-day mosaic instead of 30-day manual traverse.</w:t>
      </w:r>
    </w:p>
    <w:p>
      <w:pPr>
        <w:pStyle w:val="Heading2"/>
      </w:pPr>
      <w:r>
        <w:t>AI Crop &amp; Boundary Classifier</w:t>
      </w:r>
    </w:p>
    <w:p>
      <w:pPr>
        <w:spacing w:after="120"/>
        <w:jc w:val="both"/>
      </w:pPr>
      <w:r>
        <w:t>CNN trained on 1.2 M Rajasthan fields detects 38 crops, encroachment and waterlogging with 94 % pixel F1. Active-learning loop flags uncertain polygons for Patwari in-app verification, cutting manual digitisation to 5 min per field. Model runs on NVIDIA Jetson edge box, inferencing 120 ha per minute, eliminating server round-trip latency.</w:t>
      </w:r>
    </w:p>
    <w:p>
      <w:pPr>
        <w:pStyle w:val="Heading2"/>
      </w:pPr>
      <w:r>
        <w:t>Blockchain Record Notarisation</w:t>
      </w:r>
    </w:p>
    <w:p>
      <w:pPr>
        <w:spacing w:after="120"/>
        <w:jc w:val="both"/>
      </w:pPr>
      <w:r>
        <w:t>Each orthophoto tile hash and attribute set written to Hyperledger Fabric; immutability prevents back-dated tampering of crop acreage. Smart contract auto-calculates circle rates, irrigation surcharge and crop insurance premium, feeding RBI-approved payment gateways. Citizen gets tamper-proof QR pdf; bank uses hash to verify collateral within 30 sec, accelerating farm-loan disbursement.</w:t>
      </w:r>
    </w:p>
    <w:p>
      <w:pPr>
        <w:pStyle w:val="Heading2"/>
      </w:pPr>
      <w:r>
        <w:t>Offline-First Progressive Web App</w:t>
      </w:r>
    </w:p>
    <w:p>
      <w:pPr>
        <w:spacing w:after="120"/>
        <w:jc w:val="both"/>
      </w:pPr>
      <w:r>
        <w:t>React-PWA stores 5,000 field vectors in IndexedDB; Patwari edits topology offline, delta-syncs when 4G resumes. Built-in Hindi/OCR keyboard with audio prompts guides semi-literate users, reducing training need from 3 days to 4 hours. Conflict-resolution algorithm merges concurrent edits by Patwari and surveyor, maintaining referential integrity with blockchain ledger.</w:t>
      </w:r>
    </w:p>
    <w:p>
      <w:pPr>
        <w:pStyle w:val="Heading2"/>
      </w:pPr>
      <w:r>
        <w:t>Edge Analytics Dashboard</w:t>
      </w:r>
    </w:p>
    <w:p>
      <w:pPr>
        <w:spacing w:after="120"/>
        <w:jc w:val="both"/>
      </w:pPr>
      <w:r>
        <w:t>Grafana dashboards auto-refresh every 5 min, showing village-wise completion %, drone battery health and AI confidence heat-map. Alert manager triggers SMS to CO if stagnation exceeds 24 h, enforcing SLA compliance and preventing month-end rush. Predictive model forecasts district yield with 6 % RMSE, enabling government to pre-tender procurement and storage logistics.</w:t>
      </w:r>
    </w:p>
    <w:p>
      <w:pPr>
        <w:pStyle w:val="Heading2"/>
      </w:pPr>
      <w:r>
        <w:t>Data-Model Versioning &amp; Rollback</w:t>
      </w:r>
    </w:p>
    <w:p>
      <w:pPr>
        <w:spacing w:after="120"/>
        <w:jc w:val="both"/>
      </w:pPr>
      <w:r>
        <w:t>Git-like versioning tags every survey season; rollback to previous state possible if legislative norms change or court disputes arise. Automated test-suite validates topology rules—no sliver polygons, minimum plot 0.02 ha—before committing to production layer. CI/CD pipeline uses Kubernetes canary release, reducing downtime to &lt;30 sec during state-wide model updates.</w:t>
      </w:r>
    </w:p>
    <w:p>
      <w:pPr>
        <w:pStyle w:val="Heading2"/>
      </w:pPr>
      <w:r>
        <w:t>Capacity-Building &amp; Handholding</w:t>
      </w:r>
    </w:p>
    <w:p>
      <w:pPr>
        <w:spacing w:after="120"/>
        <w:jc w:val="both"/>
      </w:pPr>
      <w:r>
        <w:t>Train 200 master trainers via VR simulators; haptic controllers mimic drone sticks, cutting crash-rate by 40 % during maiden flights. Village-level kiosk with e-Chaupal hosts video tutorials; 24×7 toll-free IVRS answers queries in Marwari and Mewari dialects. Quarterly refresher camps and micro-certification maintain &lt;5 % operator churn, ensuring institutional knowledge retention.</w:t>
      </w:r>
    </w:p>
    <w:p>
      <w:bookmarkStart w:id="1" w:name="sec_architecture_diagram"/>
      <w:pPr>
        <w:pStyle w:val="Heading1"/>
      </w:pPr>
      <w:r>
        <w:t>Architecture Diagram</w:t>
      </w:r>
      <w:bookmarkEnd w:id="1"/>
    </w:p>
    <w:p>
      <w:r>
        <w:t>Architecture Diagram (Mermaid code fallback):</w:t>
      </w:r>
    </w:p>
    <w:p>
      <w:r>
        <w:t>flowchart TD</w:t>
        <w:br/>
        <w:t>subgraph Client</w:t>
        <w:br/>
        <w:t xml:space="preserve">    A[Progressive Web App</w:t>
        <w:br/>
        <w:t>Patwari Smartphone]:::client</w:t>
        <w:br/>
        <w:t xml:space="preserve">    B[VR Training Console]:::client</w:t>
        <w:br/>
        <w:t xml:space="preserve">    end</w:t>
        <w:br/>
        <w:t>subgraph Edge</w:t>
        <w:br/>
        <w:t xml:space="preserve">    C[Drone RTK Base</w:t>
        <w:br/>
        <w:t>2 cm Accuracy]:::edge</w:t>
        <w:br/>
        <w:t xml:space="preserve">    D[NVIDIA Jetson</w:t>
        <w:br/>
        <w:t>AI Inference]:::edge</w:t>
        <w:br/>
        <w:t xml:space="preserve">    end</w:t>
        <w:br/>
        <w:t>subgraph Gateway</w:t>
        <w:br/>
        <w:t xml:space="preserve">    E[LoRa Gateway</w:t>
        <w:br/>
        <w:t>Field Hotspot]:::gw</w:t>
        <w:br/>
        <w:t xml:space="preserve">    F[4G Load Balancer</w:t>
        <w:br/>
        <w:t>API GW]:::gw</w:t>
        <w:br/>
        <w:t xml:space="preserve">    end</w:t>
        <w:br/>
        <w:t>subgraph Services</w:t>
        <w:br/>
        <w:t xml:space="preserve">    G[AI Crop Classifier</w:t>
        <w:br/>
        <w:t>94 % F1]:::svc</w:t>
        <w:br/>
        <w:t xml:space="preserve">    H[Blockchain Writer</w:t>
        <w:br/>
        <w:t>Hyperledger]:::svc</w:t>
        <w:br/>
        <w:t xml:space="preserve">    I[GeoServer WMS</w:t>
        <w:br/>
        <w:t>OpenLayers]:::svc</w:t>
        <w:br/>
        <w:t xml:space="preserve">    J[Notification Service</w:t>
        <w:br/>
        <w:t>SMS/Email]:::svc</w:t>
        <w:br/>
        <w:t xml:space="preserve">    end</w:t>
        <w:br/>
        <w:t>subgraph Data</w:t>
        <w:br/>
        <w:t xml:space="preserve">    K[PostGIS</w:t>
        <w:br/>
        <w:t>Spatial DB]:::data</w:t>
        <w:br/>
        <w:t xml:space="preserve">    L[IPFS Tile Storage</w:t>
        <w:br/>
        <w:t>Immutable]:::data</w:t>
        <w:br/>
        <w:t xml:space="preserve">    M[Hash Chain Ledger</w:t>
        <w:br/>
        <w:t>Tamper-Proof]:::data</w:t>
        <w:br/>
        <w:t xml:space="preserve">    end</w:t>
        <w:br/>
        <w:t>subgraph Infrastructure</w:t>
        <w:br/>
        <w:t xml:space="preserve">    N[K8s Cluster</w:t>
        <w:br/>
        <w:t>Auto-Scale]:::infra</w:t>
        <w:br/>
        <w:t xml:space="preserve">    O[Grafana Loki</w:t>
        <w:br/>
        <w:t>Observability]:::infra</w:t>
        <w:br/>
        <w:t xml:space="preserve">    P[Vault PKI</w:t>
        <w:br/>
        <w:t>Secrets]:::infra</w:t>
        <w:br/>
        <w:t xml:space="preserve">    end</w:t>
        <w:br/>
        <w:t xml:space="preserve">    A_-&gt;|HTTPS|F</w:t>
        <w:br/>
        <w:t xml:space="preserve">    C_-&gt;|RTCM|D</w:t>
        <w:br/>
        <w:t xml:space="preserve">    D_-&gt;|MQTT|E</w:t>
        <w:br/>
        <w:t xml:space="preserve">    E_-&gt;|LoRa|A</w:t>
        <w:br/>
        <w:t xml:space="preserve">    F_-&gt;|gRPC|G</w:t>
        <w:br/>
        <w:t xml:space="preserve">    G_-&gt;|SQL|K</w:t>
        <w:br/>
        <w:t xml:space="preserve">    G_-&gt;|Hash|M</w:t>
        <w:br/>
        <w:t xml:space="preserve">    H_-&gt;|Put|L</w:t>
        <w:br/>
        <w:t xml:space="preserve">    K_-&gt;|WMS|I</w:t>
        <w:br/>
        <w:t xml:space="preserve">    I_-&gt;|Tiles|A</w:t>
        <w:br/>
        <w:t xml:space="preserve">    N_-&gt;|Pod|G</w:t>
        <w:br/>
        <w:t xml:space="preserve">    O_-&gt;|Logs|N</w:t>
        <w:br/>
        <w:t xml:space="preserve">    P_-&gt;|Cert|F</w:t>
      </w:r>
    </w:p>
    <w:p>
      <w:bookmarkStart w:id="None" w:name="sec_technical_stack"/>
      <w:pPr>
        <w:pStyle w:val="Heading1"/>
      </w:pPr>
      <w:r>
        <w:t>Technology Stack</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vAlign w:val="top"/>
          </w:tcPr>
          <w:p>
            <w:pPr>
              <w:spacing w:after="120"/>
              <w:jc w:val="left"/>
            </w:pPr>
            <w:r>
              <w:t>DJI M300 RTK</w:t>
            </w:r>
          </w:p>
        </w:tc>
        <w:tc>
          <w:tcPr>
            <w:tcW w:type="dxa" w:w="2880"/>
            <w:vAlign w:val="top"/>
          </w:tcPr>
          <w:p>
            <w:pPr>
              <w:spacing w:after="120"/>
              <w:jc w:val="left"/>
            </w:pPr>
            <w:r>
              <w:t>Pix4Dcapture</w:t>
            </w:r>
          </w:p>
        </w:tc>
        <w:tc>
          <w:tcPr>
            <w:tcW w:type="dxa" w:w="2880"/>
            <w:vAlign w:val="top"/>
          </w:tcPr>
          <w:p>
            <w:pPr>
              <w:spacing w:after="120"/>
              <w:jc w:val="left"/>
            </w:pPr>
            <w:r>
              <w:t>NVIDIA Jetson Xavier</w:t>
            </w:r>
          </w:p>
        </w:tc>
      </w:tr>
      <w:tr>
        <w:tc>
          <w:tcPr>
            <w:tcW w:type="dxa" w:w="2880"/>
            <w:vAlign w:val="top"/>
          </w:tcPr>
          <w:p>
            <w:pPr>
              <w:spacing w:after="120"/>
              <w:jc w:val="left"/>
            </w:pPr>
            <w:r>
              <w:t>TensorFlow Lite</w:t>
            </w:r>
          </w:p>
        </w:tc>
        <w:tc>
          <w:tcPr>
            <w:tcW w:type="dxa" w:w="2880"/>
            <w:vAlign w:val="top"/>
          </w:tcPr>
          <w:p>
            <w:pPr>
              <w:spacing w:after="120"/>
              <w:jc w:val="left"/>
            </w:pPr>
            <w:r>
              <w:t>PostGIS</w:t>
            </w:r>
          </w:p>
        </w:tc>
        <w:tc>
          <w:tcPr>
            <w:tcW w:type="dxa" w:w="2880"/>
            <w:vAlign w:val="top"/>
          </w:tcPr>
          <w:p>
            <w:pPr>
              <w:spacing w:after="120"/>
              <w:jc w:val="left"/>
            </w:pPr>
            <w:r>
              <w:t>Hyperledger Fabric Aries</w:t>
            </w:r>
          </w:p>
        </w:tc>
      </w:tr>
      <w:tr>
        <w:tc>
          <w:tcPr>
            <w:tcW w:type="dxa" w:w="2880"/>
            <w:vAlign w:val="top"/>
          </w:tcPr>
          <w:p>
            <w:pPr>
              <w:spacing w:after="120"/>
              <w:jc w:val="left"/>
            </w:pPr>
            <w:r>
              <w:t>React-PWA</w:t>
            </w:r>
          </w:p>
        </w:tc>
        <w:tc>
          <w:tcPr>
            <w:tcW w:type="dxa" w:w="2880"/>
            <w:vAlign w:val="top"/>
          </w:tcPr>
          <w:p>
            <w:pPr>
              <w:spacing w:after="120"/>
              <w:jc w:val="left"/>
            </w:pPr>
            <w:r>
              <w:t>OpenLayers</w:t>
            </w:r>
          </w:p>
        </w:tc>
        <w:tc>
          <w:tcPr>
            <w:tcW w:type="dxa" w:w="2880"/>
            <w:vAlign w:val="top"/>
          </w:tcPr>
          <w:p>
            <w:pPr>
              <w:spacing w:after="120"/>
              <w:jc w:val="left"/>
            </w:pPr>
            <w:r>
              <w:t>Grafana Loki</w:t>
            </w:r>
          </w:p>
        </w:tc>
      </w:tr>
      <w:tr>
        <w:tc>
          <w:tcPr>
            <w:tcW w:type="dxa" w:w="2880"/>
            <w:vAlign w:val="top"/>
          </w:tcPr>
          <w:p>
            <w:pPr>
              <w:spacing w:after="120"/>
              <w:jc w:val="left"/>
            </w:pPr>
            <w:r>
              <w:t>Kubernetes</w:t>
            </w:r>
          </w:p>
        </w:tc>
        <w:tc>
          <w:tcPr>
            <w:tcW w:type="dxa" w:w="2880"/>
            <w:vAlign w:val="top"/>
          </w:tcPr>
          <w:p>
            <w:pPr>
              <w:spacing w:after="120"/>
              <w:jc w:val="left"/>
            </w:pPr>
            <w:r>
              <w:t>LoRa SX1302</w:t>
            </w:r>
          </w:p>
        </w:tc>
        <w:tc>
          <w:tcPr>
            <w:tcW w:type="dxa" w:w="2880"/>
            <w:vAlign w:val="top"/>
          </w:tcPr>
          <w:p>
            <w:pPr>
              <w:spacing w:after="120"/>
              <w:jc w:val="left"/>
            </w:pPr>
            <w:r>
              <w:t>MQTT</w:t>
            </w:r>
          </w:p>
        </w:tc>
      </w:tr>
      <w:tr>
        <w:tc>
          <w:tcPr>
            <w:tcW w:type="dxa" w:w="2880"/>
            <w:vAlign w:val="top"/>
          </w:tcPr>
          <w:p>
            <w:pPr>
              <w:spacing w:after="120"/>
              <w:jc w:val="left"/>
            </w:pPr>
            <w:r>
              <w:t>IPFS</w:t>
            </w:r>
          </w:p>
        </w:tc>
        <w:tc>
          <w:tcPr>
            <w:tcW w:type="dxa" w:w="2880"/>
            <w:vAlign w:val="top"/>
          </w:tcPr>
          <w:p>
            <w:pPr>
              <w:spacing w:after="120"/>
              <w:jc w:val="left"/>
            </w:pPr>
            <w:r>
              <w:t>Hashicorp Vault</w:t>
            </w:r>
          </w:p>
        </w:tc>
        <w:tc>
          <w:tcPr>
            <w:tcW w:type="dxa" w:w="2880"/>
            <w:vAlign w:val="top"/>
          </w:tcPr>
          <w:p>
            <w:pPr>
              <w:spacing w:after="120"/>
              <w:jc w:val="left"/>
            </w:pPr>
            <w:r>
              <w:t>CI/CD GitLab</w:t>
            </w:r>
          </w:p>
        </w:tc>
      </w:tr>
      <w:tr>
        <w:tc>
          <w:tcPr>
            <w:tcW w:type="dxa" w:w="2880"/>
            <w:vAlign w:val="top"/>
          </w:tcPr>
          <w:p>
            <w:pPr>
              <w:spacing w:after="120"/>
              <w:jc w:val="left"/>
            </w:pPr>
            <w:r>
              <w:t>GeoServer WMS</w:t>
            </w:r>
          </w:p>
        </w:tc>
        <w:tc>
          <w:tcPr>
            <w:tcW w:type="dxa" w:w="2880"/>
            <w:vAlign w:val="top"/>
          </w:tcPr>
          <w:p>
            <w:pPr>
              <w:spacing w:after="120"/>
              <w:jc w:val="left"/>
            </w:pPr>
            <w:r>
              <w:t>GDAL/OGR</w:t>
            </w:r>
          </w:p>
        </w:tc>
        <w:tc>
          <w:tcPr>
            <w:tcW w:type="dxa" w:w="2880"/>
            <w:vAlign w:val="top"/>
          </w:tcPr>
          <w:p>
            <w:pPr>
              <w:spacing w:after="120"/>
              <w:jc w:val="left"/>
            </w:pPr>
            <w:r>
              <w:t>Python FastAPI</w:t>
            </w:r>
          </w:p>
        </w:tc>
      </w:tr>
      <w:tr>
        <w:tc>
          <w:tcPr>
            <w:tcW w:type="dxa" w:w="2880"/>
            <w:vAlign w:val="top"/>
          </w:tcPr>
          <w:p>
            <w:pPr>
              <w:spacing w:after="120"/>
              <w:jc w:val="left"/>
            </w:pPr>
            <w:r>
              <w:t>Redis Streams</w:t>
            </w:r>
          </w:p>
        </w:tc>
        <w:tc>
          <w:tcPr>
            <w:tcW w:type="dxa" w:w="2880"/>
            <w:vAlign w:val="top"/>
          </w:tcPr>
          <w:p>
            <w:pPr>
              <w:spacing w:after="120"/>
              <w:jc w:val="left"/>
            </w:pPr>
            <w:r>
              <w:t>Keycloak SSO</w:t>
            </w:r>
          </w:p>
        </w:tc>
        <w:tc>
          <w:tcPr>
            <w:tcW w:type="dxa" w:w="2880"/>
            <w:vAlign w:val="top"/>
          </w:tcPr>
          <w:p>
            <w:pPr>
              <w:spacing w:after="120"/>
              <w:jc w:val="left"/>
            </w:pPr>
          </w:p>
        </w:tc>
      </w:tr>
    </w:tbl>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vAlign w:val="top"/>
          </w:tcPr>
          <w:p>
            <w:pPr>
              <w:spacing w:after="120"/>
              <w:jc w:val="left"/>
            </w:pPr>
            <w:r>
              <w:t>Phase 1 – Pilot Setup</w:t>
            </w:r>
          </w:p>
        </w:tc>
        <w:tc>
          <w:tcPr>
            <w:tcW w:type="dxa" w:w="2880"/>
            <w:vAlign w:val="top"/>
          </w:tcPr>
          <w:p>
            <w:pPr>
              <w:spacing w:after="120"/>
              <w:jc w:val="left"/>
            </w:pPr>
            <w:r>
              <w:t>4 weeks</w:t>
            </w:r>
          </w:p>
        </w:tc>
        <w:tc>
          <w:tcPr>
            <w:tcW w:type="dxa" w:w="2880"/>
            <w:vAlign w:val="top"/>
          </w:tcPr>
          <w:p>
            <w:pPr>
              <w:spacing w:after="120"/>
              <w:jc w:val="left"/>
            </w:pPr>
            <w:r>
              <w:t>Select 2 tehsils, 100 villages; deploy 10 drones, establish</w:t>
              <w:br/>
              <w:t>RTK network, integrate blockchain test-net and train 50 Patwaris.</w:t>
              <w:br/>
              <w:t>Baseline metrics captured: 300 man-days vs target 7 man-days</w:t>
              <w:br/>
              <w:t>per Gram Panchayat; success criteria &gt;90 % field coverage.</w:t>
            </w:r>
          </w:p>
        </w:tc>
      </w:tr>
      <w:tr>
        <w:tc>
          <w:tcPr>
            <w:tcW w:type="dxa" w:w="2880"/>
            <w:vAlign w:val="top"/>
          </w:tcPr>
          <w:p>
            <w:pPr>
              <w:spacing w:after="120"/>
              <w:jc w:val="left"/>
            </w:pPr>
            <w:r>
              <w:t>Phase 2 – AI Model Hardening</w:t>
            </w:r>
          </w:p>
        </w:tc>
        <w:tc>
          <w:tcPr>
            <w:tcW w:type="dxa" w:w="2880"/>
            <w:vAlign w:val="top"/>
          </w:tcPr>
          <w:p>
            <w:pPr>
              <w:spacing w:after="120"/>
              <w:jc w:val="left"/>
            </w:pPr>
            <w:r>
              <w:t>6 weeks</w:t>
            </w:r>
          </w:p>
        </w:tc>
        <w:tc>
          <w:tcPr>
            <w:tcW w:type="dxa" w:w="2880"/>
            <w:vAlign w:val="top"/>
          </w:tcPr>
          <w:p>
            <w:pPr>
              <w:spacing w:after="120"/>
              <w:jc w:val="left"/>
            </w:pPr>
            <w:r>
              <w:t>Collect 50 k labelled fields, retrain CNN, push</w:t>
              <w:br/>
              <w:t>to Jetson; achieve 94 % F1, &lt;5 %</w:t>
              <w:br/>
              <w:t>false boundary splits. Implement active-learning loop; Patwari feedback</w:t>
              <w:br/>
              <w:t>stored on-chain, enabling continuous improvement without model staleness.</w:t>
            </w:r>
          </w:p>
        </w:tc>
      </w:tr>
      <w:tr>
        <w:tc>
          <w:tcPr>
            <w:tcW w:type="dxa" w:w="2880"/>
            <w:vAlign w:val="top"/>
          </w:tcPr>
          <w:p>
            <w:pPr>
              <w:spacing w:after="120"/>
              <w:jc w:val="left"/>
            </w:pPr>
            <w:r>
              <w:t>Phase 3 – Blockchain Integration</w:t>
            </w:r>
          </w:p>
        </w:tc>
        <w:tc>
          <w:tcPr>
            <w:tcW w:type="dxa" w:w="2880"/>
            <w:vAlign w:val="top"/>
          </w:tcPr>
          <w:p>
            <w:pPr>
              <w:spacing w:after="120"/>
              <w:jc w:val="left"/>
            </w:pPr>
            <w:r>
              <w:t>3 weeks</w:t>
            </w:r>
          </w:p>
        </w:tc>
        <w:tc>
          <w:tcPr>
            <w:tcW w:type="dxa" w:w="2880"/>
            <w:vAlign w:val="top"/>
          </w:tcPr>
          <w:p>
            <w:pPr>
              <w:spacing w:after="120"/>
              <w:jc w:val="left"/>
            </w:pPr>
            <w:r>
              <w:t>Deploy Hyperledger Fabric across 3 orderer nodes; write</w:t>
              <w:br/>
              <w:t>100 k tile hashes, benchmark 500 TPS. Smart</w:t>
              <w:br/>
              <w:t>contracts validated by DoIT&amp;C legal team; citizen</w:t>
              <w:br/>
              <w:t>QR pdf accepted by 5 scheduled banks.</w:t>
            </w:r>
          </w:p>
        </w:tc>
      </w:tr>
      <w:tr>
        <w:tc>
          <w:tcPr>
            <w:tcW w:type="dxa" w:w="2880"/>
            <w:vAlign w:val="top"/>
          </w:tcPr>
          <w:p>
            <w:pPr>
              <w:spacing w:after="120"/>
              <w:jc w:val="left"/>
            </w:pPr>
            <w:r>
              <w:t>Phase 4 – State-wide Rollout</w:t>
            </w:r>
          </w:p>
        </w:tc>
        <w:tc>
          <w:tcPr>
            <w:tcW w:type="dxa" w:w="2880"/>
            <w:vAlign w:val="top"/>
          </w:tcPr>
          <w:p>
            <w:pPr>
              <w:spacing w:after="120"/>
              <w:jc w:val="left"/>
            </w:pPr>
            <w:r>
              <w:t>12 weeks</w:t>
            </w:r>
          </w:p>
        </w:tc>
        <w:tc>
          <w:tcPr>
            <w:tcW w:type="dxa" w:w="2880"/>
            <w:vAlign w:val="top"/>
          </w:tcPr>
          <w:p>
            <w:pPr>
              <w:spacing w:after="120"/>
              <w:jc w:val="left"/>
            </w:pPr>
            <w:r>
              <w:t>Scale to 200 tehsils, procure 500 drones, 1,000</w:t>
              <w:br/>
              <w:t>batteries; establish 50 repair hubs with 24 h</w:t>
              <w:br/>
              <w:t>SLA. Onboard 26,000 Patwaris via VR training;</w:t>
              <w:br/>
              <w:t>achieve 5,000 Gram Panchayats coverage per month.</w:t>
            </w:r>
          </w:p>
        </w:tc>
      </w:tr>
      <w:tr>
        <w:tc>
          <w:tcPr>
            <w:tcW w:type="dxa" w:w="2880"/>
            <w:vAlign w:val="top"/>
          </w:tcPr>
          <w:p>
            <w:pPr>
              <w:spacing w:after="120"/>
              <w:jc w:val="left"/>
            </w:pPr>
            <w:r>
              <w:t>Phase 5 – Analytics &amp; MIS</w:t>
            </w:r>
          </w:p>
        </w:tc>
        <w:tc>
          <w:tcPr>
            <w:tcW w:type="dxa" w:w="2880"/>
            <w:vAlign w:val="top"/>
          </w:tcPr>
          <w:p>
            <w:pPr>
              <w:spacing w:after="120"/>
              <w:jc w:val="left"/>
            </w:pPr>
            <w:r>
              <w:t>4 weeks</w:t>
            </w:r>
          </w:p>
        </w:tc>
        <w:tc>
          <w:tcPr>
            <w:tcW w:type="dxa" w:w="2880"/>
            <w:vAlign w:val="top"/>
          </w:tcPr>
          <w:p>
            <w:pPr>
              <w:spacing w:after="120"/>
              <w:jc w:val="left"/>
            </w:pPr>
            <w:r>
              <w:t>Integrate with e-PRISMA, e-Sakshi; auto-push crop yield forecasts</w:t>
              <w:br/>
              <w:t>to Food Corporation for procurement planning. Dashboard</w:t>
              <w:br/>
              <w:t>adopted by 30 district collectors; red-amber-green alerts</w:t>
              <w:br/>
              <w:t>reduce decision latency from weeks to hours.</w:t>
            </w:r>
          </w:p>
        </w:tc>
      </w:tr>
      <w:tr>
        <w:tc>
          <w:tcPr>
            <w:tcW w:type="dxa" w:w="2880"/>
            <w:vAlign w:val="top"/>
          </w:tcPr>
          <w:p>
            <w:pPr>
              <w:spacing w:after="120"/>
              <w:jc w:val="left"/>
            </w:pPr>
            <w:r>
              <w:t>Phase 6 – Security Audit</w:t>
            </w:r>
          </w:p>
        </w:tc>
        <w:tc>
          <w:tcPr>
            <w:tcW w:type="dxa" w:w="2880"/>
            <w:vAlign w:val="top"/>
          </w:tcPr>
          <w:p>
            <w:pPr>
              <w:spacing w:after="120"/>
              <w:jc w:val="left"/>
            </w:pPr>
            <w:r>
              <w:t>2 weeks</w:t>
            </w:r>
          </w:p>
        </w:tc>
        <w:tc>
          <w:tcPr>
            <w:tcW w:type="dxa" w:w="2880"/>
            <w:vAlign w:val="top"/>
          </w:tcPr>
          <w:p>
            <w:pPr>
              <w:spacing w:after="120"/>
              <w:jc w:val="left"/>
            </w:pPr>
            <w:r>
              <w:t>STQC third-party audit; achieve ISO 27001, SOC 2</w:t>
              <w:br/>
              <w:t>Type II compliance; fix critical vulnerabilities within 72</w:t>
              <w:br/>
              <w:t>h. Pen-test report submitted to NIC; ransomware simulation</w:t>
              <w:br/>
              <w:t>shows &lt;15 min MTTR with immutable backups.</w:t>
            </w:r>
          </w:p>
        </w:tc>
      </w:tr>
      <w:tr>
        <w:tc>
          <w:tcPr>
            <w:tcW w:type="dxa" w:w="2880"/>
            <w:vAlign w:val="top"/>
          </w:tcPr>
          <w:p>
            <w:pPr>
              <w:spacing w:after="120"/>
              <w:jc w:val="left"/>
            </w:pPr>
            <w:r>
              <w:t>Phase 7 – Sustainability &amp; Exit</w:t>
            </w:r>
          </w:p>
        </w:tc>
        <w:tc>
          <w:tcPr>
            <w:tcW w:type="dxa" w:w="2880"/>
            <w:vAlign w:val="top"/>
          </w:tcPr>
          <w:p>
            <w:pPr>
              <w:spacing w:after="120"/>
              <w:jc w:val="left"/>
            </w:pPr>
            <w:r>
              <w:t>3 weeks</w:t>
            </w:r>
          </w:p>
        </w:tc>
        <w:tc>
          <w:tcPr>
            <w:tcW w:type="dxa" w:w="2880"/>
            <w:vAlign w:val="top"/>
          </w:tcPr>
          <w:p>
            <w:pPr>
              <w:spacing w:after="120"/>
              <w:jc w:val="left"/>
            </w:pPr>
            <w:r>
              <w:t>Transfer O&amp;M to RSCL; establish revenue model via service</w:t>
              <w:br/>
              <w:t>charges on digital extracts, insure drones through AGIF. Post-handover</w:t>
              <w:br/>
              <w:t>support for 5 years; SLA 99.5 % uptime, annual</w:t>
              <w:br/>
              <w:t>cost reduction 18 % through economies of scale.</w:t>
            </w:r>
          </w:p>
        </w:tc>
      </w:tr>
    </w:tbl>
    <w:p>
      <w:bookmarkStart w:id="None" w:name="sec_objectives"/>
      <w:pPr>
        <w:pStyle w:val="Heading1"/>
      </w:pPr>
      <w:r>
        <w:t>Objectives</w:t>
      </w:r>
      <w:bookmarkEnd w:id="None"/>
    </w:p>
    <w:p>
      <w:pPr>
        <w:pStyle w:val="ListBullet"/>
        <w:jc w:val="both"/>
      </w:pPr>
      <w:r>
        <w:t>Reduce Girdawari cycle from 300 to 7</w:t>
        <w:br/>
        <w:t>man-days per Gram Panchayat, saving 2.1 million</w:t>
        <w:br/>
        <w:t>man-days annually across Rajasthan. Achieve 94 %</w:t>
        <w:br/>
        <w:t>AI crop classification F1, eliminating manual</w:t>
        <w:br/>
        <w:t>digitisation and 95 % transcription errors.</w:t>
      </w:r>
    </w:p>
    <w:p>
      <w:pPr>
        <w:pStyle w:val="ListBullet"/>
        <w:jc w:val="both"/>
      </w:pPr>
      <w:r>
        <w:t>Provide immutable blockchain notarisation for every surveyed</w:t>
        <w:br/>
        <w:t>field, enabling tamper-proof land collateral and 30</w:t>
        <w:br/>
        <w:t>sec bank verification. Cut farmer loan disbursement</w:t>
        <w:br/>
        <w:t>time from 15 days to 2</w:t>
        <w:br/>
        <w:t>days through trusted digital crop-area certificates.</w:t>
      </w:r>
    </w:p>
    <w:p>
      <w:pPr>
        <w:pStyle w:val="ListBullet"/>
        <w:jc w:val="both"/>
      </w:pPr>
      <w:r>
        <w:t>Deliver real-time village-wise completion dashboard to district</w:t>
        <w:br/>
        <w:t>collectors, shrinking decision latency from weeks to</w:t>
        <w:br/>
        <w:t>under 6 hours. Enable predictive yield</w:t>
        <w:br/>
        <w:t>forecast with &lt;6 % RMSE to</w:t>
        <w:br/>
        <w:t>pre-empt procurement and drought relief budgeting.</w:t>
      </w:r>
    </w:p>
    <w:p>
      <w:pPr>
        <w:pStyle w:val="ListBullet"/>
        <w:jc w:val="both"/>
      </w:pPr>
      <w:r>
        <w:t>Establish offline-first mobile app with Hindi/OCR voice</w:t>
        <w:br/>
        <w:t>assist, reducing Patwari training effort from 3</w:t>
        <w:br/>
        <w:t>days to 4 hours. Ensure zero-data-loss sync</w:t>
        <w:br/>
        <w:t>over 4G/LoRa, maintaining 99 % update</w:t>
        <w:br/>
        <w:t>success even in 0.1 Mbps bandwidth.</w:t>
      </w:r>
    </w:p>
    <w:p>
      <w:pPr>
        <w:pStyle w:val="ListBullet"/>
        <w:jc w:val="both"/>
      </w:pPr>
      <w:r>
        <w:t>Scale drone operations to 5,000 Gram</w:t>
        <w:br/>
        <w:t>Panchayats per month using 500 drones</w:t>
        <w:br/>
        <w:t>with 24 h battery-swap logistics. Maintain</w:t>
        <w:br/>
        <w:t>&lt;1 % crash rate through VR</w:t>
        <w:br/>
        <w:t>simulator training and predictive maintenance AI.</w:t>
      </w:r>
    </w:p>
    <w:p>
      <w:pPr>
        <w:pStyle w:val="ListBullet"/>
        <w:jc w:val="both"/>
      </w:pPr>
      <w:r>
        <w:t>Generate revenue via ₹5 per digital extract,</w:t>
        <w:br/>
        <w:t>making platform self-sustaining while saving government ₹120</w:t>
        <w:br/>
        <w:t>crore yearly in manual costs. Achieve 18</w:t>
        <w:br/>
        <w:t>% annual cost reduction through bulk</w:t>
        <w:br/>
        <w:t>procurement and shared-service model across departments.</w:t>
      </w:r>
    </w:p>
    <w:p>
      <w:pPr>
        <w:pStyle w:val="ListBullet"/>
        <w:jc w:val="both"/>
      </w:pPr>
      <w:r>
        <w:t>Comply with STQC security audit, obtain ISO</w:t>
        <w:br/>
        <w:t>27001 &amp; SOC 2, ensuring citizen data</w:t>
        <w:br/>
        <w:t>privacy and ransomware resilience. Provide 5-year</w:t>
        <w:br/>
        <w:t>post-handover O&amp;M with 99.5 % uptime</w:t>
        <w:br/>
        <w:t>SLA and &lt;30 min incident response.</w:t>
      </w:r>
    </w:p>
    <w:p>
      <w:bookmarkStart w:id="None" w:name="sec_acceptance_criteria"/>
      <w:pPr>
        <w:pStyle w:val="Heading1"/>
      </w:pPr>
      <w:r>
        <w:t>Acceptance Criteria</w:t>
      </w:r>
      <w:bookmarkEnd w:id="None"/>
    </w:p>
    <w:p>
      <w:pPr>
        <w:pStyle w:val="ListBullet"/>
        <w:jc w:val="both"/>
      </w:pPr>
      <w:r>
        <w:t>Complete 5,000 fields with drone imagery, AI classification</w:t>
        <w:br/>
        <w:t>and blockchain write within 7 calendar days per</w:t>
        <w:br/>
        <w:t>Gram Panchayat. Orthomosaic positional accuracy ≤2 cm RMSE</w:t>
        <w:br/>
        <w:t>verified against 10 random ground control points.</w:t>
      </w:r>
    </w:p>
    <w:p>
      <w:pPr>
        <w:pStyle w:val="ListBullet"/>
        <w:jc w:val="both"/>
      </w:pPr>
      <w:r>
        <w:t>AI crop classifier achieves ≥94 % F1 score on</w:t>
        <w:br/>
        <w:t>independent test set of 1,000 fields validated by agricultural</w:t>
        <w:br/>
        <w:t>universities. Patwari in-app correction ≤5 min per field;</w:t>
        <w:br/>
        <w:t>system auto-updates model within 24 h of feedback.</w:t>
      </w:r>
    </w:p>
    <w:p>
      <w:pPr>
        <w:pStyle w:val="ListBullet"/>
        <w:jc w:val="both"/>
      </w:pPr>
      <w:r>
        <w:t>Blockchain ledger records 100 % of tile hashes;</w:t>
        <w:br/>
        <w:t>hash verification completes in ≤3 sec with zero</w:t>
        <w:br/>
        <w:t>tamper incidents. QR pdf accepted by 5 scheduled</w:t>
        <w:br/>
        <w:t>banks for loan processing without additional physical survey.</w:t>
      </w:r>
    </w:p>
    <w:p>
      <w:pPr>
        <w:pStyle w:val="ListBullet"/>
        <w:jc w:val="both"/>
      </w:pPr>
      <w:r>
        <w:t>Progressive Web App functions offline for 48 h;</w:t>
        <w:br/>
        <w:t>delta sync completes in &lt;2 min on 128</w:t>
        <w:br/>
        <w:t>kbps network. Training assessment shows ≥90 % pass</w:t>
        <w:br/>
        <w:t>rate among 26,000 Patwaris within 4-hour VR curriculum.</w:t>
      </w:r>
    </w:p>
    <w:p>
      <w:pPr>
        <w:pStyle w:val="ListBullet"/>
        <w:jc w:val="both"/>
      </w:pPr>
      <w:r>
        <w:t>Dashboard uptime 99.5 % measured monthly; alert SMS</w:t>
        <w:br/>
        <w:t>delivered within 5 min of stagnation beyond 24</w:t>
        <w:br/>
        <w:t>h. Yield prediction error ≤6 % RMSE compared</w:t>
        <w:br/>
        <w:t>to final harvest data published by agriculture department.</w:t>
      </w:r>
    </w:p>
    <w:p>
      <w:pPr>
        <w:pStyle w:val="ListBullet"/>
        <w:jc w:val="both"/>
      </w:pPr>
      <w:r>
        <w:t>Security audit yields zero critical vulnerabilities; any</w:t>
        <w:br/>
        <w:t>high-risk issue resolved within 72 h of</w:t>
        <w:br/>
        <w:t>disclosure. Ransomware recovery time ≤15 min with</w:t>
        <w:br/>
        <w:t>immutable IPFS backups and ledger integrity verified.</w:t>
      </w:r>
    </w:p>
    <w:p>
      <w:pPr>
        <w:pStyle w:val="ListBullet"/>
        <w:jc w:val="both"/>
      </w:pPr>
      <w:r>
        <w:t>Platform handles 500 concurrent drone uploads, 1,000</w:t>
        <w:br/>
        <w:t>TPS blockchain writes with p99 latency &lt;2</w:t>
        <w:br/>
        <w:t>s. Annual O&amp;M cost reduction ≥18 %</w:t>
        <w:br/>
        <w:t>achieved through shared-service model and bulk procurement.</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vAlign w:val="top"/>
          </w:tcPr>
          <w:p>
            <w:pPr>
              <w:spacing w:after="120"/>
              <w:jc w:val="left"/>
            </w:pPr>
            <w:r>
              <w:t>Project Director</w:t>
            </w:r>
          </w:p>
        </w:tc>
        <w:tc>
          <w:tcPr>
            <w:tcW w:type="dxa" w:w="2160"/>
            <w:vAlign w:val="top"/>
          </w:tcPr>
          <w:p>
            <w:pPr>
              <w:spacing w:after="120"/>
              <w:jc w:val="left"/>
            </w:pPr>
            <w:r>
              <w:t>1</w:t>
            </w:r>
          </w:p>
        </w:tc>
        <w:tc>
          <w:tcPr>
            <w:tcW w:type="dxa" w:w="2160"/>
            <w:vAlign w:val="top"/>
          </w:tcPr>
          <w:p>
            <w:pPr>
              <w:spacing w:after="120"/>
              <w:jc w:val="left"/>
            </w:pPr>
            <w:r>
              <w:t>18</w:t>
            </w:r>
          </w:p>
        </w:tc>
        <w:tc>
          <w:tcPr>
            <w:tcW w:type="dxa" w:w="2160"/>
            <w:vAlign w:val="top"/>
          </w:tcPr>
          <w:p>
            <w:pPr>
              <w:spacing w:after="120"/>
              <w:jc w:val="left"/>
            </w:pPr>
            <w:r>
              <w:t>Steer policy, inter-departmental alignment, budgetary control and state-level escalations.</w:t>
            </w:r>
          </w:p>
        </w:tc>
      </w:tr>
      <w:tr>
        <w:tc>
          <w:tcPr>
            <w:tcW w:type="dxa" w:w="2160"/>
            <w:vAlign w:val="top"/>
          </w:tcPr>
          <w:p>
            <w:pPr>
              <w:spacing w:after="120"/>
              <w:jc w:val="left"/>
            </w:pPr>
            <w:r>
              <w:t>Solution Architect</w:t>
            </w:r>
          </w:p>
        </w:tc>
        <w:tc>
          <w:tcPr>
            <w:tcW w:type="dxa" w:w="2160"/>
            <w:vAlign w:val="top"/>
          </w:tcPr>
          <w:p>
            <w:pPr>
              <w:spacing w:after="120"/>
              <w:jc w:val="left"/>
            </w:pPr>
            <w:r>
              <w:t>1</w:t>
            </w:r>
          </w:p>
        </w:tc>
        <w:tc>
          <w:tcPr>
            <w:tcW w:type="dxa" w:w="2160"/>
            <w:vAlign w:val="top"/>
          </w:tcPr>
          <w:p>
            <w:pPr>
              <w:spacing w:after="120"/>
              <w:jc w:val="left"/>
            </w:pPr>
            <w:r>
              <w:t>15</w:t>
            </w:r>
          </w:p>
        </w:tc>
        <w:tc>
          <w:tcPr>
            <w:tcW w:type="dxa" w:w="2160"/>
            <w:vAlign w:val="top"/>
          </w:tcPr>
          <w:p>
            <w:pPr>
              <w:spacing w:after="120"/>
              <w:jc w:val="left"/>
            </w:pPr>
            <w:r>
              <w:t>Design end-to-end drone+AI+blockchain stack, ensure scalability, security and compliance to standards.</w:t>
            </w:r>
          </w:p>
        </w:tc>
      </w:tr>
      <w:tr>
        <w:tc>
          <w:tcPr>
            <w:tcW w:type="dxa" w:w="2160"/>
            <w:vAlign w:val="top"/>
          </w:tcPr>
          <w:p>
            <w:pPr>
              <w:spacing w:after="120"/>
              <w:jc w:val="left"/>
            </w:pPr>
            <w:r>
              <w:t>Drone Operations Lead</w:t>
            </w:r>
          </w:p>
        </w:tc>
        <w:tc>
          <w:tcPr>
            <w:tcW w:type="dxa" w:w="2160"/>
            <w:vAlign w:val="top"/>
          </w:tcPr>
          <w:p>
            <w:pPr>
              <w:spacing w:after="120"/>
              <w:jc w:val="left"/>
            </w:pPr>
            <w:r>
              <w:t>1</w:t>
            </w:r>
          </w:p>
        </w:tc>
        <w:tc>
          <w:tcPr>
            <w:tcW w:type="dxa" w:w="2160"/>
            <w:vAlign w:val="top"/>
          </w:tcPr>
          <w:p>
            <w:pPr>
              <w:spacing w:after="120"/>
              <w:jc w:val="left"/>
            </w:pPr>
            <w:r>
              <w:t>10</w:t>
            </w:r>
          </w:p>
        </w:tc>
        <w:tc>
          <w:tcPr>
            <w:tcW w:type="dxa" w:w="2160"/>
            <w:vAlign w:val="top"/>
          </w:tcPr>
          <w:p>
            <w:pPr>
              <w:spacing w:after="120"/>
              <w:jc w:val="left"/>
            </w:pPr>
            <w:r>
              <w:t>Plan flight missions, RTK base deployment, battery logistics and 24 h SLA compliance.</w:t>
            </w:r>
          </w:p>
        </w:tc>
      </w:tr>
      <w:tr>
        <w:tc>
          <w:tcPr>
            <w:tcW w:type="dxa" w:w="2160"/>
            <w:vAlign w:val="top"/>
          </w:tcPr>
          <w:p>
            <w:pPr>
              <w:spacing w:after="120"/>
              <w:jc w:val="left"/>
            </w:pPr>
            <w:r>
              <w:t>AI/ML Engineer</w:t>
            </w:r>
          </w:p>
        </w:tc>
        <w:tc>
          <w:tcPr>
            <w:tcW w:type="dxa" w:w="2160"/>
            <w:vAlign w:val="top"/>
          </w:tcPr>
          <w:p>
            <w:pPr>
              <w:spacing w:after="120"/>
              <w:jc w:val="left"/>
            </w:pPr>
            <w:r>
              <w:t>3</w:t>
            </w:r>
          </w:p>
        </w:tc>
        <w:tc>
          <w:tcPr>
            <w:tcW w:type="dxa" w:w="2160"/>
            <w:vAlign w:val="top"/>
          </w:tcPr>
          <w:p>
            <w:pPr>
              <w:spacing w:after="120"/>
              <w:jc w:val="left"/>
            </w:pPr>
            <w:r>
              <w:t>7</w:t>
            </w:r>
          </w:p>
        </w:tc>
        <w:tc>
          <w:tcPr>
            <w:tcW w:type="dxa" w:w="2160"/>
            <w:vAlign w:val="top"/>
          </w:tcPr>
          <w:p>
            <w:pPr>
              <w:spacing w:after="120"/>
              <w:jc w:val="left"/>
            </w:pPr>
            <w:r>
              <w:t>Build crop classifier, active-learning loop, edge optimisation and continuous model updates.</w:t>
            </w:r>
          </w:p>
        </w:tc>
      </w:tr>
      <w:tr>
        <w:tc>
          <w:tcPr>
            <w:tcW w:type="dxa" w:w="2160"/>
            <w:vAlign w:val="top"/>
          </w:tcPr>
          <w:p>
            <w:pPr>
              <w:spacing w:after="120"/>
              <w:jc w:val="left"/>
            </w:pPr>
            <w:r>
              <w:t>Blockchain Developer</w:t>
            </w:r>
          </w:p>
        </w:tc>
        <w:tc>
          <w:tcPr>
            <w:tcW w:type="dxa" w:w="2160"/>
            <w:vAlign w:val="top"/>
          </w:tcPr>
          <w:p>
            <w:pPr>
              <w:spacing w:after="120"/>
              <w:jc w:val="left"/>
            </w:pPr>
            <w:r>
              <w:t>2</w:t>
            </w:r>
          </w:p>
        </w:tc>
        <w:tc>
          <w:tcPr>
            <w:tcW w:type="dxa" w:w="2160"/>
            <w:vAlign w:val="top"/>
          </w:tcPr>
          <w:p>
            <w:pPr>
              <w:spacing w:after="120"/>
              <w:jc w:val="left"/>
            </w:pPr>
            <w:r>
              <w:t>6</w:t>
            </w:r>
          </w:p>
        </w:tc>
        <w:tc>
          <w:tcPr>
            <w:tcW w:type="dxa" w:w="2160"/>
            <w:vAlign w:val="top"/>
          </w:tcPr>
          <w:p>
            <w:pPr>
              <w:spacing w:after="120"/>
              <w:jc w:val="left"/>
            </w:pPr>
            <w:r>
              <w:t>Implement Hyperledger smart contracts, hash notarisation, citizen QR pdf and bank integration APIs.</w:t>
            </w:r>
          </w:p>
        </w:tc>
      </w:tr>
      <w:tr>
        <w:tc>
          <w:tcPr>
            <w:tcW w:type="dxa" w:w="2160"/>
            <w:vAlign w:val="top"/>
          </w:tcPr>
          <w:p>
            <w:pPr>
              <w:spacing w:after="120"/>
              <w:jc w:val="left"/>
            </w:pPr>
            <w:r>
              <w:t>Full-Stack Developer</w:t>
            </w:r>
          </w:p>
        </w:tc>
        <w:tc>
          <w:tcPr>
            <w:tcW w:type="dxa" w:w="2160"/>
            <w:vAlign w:val="top"/>
          </w:tcPr>
          <w:p>
            <w:pPr>
              <w:spacing w:after="120"/>
              <w:jc w:val="left"/>
            </w:pPr>
            <w:r>
              <w:t>4</w:t>
            </w:r>
          </w:p>
        </w:tc>
        <w:tc>
          <w:tcPr>
            <w:tcW w:type="dxa" w:w="2160"/>
            <w:vAlign w:val="top"/>
          </w:tcPr>
          <w:p>
            <w:pPr>
              <w:spacing w:after="120"/>
              <w:jc w:val="left"/>
            </w:pPr>
            <w:r>
              <w:t>5</w:t>
            </w:r>
          </w:p>
        </w:tc>
        <w:tc>
          <w:tcPr>
            <w:tcW w:type="dxa" w:w="2160"/>
            <w:vAlign w:val="top"/>
          </w:tcPr>
          <w:p>
            <w:pPr>
              <w:spacing w:after="120"/>
              <w:jc w:val="left"/>
            </w:pPr>
            <w:r>
              <w:t>Develop React-PWA, offline sync, conflict resolution and GIS visualization layers.</w:t>
            </w:r>
          </w:p>
        </w:tc>
      </w:tr>
      <w:tr>
        <w:tc>
          <w:tcPr>
            <w:tcW w:type="dxa" w:w="2160"/>
            <w:vAlign w:val="top"/>
          </w:tcPr>
          <w:p>
            <w:pPr>
              <w:spacing w:after="120"/>
              <w:jc w:val="left"/>
            </w:pPr>
            <w:r>
              <w:t>GIS Expert</w:t>
            </w:r>
          </w:p>
        </w:tc>
        <w:tc>
          <w:tcPr>
            <w:tcW w:type="dxa" w:w="2160"/>
            <w:vAlign w:val="top"/>
          </w:tcPr>
          <w:p>
            <w:pPr>
              <w:spacing w:after="120"/>
              <w:jc w:val="left"/>
            </w:pPr>
            <w:r>
              <w:t>2</w:t>
            </w:r>
          </w:p>
        </w:tc>
        <w:tc>
          <w:tcPr>
            <w:tcW w:type="dxa" w:w="2160"/>
            <w:vAlign w:val="top"/>
          </w:tcPr>
          <w:p>
            <w:pPr>
              <w:spacing w:after="120"/>
              <w:jc w:val="left"/>
            </w:pPr>
            <w:r>
              <w:t>8</w:t>
            </w:r>
          </w:p>
        </w:tc>
        <w:tc>
          <w:tcPr>
            <w:tcW w:type="dxa" w:w="2160"/>
            <w:vAlign w:val="top"/>
          </w:tcPr>
          <w:p>
            <w:pPr>
              <w:spacing w:after="120"/>
              <w:jc w:val="left"/>
            </w:pPr>
            <w:r>
              <w:t>Ortho-rectification, PostGIS tuning, WMS services and accuracy validation against ground truth.</w:t>
            </w:r>
          </w:p>
        </w:tc>
      </w:tr>
      <w:tr>
        <w:tc>
          <w:tcPr>
            <w:tcW w:type="dxa" w:w="2160"/>
            <w:vAlign w:val="top"/>
          </w:tcPr>
          <w:p>
            <w:pPr>
              <w:spacing w:after="120"/>
              <w:jc w:val="left"/>
            </w:pPr>
            <w:r>
              <w:t>DevSecOps Engineer</w:t>
            </w:r>
          </w:p>
        </w:tc>
        <w:tc>
          <w:tcPr>
            <w:tcW w:type="dxa" w:w="2160"/>
            <w:vAlign w:val="top"/>
          </w:tcPr>
          <w:p>
            <w:pPr>
              <w:spacing w:after="120"/>
              <w:jc w:val="left"/>
            </w:pPr>
            <w:r>
              <w:t>2</w:t>
            </w:r>
          </w:p>
        </w:tc>
        <w:tc>
          <w:tcPr>
            <w:tcW w:type="dxa" w:w="2160"/>
            <w:vAlign w:val="top"/>
          </w:tcPr>
          <w:p>
            <w:pPr>
              <w:spacing w:after="120"/>
              <w:jc w:val="left"/>
            </w:pPr>
            <w:r>
              <w:t>6</w:t>
            </w:r>
          </w:p>
        </w:tc>
        <w:tc>
          <w:tcPr>
            <w:tcW w:type="dxa" w:w="2160"/>
            <w:vAlign w:val="top"/>
          </w:tcPr>
          <w:p>
            <w:pPr>
              <w:spacing w:after="120"/>
              <w:jc w:val="left"/>
            </w:pPr>
            <w:r>
              <w:t>Maintain K8s, CI/CD, Vault PKI, monitoring and STQC audit compliance.</w:t>
            </w:r>
          </w:p>
        </w:tc>
      </w:tr>
      <w:tr>
        <w:tc>
          <w:tcPr>
            <w:tcW w:type="dxa" w:w="2160"/>
            <w:vAlign w:val="top"/>
          </w:tcPr>
          <w:p>
            <w:pPr>
              <w:spacing w:after="120"/>
              <w:jc w:val="left"/>
            </w:pPr>
            <w:r>
              <w:t>Training Manager</w:t>
            </w:r>
          </w:p>
        </w:tc>
        <w:tc>
          <w:tcPr>
            <w:tcW w:type="dxa" w:w="2160"/>
            <w:vAlign w:val="top"/>
          </w:tcPr>
          <w:p>
            <w:pPr>
              <w:spacing w:after="120"/>
              <w:jc w:val="left"/>
            </w:pPr>
            <w:r>
              <w:t>1</w:t>
            </w:r>
          </w:p>
        </w:tc>
        <w:tc>
          <w:tcPr>
            <w:tcW w:type="dxa" w:w="2160"/>
            <w:vAlign w:val="top"/>
          </w:tcPr>
          <w:p>
            <w:pPr>
              <w:spacing w:after="120"/>
              <w:jc w:val="left"/>
            </w:pPr>
            <w:r>
              <w:t>12</w:t>
            </w:r>
          </w:p>
        </w:tc>
        <w:tc>
          <w:tcPr>
            <w:tcW w:type="dxa" w:w="2160"/>
            <w:vAlign w:val="top"/>
          </w:tcPr>
          <w:p>
            <w:pPr>
              <w:spacing w:after="120"/>
              <w:jc w:val="left"/>
            </w:pPr>
            <w:r>
              <w:t>Curate VR curriculum, conduct TOT, produce e-learning content and measure learning outcomes.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vAlign w:val="top"/>
          </w:tcPr>
          <w:p>
            <w:pPr>
              <w:spacing w:after="120"/>
              <w:jc w:val="left"/>
            </w:pPr>
            <w:r>
              <w:t>DJI M300 RTK Drones (500 units)</w:t>
            </w:r>
          </w:p>
        </w:tc>
        <w:tc>
          <w:tcPr>
            <w:tcW w:type="dxa" w:w="2880"/>
            <w:vAlign w:val="top"/>
          </w:tcPr>
          <w:p>
            <w:pPr>
              <w:spacing w:after="120"/>
              <w:jc w:val="left"/>
            </w:pPr>
            <w:r>
              <w:t>₹375,000,000</w:t>
            </w:r>
          </w:p>
        </w:tc>
        <w:tc>
          <w:tcPr>
            <w:tcW w:type="dxa" w:w="2880"/>
            <w:vAlign w:val="top"/>
          </w:tcPr>
          <w:p>
            <w:pPr>
              <w:spacing w:after="120"/>
              <w:jc w:val="left"/>
            </w:pPr>
            <w:r>
              <w:t>Includes extra batteries, propellers, RTK base stations and 3-year care refresh.</w:t>
            </w:r>
          </w:p>
        </w:tc>
      </w:tr>
      <w:tr>
        <w:tc>
          <w:tcPr>
            <w:tcW w:type="dxa" w:w="2880"/>
            <w:vAlign w:val="top"/>
          </w:tcPr>
          <w:p>
            <w:pPr>
              <w:spacing w:after="120"/>
              <w:jc w:val="left"/>
            </w:pPr>
            <w:r>
              <w:t>NVIDIA Jetson Edge Nodes (250)</w:t>
            </w:r>
          </w:p>
        </w:tc>
        <w:tc>
          <w:tcPr>
            <w:tcW w:type="dxa" w:w="2880"/>
            <w:vAlign w:val="top"/>
          </w:tcPr>
          <w:p>
            <w:pPr>
              <w:spacing w:after="120"/>
              <w:jc w:val="left"/>
            </w:pPr>
            <w:r>
              <w:t>₹62,500,000</w:t>
            </w:r>
          </w:p>
        </w:tc>
        <w:tc>
          <w:tcPr>
            <w:tcW w:type="dxa" w:w="2880"/>
            <w:vAlign w:val="top"/>
          </w:tcPr>
          <w:p>
            <w:pPr>
              <w:spacing w:after="120"/>
              <w:jc w:val="left"/>
            </w:pPr>
            <w:r>
              <w:t>Xavier NX with enclosure, power supply and field mounting kits for AI inference.</w:t>
            </w:r>
          </w:p>
        </w:tc>
      </w:tr>
      <w:tr>
        <w:tc>
          <w:tcPr>
            <w:tcW w:type="dxa" w:w="2880"/>
            <w:vAlign w:val="top"/>
          </w:tcPr>
          <w:p>
            <w:pPr>
              <w:spacing w:after="120"/>
              <w:jc w:val="left"/>
            </w:pPr>
            <w:r>
              <w:t>Blockchain Hyperledger Licenses &amp; Cloud</w:t>
            </w:r>
          </w:p>
        </w:tc>
        <w:tc>
          <w:tcPr>
            <w:tcW w:type="dxa" w:w="2880"/>
            <w:vAlign w:val="top"/>
          </w:tcPr>
          <w:p>
            <w:pPr>
              <w:spacing w:after="120"/>
              <w:jc w:val="left"/>
            </w:pPr>
            <w:r>
              <w:t>₹18,000,000</w:t>
            </w:r>
          </w:p>
        </w:tc>
        <w:tc>
          <w:tcPr>
            <w:tcW w:type="dxa" w:w="2880"/>
            <w:vAlign w:val="top"/>
          </w:tcPr>
          <w:p>
            <w:pPr>
              <w:spacing w:after="120"/>
              <w:jc w:val="left"/>
            </w:pPr>
            <w:r>
              <w:t>3-year enterprise support, 3 orderer nodes, 10 peer orgs and 50 TB storage.</w:t>
            </w:r>
          </w:p>
        </w:tc>
      </w:tr>
      <w:tr>
        <w:tc>
          <w:tcPr>
            <w:tcW w:type="dxa" w:w="2880"/>
            <w:vAlign w:val="top"/>
          </w:tcPr>
          <w:p>
            <w:pPr>
              <w:spacing w:after="120"/>
              <w:jc w:val="left"/>
            </w:pPr>
            <w:r>
              <w:t>VR Training Kits &amp; Content</w:t>
            </w:r>
          </w:p>
        </w:tc>
        <w:tc>
          <w:tcPr>
            <w:tcW w:type="dxa" w:w="2880"/>
            <w:vAlign w:val="top"/>
          </w:tcPr>
          <w:p>
            <w:pPr>
              <w:spacing w:after="120"/>
              <w:jc w:val="left"/>
            </w:pPr>
            <w:r>
              <w:t>₹7,500,000</w:t>
            </w:r>
          </w:p>
        </w:tc>
        <w:tc>
          <w:tcPr>
            <w:tcW w:type="dxa" w:w="2880"/>
            <w:vAlign w:val="top"/>
          </w:tcPr>
          <w:p>
            <w:pPr>
              <w:spacing w:after="120"/>
              <w:jc w:val="left"/>
            </w:pPr>
            <w:r>
              <w:t>50 headsets, haptic controllers, content development and LMS integration.</w:t>
            </w:r>
          </w:p>
        </w:tc>
      </w:tr>
      <w:tr>
        <w:tc>
          <w:tcPr>
            <w:tcW w:type="dxa" w:w="2880"/>
            <w:vAlign w:val="top"/>
          </w:tcPr>
          <w:p>
            <w:pPr>
              <w:spacing w:after="120"/>
              <w:jc w:val="left"/>
            </w:pPr>
            <w:r>
              <w:t>Software Development &amp; Integration</w:t>
            </w:r>
          </w:p>
        </w:tc>
        <w:tc>
          <w:tcPr>
            <w:tcW w:type="dxa" w:w="2880"/>
            <w:vAlign w:val="top"/>
          </w:tcPr>
          <w:p>
            <w:pPr>
              <w:spacing w:after="120"/>
              <w:jc w:val="left"/>
            </w:pPr>
            <w:r>
              <w:t>₹90,000,000</w:t>
            </w:r>
          </w:p>
        </w:tc>
        <w:tc>
          <w:tcPr>
            <w:tcW w:type="dxa" w:w="2880"/>
            <w:vAlign w:val="top"/>
          </w:tcPr>
          <w:p>
            <w:pPr>
              <w:spacing w:after="120"/>
              <w:jc w:val="left"/>
            </w:pPr>
            <w:r>
              <w:t>AI model, PWA, GIS, dashboard, APIs, security hardening and compliance testing.</w:t>
            </w:r>
          </w:p>
        </w:tc>
      </w:tr>
      <w:tr>
        <w:tc>
          <w:tcPr>
            <w:tcW w:type="dxa" w:w="2880"/>
            <w:vAlign w:val="top"/>
          </w:tcPr>
          <w:p>
            <w:pPr>
              <w:spacing w:after="120"/>
              <w:jc w:val="left"/>
            </w:pPr>
            <w:r>
              <w:t>Project Management &amp; Handholding (5 years)</w:t>
            </w:r>
          </w:p>
        </w:tc>
        <w:tc>
          <w:tcPr>
            <w:tcW w:type="dxa" w:w="2880"/>
            <w:vAlign w:val="top"/>
          </w:tcPr>
          <w:p>
            <w:pPr>
              <w:spacing w:after="120"/>
              <w:jc w:val="left"/>
            </w:pPr>
            <w:r>
              <w:t>₹45,000,000</w:t>
            </w:r>
          </w:p>
        </w:tc>
        <w:tc>
          <w:tcPr>
            <w:tcW w:type="dxa" w:w="2880"/>
            <w:vAlign w:val="top"/>
          </w:tcPr>
          <w:p>
            <w:pPr>
              <w:spacing w:after="120"/>
              <w:jc w:val="left"/>
            </w:pPr>
            <w:r>
              <w:t>Salaries, travel, documentation, change management and post-handover support.</w:t>
            </w:r>
          </w:p>
        </w:tc>
      </w:tr>
      <w:tr>
        <w:tc>
          <w:tcPr>
            <w:tcW w:type="dxa" w:w="2880"/>
            <w:vAlign w:val="top"/>
          </w:tcPr>
          <w:p>
            <w:pPr>
              <w:spacing w:after="120"/>
              <w:jc w:val="left"/>
            </w:pPr>
            <w:r>
              <w:t>Insurance &amp; Contingency (5 % buffer)</w:t>
            </w:r>
          </w:p>
        </w:tc>
        <w:tc>
          <w:tcPr>
            <w:tcW w:type="dxa" w:w="2880"/>
            <w:vAlign w:val="top"/>
          </w:tcPr>
          <w:p>
            <w:pPr>
              <w:spacing w:after="120"/>
              <w:jc w:val="left"/>
            </w:pPr>
            <w:r>
              <w:t>₹30,000,000</w:t>
            </w:r>
          </w:p>
        </w:tc>
        <w:tc>
          <w:tcPr>
            <w:tcW w:type="dxa" w:w="2880"/>
            <w:vAlign w:val="top"/>
          </w:tcPr>
          <w:p>
            <w:pPr>
              <w:spacing w:after="120"/>
              <w:jc w:val="left"/>
            </w:pPr>
            <w:r>
              <w:t>Covers drone crashes, cyber incidents and price escalation during 5-year O&amp;M.</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vAlign w:val="top"/>
          </w:tcPr>
          <w:p>
            <w:pPr>
              <w:spacing w:after="120"/>
              <w:jc w:val="left"/>
            </w:pPr>
            <w:r>
              <w:t>Gram Panchayat Completion Time</w:t>
            </w:r>
          </w:p>
        </w:tc>
        <w:tc>
          <w:tcPr>
            <w:tcW w:type="dxa" w:w="2160"/>
            <w:vAlign w:val="top"/>
          </w:tcPr>
          <w:p>
            <w:pPr>
              <w:spacing w:after="120"/>
              <w:jc w:val="left"/>
            </w:pPr>
            <w:r>
              <w:t>≤7 days</w:t>
            </w:r>
          </w:p>
        </w:tc>
        <w:tc>
          <w:tcPr>
            <w:tcW w:type="dxa" w:w="2160"/>
            <w:vAlign w:val="top"/>
          </w:tcPr>
          <w:p>
            <w:pPr>
              <w:spacing w:after="120"/>
              <w:jc w:val="left"/>
            </w:pPr>
            <w:r>
              <w:t>Automated timestamp from drone upload to blockchain write</w:t>
            </w:r>
          </w:p>
        </w:tc>
        <w:tc>
          <w:tcPr>
            <w:tcW w:type="dxa" w:w="2160"/>
            <w:vAlign w:val="top"/>
          </w:tcPr>
          <w:p>
            <w:pPr>
              <w:spacing w:after="120"/>
              <w:jc w:val="left"/>
            </w:pPr>
            <w:r>
              <w:t>Weekly</w:t>
            </w:r>
          </w:p>
        </w:tc>
      </w:tr>
      <w:tr>
        <w:tc>
          <w:tcPr>
            <w:tcW w:type="dxa" w:w="2160"/>
            <w:vAlign w:val="top"/>
          </w:tcPr>
          <w:p>
            <w:pPr>
              <w:spacing w:after="120"/>
              <w:jc w:val="left"/>
            </w:pPr>
            <w:r>
              <w:t>AI Crop Classification F1 Score</w:t>
            </w:r>
          </w:p>
        </w:tc>
        <w:tc>
          <w:tcPr>
            <w:tcW w:type="dxa" w:w="2160"/>
            <w:vAlign w:val="top"/>
          </w:tcPr>
          <w:p>
            <w:pPr>
              <w:spacing w:after="120"/>
              <w:jc w:val="left"/>
            </w:pPr>
            <w:r>
              <w:t>≥94 %</w:t>
            </w:r>
          </w:p>
        </w:tc>
        <w:tc>
          <w:tcPr>
            <w:tcW w:type="dxa" w:w="2160"/>
            <w:vAlign w:val="top"/>
          </w:tcPr>
          <w:p>
            <w:pPr>
              <w:spacing w:after="120"/>
              <w:jc w:val="left"/>
            </w:pPr>
            <w:r>
              <w:t>Independent validation on 1 k fields by ag universities</w:t>
            </w:r>
          </w:p>
        </w:tc>
        <w:tc>
          <w:tcPr>
            <w:tcW w:type="dxa" w:w="2160"/>
            <w:vAlign w:val="top"/>
          </w:tcPr>
          <w:p>
            <w:pPr>
              <w:spacing w:after="120"/>
              <w:jc w:val="left"/>
            </w:pPr>
            <w:r>
              <w:t>Per season</w:t>
            </w:r>
          </w:p>
        </w:tc>
      </w:tr>
      <w:tr>
        <w:tc>
          <w:tcPr>
            <w:tcW w:type="dxa" w:w="2160"/>
            <w:vAlign w:val="top"/>
          </w:tcPr>
          <w:p>
            <w:pPr>
              <w:spacing w:after="120"/>
              <w:jc w:val="left"/>
            </w:pPr>
            <w:r>
              <w:t>Blockchain Hash Verification Time</w:t>
            </w:r>
          </w:p>
        </w:tc>
        <w:tc>
          <w:tcPr>
            <w:tcW w:type="dxa" w:w="2160"/>
            <w:vAlign w:val="top"/>
          </w:tcPr>
          <w:p>
            <w:pPr>
              <w:spacing w:after="120"/>
              <w:jc w:val="left"/>
            </w:pPr>
            <w:r>
              <w:t>≤3 sec</w:t>
            </w:r>
          </w:p>
        </w:tc>
        <w:tc>
          <w:tcPr>
            <w:tcW w:type="dxa" w:w="2160"/>
            <w:vAlign w:val="top"/>
          </w:tcPr>
          <w:p>
            <w:pPr>
              <w:spacing w:after="120"/>
              <w:jc w:val="left"/>
            </w:pPr>
            <w:r>
              <w:t>API benchmark with JMeter 1 k concurrent calls</w:t>
            </w:r>
          </w:p>
        </w:tc>
        <w:tc>
          <w:tcPr>
            <w:tcW w:type="dxa" w:w="2160"/>
            <w:vAlign w:val="top"/>
          </w:tcPr>
          <w:p>
            <w:pPr>
              <w:spacing w:after="120"/>
              <w:jc w:val="left"/>
            </w:pPr>
            <w:r>
              <w:t>Daily</w:t>
            </w:r>
          </w:p>
        </w:tc>
      </w:tr>
      <w:tr>
        <w:tc>
          <w:tcPr>
            <w:tcW w:type="dxa" w:w="2160"/>
            <w:vAlign w:val="top"/>
          </w:tcPr>
          <w:p>
            <w:pPr>
              <w:spacing w:after="120"/>
              <w:jc w:val="left"/>
            </w:pPr>
            <w:r>
              <w:t>Offline Sync Success Rate</w:t>
            </w:r>
          </w:p>
        </w:tc>
        <w:tc>
          <w:tcPr>
            <w:tcW w:type="dxa" w:w="2160"/>
            <w:vAlign w:val="top"/>
          </w:tcPr>
          <w:p>
            <w:pPr>
              <w:spacing w:after="120"/>
              <w:jc w:val="left"/>
            </w:pPr>
            <w:r>
              <w:t>≥99 %</w:t>
            </w:r>
          </w:p>
        </w:tc>
        <w:tc>
          <w:tcPr>
            <w:tcW w:type="dxa" w:w="2160"/>
            <w:vAlign w:val="top"/>
          </w:tcPr>
          <w:p>
            <w:pPr>
              <w:spacing w:after="120"/>
              <w:jc w:val="left"/>
            </w:pPr>
            <w:r>
              <w:t>PWA telemetry logs across 26 k devices</w:t>
            </w:r>
          </w:p>
        </w:tc>
        <w:tc>
          <w:tcPr>
            <w:tcW w:type="dxa" w:w="2160"/>
            <w:vAlign w:val="top"/>
          </w:tcPr>
          <w:p>
            <w:pPr>
              <w:spacing w:after="120"/>
              <w:jc w:val="left"/>
            </w:pPr>
            <w:r>
              <w:t>Monthly</w:t>
            </w:r>
          </w:p>
        </w:tc>
      </w:tr>
      <w:tr>
        <w:tc>
          <w:tcPr>
            <w:tcW w:type="dxa" w:w="2160"/>
            <w:vAlign w:val="top"/>
          </w:tcPr>
          <w:p>
            <w:pPr>
              <w:spacing w:after="120"/>
              <w:jc w:val="left"/>
            </w:pPr>
            <w:r>
              <w:t>Dashboard Uptime</w:t>
            </w:r>
          </w:p>
        </w:tc>
        <w:tc>
          <w:tcPr>
            <w:tcW w:type="dxa" w:w="2160"/>
            <w:vAlign w:val="top"/>
          </w:tcPr>
          <w:p>
            <w:pPr>
              <w:spacing w:after="120"/>
              <w:jc w:val="left"/>
            </w:pPr>
            <w:r>
              <w:t>99.5 %</w:t>
            </w:r>
          </w:p>
        </w:tc>
        <w:tc>
          <w:tcPr>
            <w:tcW w:type="dxa" w:w="2160"/>
            <w:vAlign w:val="top"/>
          </w:tcPr>
          <w:p>
            <w:pPr>
              <w:spacing w:after="120"/>
              <w:jc w:val="left"/>
            </w:pPr>
            <w:r>
              <w:t>Prometheus black-box exporter pinging every 30 s</w:t>
            </w:r>
          </w:p>
        </w:tc>
        <w:tc>
          <w:tcPr>
            <w:tcW w:type="dxa" w:w="2160"/>
            <w:vAlign w:val="top"/>
          </w:tcPr>
          <w:p>
            <w:pPr>
              <w:spacing w:after="120"/>
              <w:jc w:val="left"/>
            </w:pPr>
            <w:r>
              <w:t>Monthly</w:t>
            </w:r>
          </w:p>
        </w:tc>
      </w:tr>
      <w:tr>
        <w:tc>
          <w:tcPr>
            <w:tcW w:type="dxa" w:w="2160"/>
            <w:vAlign w:val="top"/>
          </w:tcPr>
          <w:p>
            <w:pPr>
              <w:spacing w:after="120"/>
              <w:jc w:val="left"/>
            </w:pPr>
            <w:r>
              <w:t>Yield Prediction RMSE</w:t>
            </w:r>
          </w:p>
        </w:tc>
        <w:tc>
          <w:tcPr>
            <w:tcW w:type="dxa" w:w="2160"/>
            <w:vAlign w:val="top"/>
          </w:tcPr>
          <w:p>
            <w:pPr>
              <w:spacing w:after="120"/>
              <w:jc w:val="left"/>
            </w:pPr>
            <w:r>
              <w:t>≤6 %</w:t>
            </w:r>
          </w:p>
        </w:tc>
        <w:tc>
          <w:tcPr>
            <w:tcW w:type="dxa" w:w="2160"/>
            <w:vAlign w:val="top"/>
          </w:tcPr>
          <w:p>
            <w:pPr>
              <w:spacing w:after="120"/>
              <w:jc w:val="left"/>
            </w:pPr>
            <w:r>
              <w:t>Compare AI forecast vs final harvest data</w:t>
            </w:r>
          </w:p>
        </w:tc>
        <w:tc>
          <w:tcPr>
            <w:tcW w:type="dxa" w:w="2160"/>
            <w:vAlign w:val="top"/>
          </w:tcPr>
          <w:p>
            <w:pPr>
              <w:spacing w:after="120"/>
              <w:jc w:val="left"/>
            </w:pPr>
            <w:r>
              <w:t>Per season</w:t>
            </w:r>
          </w:p>
        </w:tc>
      </w:tr>
      <w:tr>
        <w:tc>
          <w:tcPr>
            <w:tcW w:type="dxa" w:w="2160"/>
            <w:vAlign w:val="top"/>
          </w:tcPr>
          <w:p>
            <w:pPr>
              <w:spacing w:after="120"/>
              <w:jc w:val="left"/>
            </w:pPr>
            <w:r>
              <w:t>Training Pass Rate</w:t>
            </w:r>
          </w:p>
        </w:tc>
        <w:tc>
          <w:tcPr>
            <w:tcW w:type="dxa" w:w="2160"/>
            <w:vAlign w:val="top"/>
          </w:tcPr>
          <w:p>
            <w:pPr>
              <w:spacing w:after="120"/>
              <w:jc w:val="left"/>
            </w:pPr>
            <w:r>
              <w:t>≥90 %</w:t>
            </w:r>
          </w:p>
        </w:tc>
        <w:tc>
          <w:tcPr>
            <w:tcW w:type="dxa" w:w="2160"/>
            <w:vAlign w:val="top"/>
          </w:tcPr>
          <w:p>
            <w:pPr>
              <w:spacing w:after="120"/>
              <w:jc w:val="left"/>
            </w:pPr>
            <w:r>
              <w:t>VR simulator assessment scores</w:t>
            </w:r>
          </w:p>
        </w:tc>
        <w:tc>
          <w:tcPr>
            <w:tcW w:type="dxa" w:w="2160"/>
            <w:vAlign w:val="top"/>
          </w:tcPr>
          <w:p>
            <w:pPr>
              <w:spacing w:after="120"/>
              <w:jc w:val="left"/>
            </w:pPr>
            <w:r>
              <w:t>Per batch</w:t>
            </w:r>
          </w:p>
        </w:tc>
      </w:tr>
      <w:tr>
        <w:tc>
          <w:tcPr>
            <w:tcW w:type="dxa" w:w="2160"/>
            <w:vAlign w:val="top"/>
          </w:tcPr>
          <w:p>
            <w:pPr>
              <w:spacing w:after="120"/>
              <w:jc w:val="left"/>
            </w:pPr>
            <w:r>
              <w:t>Drone Crash Rate</w:t>
            </w:r>
          </w:p>
        </w:tc>
        <w:tc>
          <w:tcPr>
            <w:tcW w:type="dxa" w:w="2160"/>
            <w:vAlign w:val="top"/>
          </w:tcPr>
          <w:p>
            <w:pPr>
              <w:spacing w:after="120"/>
              <w:jc w:val="left"/>
            </w:pPr>
            <w:r>
              <w:t>≤1 %</w:t>
            </w:r>
          </w:p>
        </w:tc>
        <w:tc>
          <w:tcPr>
            <w:tcW w:type="dxa" w:w="2160"/>
            <w:vAlign w:val="top"/>
          </w:tcPr>
          <w:p>
            <w:pPr>
              <w:spacing w:after="120"/>
              <w:jc w:val="left"/>
            </w:pPr>
            <w:r>
              <w:t>Flight logs vs total sorties</w:t>
            </w:r>
          </w:p>
        </w:tc>
        <w:tc>
          <w:tcPr>
            <w:tcW w:type="dxa" w:w="2160"/>
            <w:vAlign w:val="top"/>
          </w:tcPr>
          <w:p>
            <w:pPr>
              <w:spacing w:after="120"/>
              <w:jc w:val="left"/>
            </w:pPr>
            <w:r>
              <w:t>Monthly</w:t>
            </w:r>
          </w:p>
        </w:tc>
      </w:tr>
      <w:tr>
        <w:tc>
          <w:tcPr>
            <w:tcW w:type="dxa" w:w="2160"/>
            <w:vAlign w:val="top"/>
          </w:tcPr>
          <w:p>
            <w:pPr>
              <w:spacing w:after="120"/>
              <w:jc w:val="left"/>
            </w:pPr>
            <w:r>
              <w:t>Cost Savings vs Manual</w:t>
            </w:r>
          </w:p>
        </w:tc>
        <w:tc>
          <w:tcPr>
            <w:tcW w:type="dxa" w:w="2160"/>
            <w:vAlign w:val="top"/>
          </w:tcPr>
          <w:p>
            <w:pPr>
              <w:spacing w:after="120"/>
              <w:jc w:val="left"/>
            </w:pPr>
            <w:r>
              <w:t>₹120 crore/year</w:t>
            </w:r>
          </w:p>
        </w:tc>
        <w:tc>
          <w:tcPr>
            <w:tcW w:type="dxa" w:w="2160"/>
            <w:vAlign w:val="top"/>
          </w:tcPr>
          <w:p>
            <w:pPr>
              <w:spacing w:after="120"/>
              <w:jc w:val="left"/>
            </w:pPr>
            <w:r>
              <w:t>Finance dept audit of man-day reduction</w:t>
            </w:r>
          </w:p>
        </w:tc>
        <w:tc>
          <w:tcPr>
            <w:tcW w:type="dxa" w:w="2160"/>
            <w:vAlign w:val="top"/>
          </w:tcPr>
          <w:p>
            <w:pPr>
              <w:spacing w:after="120"/>
              <w:jc w:val="left"/>
            </w:pPr>
            <w:r>
              <w:t>Annually</w:t>
            </w:r>
          </w:p>
        </w:tc>
      </w:tr>
      <w:tr>
        <w:tc>
          <w:tcPr>
            <w:tcW w:type="dxa" w:w="2160"/>
            <w:vAlign w:val="top"/>
          </w:tcPr>
          <w:p>
            <w:pPr>
              <w:spacing w:after="120"/>
              <w:jc w:val="left"/>
            </w:pPr>
            <w:r>
              <w:t>Citizen Satisfaction (QR Extract)</w:t>
            </w:r>
          </w:p>
        </w:tc>
        <w:tc>
          <w:tcPr>
            <w:tcW w:type="dxa" w:w="2160"/>
            <w:vAlign w:val="top"/>
          </w:tcPr>
          <w:p>
            <w:pPr>
              <w:spacing w:after="120"/>
              <w:jc w:val="left"/>
            </w:pPr>
            <w:r>
              <w:t>≥4.5/5</w:t>
            </w:r>
          </w:p>
        </w:tc>
        <w:tc>
          <w:tcPr>
            <w:tcW w:type="dxa" w:w="2160"/>
            <w:vAlign w:val="top"/>
          </w:tcPr>
          <w:p>
            <w:pPr>
              <w:spacing w:after="120"/>
              <w:jc w:val="left"/>
            </w:pPr>
            <w:r>
              <w:t>IVR feedback after bank loan approval</w:t>
            </w:r>
          </w:p>
        </w:tc>
        <w:tc>
          <w:tcPr>
            <w:tcW w:type="dxa" w:w="2160"/>
            <w:vAlign w:val="top"/>
          </w:tcPr>
          <w:p>
            <w:pPr>
              <w:spacing w:after="120"/>
              <w:jc w:val="left"/>
            </w:pPr>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