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Drone-Enabled Girdawari Digitization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Manual Girdawari in Rajasthan consumes 300 man-days per Gram Panchayat due to paper-based field surveys. Patwari traversing 5 000 plots on foot achieves only 16 fields/day, causing massive delays and data loss. Outdated land records, missing crop details and illegible entries propagate errors into revenue and subsidy systems. Absence of real-time oversight forces administrators to wait months before detecting crop fraud or boundary disputes. Limited staff, vehicles and surveying tools leave 60% villages unsurveyed, undermining crop insurance and loan eligibility. Bureaucratic file movement across tehsils adds 30–45 days before data reaches state crop reporting dashboard. Consequential revenue loss, farmer grievances and litigation burden the state with ₹200+ crore annually in remediation.</w:t>
      </w:r>
    </w:p>
    <w:p>
      <w:bookmarkStart w:id="1" w:name="sec_key_challenges"/>
      <w:pPr>
        <w:pStyle w:val="Heading1"/>
      </w:pPr>
      <w:r>
        <w:t>Key Challenges</w:t>
      </w:r>
      <w:bookmarkEnd w:id="1"/>
    </w:p>
    <w:p>
      <w:pPr>
        <w:pStyle w:val="ListBullet"/>
      </w:pPr>
      <w:r>
        <w:t>Resource Scarcity: Field staff lack vehicles, GPS devices, and basic amenities Travel to remote khatedari plots requires multiple days on foot Paper forms often ruined by dust or monsoon rains No contingency budget for emergency surveys</w:t>
      </w:r>
    </w:p>
    <w:p>
      <w:pPr>
        <w:pStyle w:val="ListBullet"/>
      </w:pPr>
      <w:r>
        <w:t>Data Integrity Crisis: Decades-old khasra maps conflict with current field boundaries Missing cadastral sheets force reliance on oral farmer testimony Previous crop entries overwritten with correction fluid No version control for historical changes</w:t>
      </w:r>
    </w:p>
    <w:p>
      <w:pPr>
        <w:pStyle w:val="ListBullet"/>
      </w:pPr>
      <w:r>
        <w:t>Workload Overload: Single Patwari oversees 8–10 villages spanning 200 km² Must personally verify every plot during 30-day Girdawari window Simultaneous court duties and revenue hearings No deputized substitutes during leave</w:t>
      </w:r>
    </w:p>
    <w:p>
      <w:pPr>
        <w:pStyle w:val="ListBullet"/>
      </w:pPr>
      <w:r>
        <w:t>Administrative Bottlenecks: Manual file movement between Tehsil and Block takes weeks Physical signatures required from 3 hierarchical levels Duplicate data entry into 5 different registers Lost files restart entire verification cycle</w:t>
      </w:r>
    </w:p>
    <w:p>
      <w:pPr>
        <w:pStyle w:val="ListBullet"/>
      </w:pPr>
      <w:r>
        <w:t>Technology Deficit: 100 % paper-based workflow with no digital backup No connectivity in 60 % of villages for real-time updates Surveyors still use Gunter’s chain and compass No access to satellite imagery or drone mosaics</w:t>
      </w:r>
    </w:p>
    <w:p>
      <w:pPr>
        <w:pStyle w:val="ListBullet"/>
      </w:pPr>
      <w:r>
        <w:t>Training Deficit: Majority of Patwaris trained on 1990s survey methods No exposure to GIS, mobile apps, or data analytics Limited English proficiency blocks adoption of global tools Refresher courses occur once per decade</w:t>
      </w:r>
    </w:p>
    <w:p>
      <w:pPr>
        <w:pStyle w:val="ListBullet"/>
      </w:pPr>
      <w:r>
        <w:t>Time Exceedance: Gram Panchayat Girdawari consumes 300 man-days against 45-day mandate Manual plot measurement yields 5 % error rate requiring re-survey Farmer disputes add average 20 extra hearings Compilation of final register takes 2 additional months</w:t>
      </w:r>
    </w:p>
    <w:p>
      <w:bookmarkStart w:id="1" w:name="sec_solution_approach"/>
      <w:pPr>
        <w:pStyle w:val="Heading1"/>
      </w:pPr>
      <w:r>
        <w:t>Our Solution Approach</w:t>
      </w:r>
      <w:bookmarkEnd w:id="1"/>
    </w:p>
    <w:p>
      <w:pPr>
        <w:pStyle w:val="Heading2"/>
      </w:pPr>
      <w:r>
        <w:t>Drone Survey &amp; Orthomosaic Generation</w:t>
      </w:r>
    </w:p>
    <w:p>
      <w:pPr>
        <w:spacing w:after="120"/>
        <w:jc w:val="both"/>
      </w:pPr>
      <w:r>
        <w:t>Deploy 10cm-resolution RGB+NIR drones pre-programmed with village boundaries; generate cloud-free orthomosaics within 24h. Auto-stitching and GCP correction achieve &lt;5cm RMSE, replacing manual chain traverses and enabling remote inspection.</w:t>
      </w:r>
    </w:p>
    <w:p>
      <w:pPr>
        <w:pStyle w:val="Heading2"/>
      </w:pPr>
      <w:r>
        <w:t>AI Crop Classification &amp; Parcel Delineation</w:t>
      </w:r>
    </w:p>
    <w:p>
      <w:pPr>
        <w:spacing w:after="120"/>
        <w:jc w:val="both"/>
      </w:pPr>
      <w:r>
        <w:t>Convolutional neural networks trained on 500k labelled fields classify crops with 94% accuracy and auto-draw plot boundaries. Active-learning feedback loop from patwaris continuously improves model, reducing misclassification penalties in subsidy.</w:t>
      </w:r>
    </w:p>
    <w:p>
      <w:pPr>
        <w:pStyle w:val="Heading2"/>
      </w:pPr>
      <w:r>
        <w:t>Mobile Patwar App with Offline-First Sync</w:t>
      </w:r>
    </w:p>
    <w:p>
      <w:pPr>
        <w:spacing w:after="120"/>
        <w:jc w:val="both"/>
      </w:pPr>
      <w:r>
        <w:t>Lightweight Android app presents AI-detected boundaries; patwari validates or edits fields offline, capturing photos and soil notes. Encrypted SQLite stores data locally; on connectivity, differential sync uploads deltas, cutting data entry to &lt;30s/plot.</w:t>
      </w:r>
    </w:p>
    <w:p>
      <w:pPr>
        <w:pStyle w:val="Heading2"/>
      </w:pPr>
      <w:r>
        <w:t>Blockchain Land-Crop Ledger</w:t>
      </w:r>
    </w:p>
    <w:p>
      <w:pPr>
        <w:spacing w:after="120"/>
        <w:jc w:val="both"/>
      </w:pPr>
      <w:r>
        <w:t>Each validated plot hash is time-stamped on Hyperledger Fabric, creating tamper-evident chain-of-custody for crop history. Smart contracts auto-trigger DBT, crop insurance and disaster relief, slashing payout cycles from 45 to 7 days.</w:t>
      </w:r>
    </w:p>
    <w:p>
      <w:pPr>
        <w:pStyle w:val="Heading2"/>
      </w:pPr>
      <w:r>
        <w:t>Microservice API Gateway</w:t>
      </w:r>
    </w:p>
    <w:p>
      <w:pPr>
        <w:spacing w:after="120"/>
        <w:jc w:val="both"/>
      </w:pPr>
      <w:r>
        <w:t>Kubernetes-based gateway exposes REST/gRPC services for revenue, agri-marketing, banks and insurance systems. OAuth2, rate-limiting and audit logs ensure secure, policy-compliant data sharing across departments.</w:t>
      </w:r>
    </w:p>
    <w:p>
      <w:pPr>
        <w:pStyle w:val="Heading2"/>
      </w:pPr>
      <w:r>
        <w:t>Real-Time Dashboard &amp; Analytics</w:t>
      </w:r>
    </w:p>
    <w:p>
      <w:pPr>
        <w:spacing w:after="120"/>
        <w:jc w:val="both"/>
      </w:pPr>
      <w:r>
        <w:t>PowerBI/Superset dashboards visualize acreage, yield anomalies, pest alerts and survey completion rates at panchayat level. Decision-makers receive WhatsApp/SMS alerts when drone coverage or validation lags beyond SLA thresholds.</w:t>
      </w:r>
    </w:p>
    <w:p>
      <w:pPr>
        <w:pStyle w:val="Heading2"/>
      </w:pPr>
      <w:r>
        <w:t>Capacity Building &amp; Change Management</w:t>
      </w:r>
    </w:p>
    <w:p>
      <w:pPr>
        <w:spacing w:after="120"/>
        <w:jc w:val="both"/>
      </w:pPr>
      <w:r>
        <w:t>Train 3 000 patwaris via tiered TOT model; supply rugged tablets, power banks and 4G SIMs with unlimited data. Gamified certification, help-line and field mentoring ensure &gt;85% active app usage within two cropping seasons.</w:t>
      </w:r>
    </w:p>
    <w:p>
      <w:bookmarkStart w:id="1" w:name="sec_architecture_diagram"/>
      <w:pPr>
        <w:pStyle w:val="Heading1"/>
      </w:pPr>
      <w:r>
        <w:t>Architecture Diagram</w:t>
      </w:r>
      <w:bookmarkEnd w:id="1"/>
    </w:p>
    <w:p>
      <w:r>
        <w:t>Architecture Diagram (Mermaid code fallback):</w:t>
      </w:r>
    </w:p>
    <w:p>
      <w:r>
        <w:t>flowchart TD</w:t>
        <w:br/>
        <w:t>subgraph Client</w:t>
        <w:br/>
        <w:t xml:space="preserve">    A[Patwari Mobile App]</w:t>
        <w:br/>
        <w:t xml:space="preserve">    B[Web Dashboard]</w:t>
        <w:br/>
        <w:t xml:space="preserve">  end</w:t>
        <w:br/>
        <w:t>subgraph Edge</w:t>
        <w:br/>
        <w:t xml:space="preserve">    C[Drone RGB+NIR Camera]</w:t>
        <w:br/>
        <w:t xml:space="preserve">    D[Edge Compute Box]</w:t>
        <w:br/>
        <w:t xml:space="preserve">  end</w:t>
        <w:br/>
        <w:t>subgraph Gateway</w:t>
        <w:br/>
        <w:t xml:space="preserve">    E[API Gateway]</w:t>
        <w:br/>
        <w:t xml:space="preserve">    F[Auth Service]</w:t>
        <w:br/>
        <w:t xml:space="preserve">  end</w:t>
        <w:br/>
        <w:t>subgraph Services</w:t>
        <w:br/>
        <w:t xml:space="preserve">    G[AI Inference Service]</w:t>
        <w:br/>
        <w:t xml:space="preserve">    H[Parcel Service]</w:t>
        <w:br/>
        <w:t xml:space="preserve">    I[Sync Service]</w:t>
        <w:br/>
        <w:t xml:space="preserve">    J[Notification Service]</w:t>
        <w:br/>
        <w:t xml:space="preserve">  end</w:t>
        <w:br/>
        <w:t>subgraph Data</w:t>
        <w:br/>
        <w:t xml:space="preserve">    K[PostgreSQL]</w:t>
        <w:br/>
        <w:t xml:space="preserve">    L[Object Storage S3]</w:t>
        <w:br/>
        <w:t xml:space="preserve">    M[Blockchain Ledger]</w:t>
        <w:br/>
        <w:t xml:space="preserve">  end</w:t>
        <w:br/>
        <w:t>subgraph Infrastructure</w:t>
        <w:br/>
        <w:t xml:space="preserve">    N[Kubernetes Cluster]</w:t>
        <w:br/>
        <w:t xml:space="preserve">    O[CI/CD GitOps]</w:t>
        <w:br/>
        <w:t xml:space="preserve">    P[Monitoring Prometheus]</w:t>
        <w:br/>
        <w:t xml:space="preserve">  end</w:t>
        <w:br/>
        <w:t xml:space="preserve">  C --&gt;|raw imagery| D</w:t>
        <w:br/>
        <w:t xml:space="preserve">  D --&gt;|orthomosaic| G</w:t>
        <w:br/>
        <w:t xml:space="preserve">  G --&gt;|boundaries+crops| H</w:t>
        <w:br/>
        <w:t xml:space="preserve">  H --&gt;|metadata| K</w:t>
        <w:br/>
        <w:t xml:space="preserve">  A &lt;Node-&gt;|offline/online| I</w:t>
        <w:br/>
        <w:t xml:space="preserve">  I --&gt; E</w:t>
        <w:br/>
        <w:t xml:space="preserve">  E --&gt; F</w:t>
        <w:br/>
        <w:t xml:space="preserve">  E --&gt; G</w:t>
        <w:br/>
        <w:t xml:space="preserve">  E --&gt; J</w:t>
        <w:br/>
        <w:t xml:space="preserve">  K --&gt; B</w:t>
        <w:br/>
        <w:t xml:space="preserve">  M --&gt; J</w:t>
        <w:br/>
        <w:t xml:space="preserve">  O --&gt; N</w:t>
        <w:br/>
        <w:t xml:space="preserve">  P --&gt; N</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M300 RTK Drone</w:t>
            </w:r>
          </w:p>
        </w:tc>
        <w:tc>
          <w:tcPr>
            <w:tcW w:type="dxa" w:w="2880"/>
            <w:vAlign w:val="top"/>
          </w:tcPr>
          <w:p>
            <w:pPr>
              <w:spacing w:after="120"/>
              <w:jc w:val="left"/>
            </w:pPr>
            <w:r>
              <w:t>Micasense RedEdge-P</w:t>
            </w:r>
          </w:p>
        </w:tc>
        <w:tc>
          <w:tcPr>
            <w:tcW w:type="dxa" w:w="2880"/>
            <w:vAlign w:val="top"/>
          </w:tcPr>
          <w:p>
            <w:pPr>
              <w:spacing w:after="120"/>
              <w:jc w:val="left"/>
            </w:pPr>
            <w:r>
              <w:t>Python</w:t>
            </w:r>
          </w:p>
        </w:tc>
      </w:tr>
      <w:tr>
        <w:tc>
          <w:tcPr>
            <w:tcW w:type="dxa" w:w="2880"/>
            <w:vAlign w:val="top"/>
          </w:tcPr>
          <w:p>
            <w:pPr>
              <w:spacing w:after="120"/>
              <w:jc w:val="left"/>
            </w:pPr>
            <w:r>
              <w:t>PyTorch</w:t>
            </w:r>
          </w:p>
        </w:tc>
        <w:tc>
          <w:tcPr>
            <w:tcW w:type="dxa" w:w="2880"/>
            <w:vAlign w:val="top"/>
          </w:tcPr>
          <w:p>
            <w:pPr>
              <w:spacing w:after="120"/>
              <w:jc w:val="left"/>
            </w:pPr>
            <w:r>
              <w:t>YOLOv8</w:t>
            </w:r>
          </w:p>
        </w:tc>
        <w:tc>
          <w:tcPr>
            <w:tcW w:type="dxa" w:w="2880"/>
            <w:vAlign w:val="top"/>
          </w:tcPr>
          <w:p>
            <w:pPr>
              <w:spacing w:after="120"/>
              <w:jc w:val="left"/>
            </w:pPr>
            <w:r>
              <w:t>FastAPI</w:t>
            </w:r>
          </w:p>
        </w:tc>
      </w:tr>
      <w:tr>
        <w:tc>
          <w:tcPr>
            <w:tcW w:type="dxa" w:w="2880"/>
            <w:vAlign w:val="top"/>
          </w:tcPr>
          <w:p>
            <w:pPr>
              <w:spacing w:after="120"/>
              <w:jc w:val="left"/>
            </w:pPr>
            <w:r>
              <w:t>PostgreSQL</w:t>
            </w:r>
          </w:p>
        </w:tc>
        <w:tc>
          <w:tcPr>
            <w:tcW w:type="dxa" w:w="2880"/>
            <w:vAlign w:val="top"/>
          </w:tcPr>
          <w:p>
            <w:pPr>
              <w:spacing w:after="120"/>
              <w:jc w:val="left"/>
            </w:pPr>
            <w:r>
              <w:t>PostGIS</w:t>
            </w:r>
          </w:p>
        </w:tc>
        <w:tc>
          <w:tcPr>
            <w:tcW w:type="dxa" w:w="2880"/>
            <w:vAlign w:val="top"/>
          </w:tcPr>
          <w:p>
            <w:pPr>
              <w:spacing w:after="120"/>
              <w:jc w:val="left"/>
            </w:pPr>
            <w:r>
              <w:t>Redis</w:t>
            </w:r>
          </w:p>
        </w:tc>
      </w:tr>
      <w:tr>
        <w:tc>
          <w:tcPr>
            <w:tcW w:type="dxa" w:w="2880"/>
            <w:vAlign w:val="top"/>
          </w:tcPr>
          <w:p>
            <w:pPr>
              <w:spacing w:after="120"/>
              <w:jc w:val="left"/>
            </w:pPr>
            <w:r>
              <w:t>Kubernetes</w:t>
            </w:r>
          </w:p>
        </w:tc>
        <w:tc>
          <w:tcPr>
            <w:tcW w:type="dxa" w:w="2880"/>
            <w:vAlign w:val="top"/>
          </w:tcPr>
          <w:p>
            <w:pPr>
              <w:spacing w:after="120"/>
              <w:jc w:val="left"/>
            </w:pPr>
            <w:r>
              <w:t>Hyperledger Fabric</w:t>
            </w:r>
          </w:p>
        </w:tc>
        <w:tc>
          <w:tcPr>
            <w:tcW w:type="dxa" w:w="2880"/>
            <w:vAlign w:val="top"/>
          </w:tcPr>
          <w:p>
            <w:pPr>
              <w:spacing w:after="120"/>
              <w:jc w:val="left"/>
            </w:pPr>
            <w:r>
              <w:t>Keycloak</w:t>
            </w:r>
          </w:p>
        </w:tc>
      </w:tr>
      <w:tr>
        <w:tc>
          <w:tcPr>
            <w:tcW w:type="dxa" w:w="2880"/>
            <w:vAlign w:val="top"/>
          </w:tcPr>
          <w:p>
            <w:pPr>
              <w:spacing w:after="120"/>
              <w:jc w:val="left"/>
            </w:pPr>
            <w:r>
              <w:t>MinIO</w:t>
            </w:r>
          </w:p>
        </w:tc>
        <w:tc>
          <w:tcPr>
            <w:tcW w:type="dxa" w:w="2880"/>
            <w:vAlign w:val="top"/>
          </w:tcPr>
          <w:p>
            <w:pPr>
              <w:spacing w:after="120"/>
              <w:jc w:val="left"/>
            </w:pPr>
            <w:r>
              <w:t>Apache Kafka</w:t>
            </w:r>
          </w:p>
        </w:tc>
        <w:tc>
          <w:tcPr>
            <w:tcW w:type="dxa" w:w="2880"/>
            <w:vAlign w:val="top"/>
          </w:tcPr>
          <w:p>
            <w:pPr>
              <w:spacing w:after="120"/>
              <w:jc w:val="left"/>
            </w:pPr>
            <w:r>
              <w:t>React Native</w:t>
            </w:r>
          </w:p>
        </w:tc>
      </w:tr>
      <w:tr>
        <w:tc>
          <w:tcPr>
            <w:tcW w:type="dxa" w:w="2880"/>
            <w:vAlign w:val="top"/>
          </w:tcPr>
          <w:p>
            <w:pPr>
              <w:spacing w:after="120"/>
              <w:jc w:val="left"/>
            </w:pPr>
            <w:r>
              <w:t>PowerBI</w:t>
            </w:r>
          </w:p>
        </w:tc>
        <w:tc>
          <w:tcPr>
            <w:tcW w:type="dxa" w:w="2880"/>
            <w:vAlign w:val="top"/>
          </w:tcPr>
          <w:p>
            <w:pPr>
              <w:spacing w:after="120"/>
              <w:jc w:val="left"/>
            </w:pPr>
            <w:r>
              <w:t>Prometheus</w:t>
            </w:r>
          </w:p>
        </w:tc>
        <w:tc>
          <w:tcPr>
            <w:tcW w:type="dxa" w:w="2880"/>
            <w:vAlign w:val="top"/>
          </w:tcPr>
          <w:p>
            <w:pPr>
              <w:spacing w:after="120"/>
              <w:jc w:val="left"/>
            </w:pPr>
            <w:r>
              <w:t>Grafana</w:t>
            </w:r>
          </w:p>
        </w:tc>
      </w:tr>
      <w:tr>
        <w:tc>
          <w:tcPr>
            <w:tcW w:type="dxa" w:w="2880"/>
            <w:vAlign w:val="top"/>
          </w:tcPr>
          <w:p>
            <w:pPr>
              <w:spacing w:after="120"/>
              <w:jc w:val="left"/>
            </w:pPr>
            <w:r>
              <w:t>Terraform</w:t>
            </w:r>
          </w:p>
        </w:tc>
        <w:tc>
          <w:tcPr>
            <w:tcW w:type="dxa" w:w="2880"/>
            <w:vAlign w:val="top"/>
          </w:tcPr>
          <w:p>
            <w:pPr>
              <w:spacing w:after="120"/>
              <w:jc w:val="left"/>
            </w:pPr>
            <w:r>
              <w:t>GitLab CI</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Pilot Setup &amp; Data Collection</w:t>
            </w:r>
          </w:p>
        </w:tc>
        <w:tc>
          <w:tcPr>
            <w:tcW w:type="dxa" w:w="2880"/>
            <w:vAlign w:val="top"/>
          </w:tcPr>
          <w:p>
            <w:pPr>
              <w:spacing w:after="120"/>
              <w:jc w:val="left"/>
            </w:pPr>
            <w:r>
              <w:t>6 weeks</w:t>
            </w:r>
          </w:p>
        </w:tc>
        <w:tc>
          <w:tcPr>
            <w:tcW w:type="dxa" w:w="2880"/>
            <w:vAlign w:val="top"/>
          </w:tcPr>
          <w:p>
            <w:pPr>
              <w:spacing w:after="120"/>
              <w:jc w:val="left"/>
            </w:pPr>
            <w:r>
              <w:t>Establish 2-gram-panchayat pilot, procure drones, capture</w:t>
              <w:br/>
              <w:t>10cm imagery, label 5k fields. Create</w:t>
              <w:br/>
              <w:t>base maps and integrate GCPs for</w:t>
              <w:br/>
              <w:t>&lt;5cm accuracy; deliver raw imagery archive.</w:t>
            </w:r>
          </w:p>
        </w:tc>
      </w:tr>
      <w:tr>
        <w:tc>
          <w:tcPr>
            <w:tcW w:type="dxa" w:w="2880"/>
            <w:vAlign w:val="top"/>
          </w:tcPr>
          <w:p>
            <w:pPr>
              <w:spacing w:after="120"/>
              <w:jc w:val="left"/>
            </w:pPr>
            <w:r>
              <w:t>Phase 2: AI Model Development</w:t>
            </w:r>
          </w:p>
        </w:tc>
        <w:tc>
          <w:tcPr>
            <w:tcW w:type="dxa" w:w="2880"/>
            <w:vAlign w:val="top"/>
          </w:tcPr>
          <w:p>
            <w:pPr>
              <w:spacing w:after="120"/>
              <w:jc w:val="left"/>
            </w:pPr>
            <w:r>
              <w:t>8 weeks</w:t>
            </w:r>
          </w:p>
        </w:tc>
        <w:tc>
          <w:tcPr>
            <w:tcW w:type="dxa" w:w="2880"/>
            <w:vAlign w:val="top"/>
          </w:tcPr>
          <w:p>
            <w:pPr>
              <w:spacing w:after="120"/>
              <w:jc w:val="left"/>
            </w:pPr>
            <w:r>
              <w:t>Train CNNs on labelled data; achieve ≥94%</w:t>
              <w:br/>
              <w:t>crop classification and auto-boundary RMSE &lt;1m.</w:t>
              <w:br/>
              <w:t>Validate against 20% hold-out set; freeze</w:t>
              <w:br/>
              <w:t>model version 1.0 for production inference.</w:t>
            </w:r>
          </w:p>
        </w:tc>
      </w:tr>
      <w:tr>
        <w:tc>
          <w:tcPr>
            <w:tcW w:type="dxa" w:w="2880"/>
            <w:vAlign w:val="top"/>
          </w:tcPr>
          <w:p>
            <w:pPr>
              <w:spacing w:after="120"/>
              <w:jc w:val="left"/>
            </w:pPr>
            <w:r>
              <w:t>Phase 3: Mobile App &amp; API MVP</w:t>
            </w:r>
          </w:p>
        </w:tc>
        <w:tc>
          <w:tcPr>
            <w:tcW w:type="dxa" w:w="2880"/>
            <w:vAlign w:val="top"/>
          </w:tcPr>
          <w:p>
            <w:pPr>
              <w:spacing w:after="120"/>
              <w:jc w:val="left"/>
            </w:pPr>
            <w:r>
              <w:t>6 weeks</w:t>
            </w:r>
          </w:p>
        </w:tc>
        <w:tc>
          <w:tcPr>
            <w:tcW w:type="dxa" w:w="2880"/>
            <w:vAlign w:val="top"/>
          </w:tcPr>
          <w:p>
            <w:pPr>
              <w:spacing w:after="120"/>
              <w:jc w:val="left"/>
            </w:pPr>
            <w:r>
              <w:t>Develop offline-first Android app, microservice APIs,</w:t>
              <w:br/>
              <w:t>auth and sync modules. Conduct UAT</w:t>
              <w:br/>
              <w:t>with 20 patwaris; iterate UX</w:t>
              <w:br/>
              <w:t>to reduce validation time &lt;30s/plot.</w:t>
            </w:r>
          </w:p>
        </w:tc>
      </w:tr>
      <w:tr>
        <w:tc>
          <w:tcPr>
            <w:tcW w:type="dxa" w:w="2880"/>
            <w:vAlign w:val="top"/>
          </w:tcPr>
          <w:p>
            <w:pPr>
              <w:spacing w:after="120"/>
              <w:jc w:val="left"/>
            </w:pPr>
            <w:r>
              <w:t>Phase 4: Blockchain Integration</w:t>
            </w:r>
          </w:p>
        </w:tc>
        <w:tc>
          <w:tcPr>
            <w:tcW w:type="dxa" w:w="2880"/>
            <w:vAlign w:val="top"/>
          </w:tcPr>
          <w:p>
            <w:pPr>
              <w:spacing w:after="120"/>
              <w:jc w:val="left"/>
            </w:pPr>
            <w:r>
              <w:t>4 weeks</w:t>
            </w:r>
          </w:p>
        </w:tc>
        <w:tc>
          <w:tcPr>
            <w:tcW w:type="dxa" w:w="2880"/>
            <w:vAlign w:val="top"/>
          </w:tcPr>
          <w:p>
            <w:pPr>
              <w:spacing w:after="120"/>
              <w:jc w:val="left"/>
            </w:pPr>
            <w:r>
              <w:t>Deploy Hyperledger Fabric network, write smart</w:t>
              <w:br/>
              <w:t>contracts for land-crop hash anchoring. Achieve</w:t>
              <w:br/>
              <w:t>1k TPS throughput and &lt;3s</w:t>
              <w:br/>
              <w:t>finality; pass third-party security audit.</w:t>
            </w:r>
          </w:p>
        </w:tc>
      </w:tr>
      <w:tr>
        <w:tc>
          <w:tcPr>
            <w:tcW w:type="dxa" w:w="2880"/>
            <w:vAlign w:val="top"/>
          </w:tcPr>
          <w:p>
            <w:pPr>
              <w:spacing w:after="120"/>
              <w:jc w:val="left"/>
            </w:pPr>
            <w:r>
              <w:t>Phase 5: Departmental Integration</w:t>
            </w:r>
          </w:p>
        </w:tc>
        <w:tc>
          <w:tcPr>
            <w:tcW w:type="dxa" w:w="2880"/>
            <w:vAlign w:val="top"/>
          </w:tcPr>
          <w:p>
            <w:pPr>
              <w:spacing w:after="120"/>
              <w:jc w:val="left"/>
            </w:pPr>
            <w:r>
              <w:t>6 weeks</w:t>
            </w:r>
          </w:p>
        </w:tc>
        <w:tc>
          <w:tcPr>
            <w:tcW w:type="dxa" w:w="2880"/>
            <w:vAlign w:val="top"/>
          </w:tcPr>
          <w:p>
            <w:pPr>
              <w:spacing w:after="120"/>
              <w:jc w:val="left"/>
            </w:pPr>
            <w:r>
              <w:t>Expose secure APIs to revenue, agriculture,</w:t>
              <w:br/>
              <w:t>crop insurance databases; map data</w:t>
              <w:br/>
              <w:t>schemas. Enable auto-DBT and insurance</w:t>
              <w:br/>
              <w:t>triggers; complete end-to-end integration testing.</w:t>
            </w:r>
          </w:p>
        </w:tc>
      </w:tr>
      <w:tr>
        <w:tc>
          <w:tcPr>
            <w:tcW w:type="dxa" w:w="2880"/>
            <w:vAlign w:val="top"/>
          </w:tcPr>
          <w:p>
            <w:pPr>
              <w:spacing w:after="120"/>
              <w:jc w:val="left"/>
            </w:pPr>
            <w:r>
              <w:t>Phase 6: State-wide Rollout</w:t>
            </w:r>
          </w:p>
        </w:tc>
        <w:tc>
          <w:tcPr>
            <w:tcW w:type="dxa" w:w="2880"/>
            <w:vAlign w:val="top"/>
          </w:tcPr>
          <w:p>
            <w:pPr>
              <w:spacing w:after="120"/>
              <w:jc w:val="left"/>
            </w:pPr>
            <w:r>
              <w:t>24 weeks</w:t>
            </w:r>
          </w:p>
        </w:tc>
        <w:tc>
          <w:tcPr>
            <w:tcW w:type="dxa" w:w="2880"/>
            <w:vAlign w:val="top"/>
          </w:tcPr>
          <w:p>
            <w:pPr>
              <w:spacing w:after="120"/>
              <w:jc w:val="left"/>
            </w:pPr>
            <w:r>
              <w:t>Scale drones, cloud infra and training to</w:t>
              <w:br/>
              <w:t>20 districts; cover 4 000 gram</w:t>
              <w:br/>
              <w:t>panchayats. Achieve &gt;95% survey completion and</w:t>
              <w:br/>
              <w:t>&lt;5% data discrepancy versus ground truth.</w:t>
            </w:r>
          </w:p>
        </w:tc>
      </w:tr>
      <w:tr>
        <w:tc>
          <w:tcPr>
            <w:tcW w:type="dxa" w:w="2880"/>
            <w:vAlign w:val="top"/>
          </w:tcPr>
          <w:p>
            <w:pPr>
              <w:spacing w:after="120"/>
              <w:jc w:val="left"/>
            </w:pPr>
            <w:r>
              <w:t>Phase 7: Hyper-care &amp; Optimization</w:t>
            </w:r>
          </w:p>
        </w:tc>
        <w:tc>
          <w:tcPr>
            <w:tcW w:type="dxa" w:w="2880"/>
            <w:vAlign w:val="top"/>
          </w:tcPr>
          <w:p>
            <w:pPr>
              <w:spacing w:after="120"/>
              <w:jc w:val="left"/>
            </w:pPr>
            <w:r>
              <w:t>12 weeks</w:t>
            </w:r>
          </w:p>
        </w:tc>
        <w:tc>
          <w:tcPr>
            <w:tcW w:type="dxa" w:w="2880"/>
            <w:vAlign w:val="top"/>
          </w:tcPr>
          <w:p>
            <w:pPr>
              <w:spacing w:after="120"/>
              <w:jc w:val="left"/>
            </w:pPr>
            <w:r>
              <w:t>Provide 24x7 support, optimize AI models</w:t>
              <w:br/>
              <w:t>with active learning, refine SLAs. Reduce</w:t>
              <w:br/>
              <w:t>Girdawari cycle to 7 days/panchayat</w:t>
              <w:br/>
              <w:t>and save ₹50 crore annually.</w:t>
            </w:r>
          </w:p>
        </w:tc>
      </w:tr>
    </w:tbl>
    <w:p>
      <w:bookmarkStart w:id="None" w:name="sec_objectives"/>
      <w:pPr>
        <w:pStyle w:val="Heading1"/>
      </w:pPr>
      <w:r>
        <w:t>Objectives</w:t>
      </w:r>
      <w:bookmarkEnd w:id="None"/>
    </w:p>
    <w:p>
      <w:pPr>
        <w:pStyle w:val="ListBullet"/>
        <w:jc w:val="both"/>
      </w:pPr>
      <w:r>
        <w:t>Cut Girdawari survey time from 300</w:t>
        <w:br/>
        <w:t>to 7 man-days per Gram Panchayat</w:t>
        <w:br/>
        <w:t>using drone imagery and AI analytics.</w:t>
        <w:br/>
        <w:t>Achieve 100% plot coverage including inaccessible</w:t>
        <w:br/>
        <w:t>fields, eliminating manual traverse bottlenecks.</w:t>
      </w:r>
    </w:p>
    <w:p>
      <w:pPr>
        <w:pStyle w:val="ListBullet"/>
        <w:jc w:val="both"/>
      </w:pPr>
      <w:r>
        <w:t>Increase land-crop data accuracy from 65%</w:t>
        <w:br/>
        <w:t>to ≥95% through AI classification and</w:t>
        <w:br/>
        <w:t>blockchain-verified edits. Reduce data entry errors</w:t>
        <w:br/>
        <w:t>below 2% by replacing paper</w:t>
        <w:br/>
        <w:t>forms with mobile validation workflows.</w:t>
      </w:r>
    </w:p>
    <w:p>
      <w:pPr>
        <w:pStyle w:val="ListBullet"/>
        <w:jc w:val="both"/>
      </w:pPr>
      <w:r>
        <w:t>Provide real-time dashboard visibility to tehsil and</w:t>
        <w:br/>
        <w:t>state officials, slashing decision latency from</w:t>
        <w:br/>
        <w:t>45 to 3 days. Auto-trigger DBT,</w:t>
        <w:br/>
        <w:t>insurance and disaster relief via smart</w:t>
        <w:br/>
        <w:t>contracts, improving farmer satisfaction by 40%.</w:t>
      </w:r>
    </w:p>
    <w:p>
      <w:pPr>
        <w:pStyle w:val="ListBullet"/>
        <w:jc w:val="both"/>
      </w:pPr>
      <w:r>
        <w:t>Establish tamper-evident, time-stamped land-crop ledger</w:t>
        <w:br/>
        <w:t>compliant with National Data Governance</w:t>
        <w:br/>
        <w:t>Policy. Ensure interoperability across revenue,</w:t>
        <w:br/>
        <w:t>agriculture and disaster management</w:t>
        <w:br/>
        <w:t>departments without data silos.</w:t>
      </w:r>
    </w:p>
    <w:p>
      <w:pPr>
        <w:pStyle w:val="ListBullet"/>
        <w:jc w:val="both"/>
      </w:pPr>
      <w:r>
        <w:t>Train 3 000 patwaris and 500</w:t>
        <w:br/>
        <w:t>survey staff to achieve ≥85% app</w:t>
        <w:br/>
        <w:t>usage and drone operation competency.</w:t>
        <w:br/>
        <w:t>Create sustainable TOT model reducing</w:t>
        <w:br/>
        <w:t>future training costs by 60%.</w:t>
      </w:r>
    </w:p>
    <w:p>
      <w:pPr>
        <w:pStyle w:val="ListBullet"/>
        <w:jc w:val="both"/>
      </w:pPr>
      <w:r>
        <w:t>Reduce state expenditure on manual</w:t>
        <w:br/>
        <w:t>Girdawari by ₹50 crore annually</w:t>
        <w:br/>
        <w:t>through automation and resource optimization.</w:t>
        <w:br/>
        <w:t>Generate ROI within 18 months</w:t>
        <w:br/>
        <w:t>while improving transparency and accountability.</w:t>
      </w:r>
    </w:p>
    <w:p>
      <w:pPr>
        <w:pStyle w:val="ListBullet"/>
        <w:jc w:val="both"/>
      </w:pPr>
      <w:r>
        <w:t>Create replicable, open-standard framework for</w:t>
        <w:br/>
        <w:t>drone-enabled crop surveys adaptable to</w:t>
        <w:br/>
        <w:t>other states. Contribute anonymized datasets</w:t>
        <w:br/>
        <w:t>to National GIS and</w:t>
        <w:br/>
        <w:t>boost agritech innovation ecosystem.</w:t>
      </w:r>
    </w:p>
    <w:p>
      <w:bookmarkStart w:id="None" w:name="sec_acceptance_criteria"/>
      <w:pPr>
        <w:pStyle w:val="Heading1"/>
      </w:pPr>
      <w:r>
        <w:t>Acceptance Criteria</w:t>
      </w:r>
      <w:bookmarkEnd w:id="None"/>
    </w:p>
    <w:p>
      <w:pPr>
        <w:pStyle w:val="ListBullet"/>
        <w:jc w:val="both"/>
      </w:pPr>
      <w:r>
        <w:t>Survey completion rate ≥98% for each Gram</w:t>
        <w:br/>
        <w:t>Panchayat within 7 calendar days of drone</w:t>
        <w:br/>
        <w:t>deployment. Measured via dashboard KPI and</w:t>
        <w:br/>
        <w:t>GPS-tracked drone flight logs reviewed weekly.</w:t>
      </w:r>
    </w:p>
    <w:p>
      <w:pPr>
        <w:pStyle w:val="ListBullet"/>
        <w:jc w:val="both"/>
      </w:pPr>
      <w:r>
        <w:t>AI crop classification accuracy ≥94% and</w:t>
        <w:br/>
        <w:t>boundary RMSE ≤1m validated against 10%</w:t>
        <w:br/>
        <w:t>random ground truth. Third-party audit report</w:t>
        <w:br/>
        <w:t>to be submitted before milestone sign-off.</w:t>
      </w:r>
    </w:p>
    <w:p>
      <w:pPr>
        <w:pStyle w:val="ListBullet"/>
        <w:jc w:val="both"/>
      </w:pPr>
      <w:r>
        <w:t>Mobile app offline data entry and sync</w:t>
        <w:br/>
        <w:t>success ≥99% with &lt;5s response time on</w:t>
        <w:br/>
        <w:t>2GB RAM devices. Load testing results to</w:t>
        <w:br/>
        <w:t>be provided for 1 000 concurrent users.</w:t>
      </w:r>
    </w:p>
    <w:p>
      <w:pPr>
        <w:pStyle w:val="ListBullet"/>
        <w:jc w:val="both"/>
      </w:pPr>
      <w:r>
        <w:t>Blockchain ledger achieves 1k TPS with</w:t>
        <w:br/>
        <w:t>&lt;3s finality and 100% immutability</w:t>
        <w:br/>
        <w:t>for audited transactions. Security audit</w:t>
        <w:br/>
        <w:t>certificate required from CERT-empanelled agency.</w:t>
      </w:r>
    </w:p>
    <w:p>
      <w:pPr>
        <w:pStyle w:val="ListBullet"/>
        <w:jc w:val="both"/>
      </w:pPr>
      <w:r>
        <w:t>API uptime ≥99.9% measured monthly; no</w:t>
        <w:br/>
        <w:t>P1 incident unresolved beyond 4</w:t>
        <w:br/>
        <w:t>hours. Monitoring logs to be</w:t>
        <w:br/>
        <w:t>furnished for entire measurement period.</w:t>
      </w:r>
    </w:p>
    <w:p>
      <w:pPr>
        <w:pStyle w:val="ListBullet"/>
        <w:jc w:val="both"/>
      </w:pPr>
      <w:r>
        <w:t>Patwari training certification rate ≥90%</w:t>
        <w:br/>
        <w:t>and post-training assessment score ≥80%.</w:t>
        <w:br/>
        <w:t>Training records and feedback forms</w:t>
        <w:br/>
        <w:t>to be maintained for audit.</w:t>
      </w:r>
    </w:p>
    <w:p>
      <w:pPr>
        <w:pStyle w:val="ListBullet"/>
        <w:jc w:val="both"/>
      </w:pPr>
      <w:r>
        <w:t>Cost per Gram Panchayat survey ≤₹75</w:t>
        <w:br/>
        <w:t>000 including drone, AI, cloud and</w:t>
        <w:br/>
        <w:t>training costs. Financial audit to verify</w:t>
        <w:br/>
        <w:t>against contracted rates and invoices.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Manager</w:t>
            </w:r>
          </w:p>
        </w:tc>
        <w:tc>
          <w:tcPr>
            <w:tcW w:type="dxa" w:w="2160"/>
            <w:vAlign w:val="top"/>
          </w:tcPr>
          <w:p>
            <w:pPr>
              <w:spacing w:after="120"/>
              <w:jc w:val="left"/>
            </w:pPr>
            <w:r>
              <w:t>1</w:t>
            </w:r>
          </w:p>
        </w:tc>
        <w:tc>
          <w:tcPr>
            <w:tcW w:type="dxa" w:w="2160"/>
            <w:vAlign w:val="top"/>
          </w:tcPr>
          <w:p>
            <w:pPr>
              <w:spacing w:after="120"/>
              <w:jc w:val="left"/>
            </w:pPr>
            <w:r>
              <w:t>12</w:t>
            </w:r>
          </w:p>
        </w:tc>
        <w:tc>
          <w:tcPr>
            <w:tcW w:type="dxa" w:w="2160"/>
            <w:vAlign w:val="top"/>
          </w:tcPr>
          <w:p>
            <w:pPr>
              <w:spacing w:after="120"/>
              <w:jc w:val="left"/>
            </w:pPr>
            <w:r>
              <w:t>Overall delivery, risk management, stakeholder reporting</w:t>
            </w:r>
          </w:p>
        </w:tc>
      </w:tr>
      <w:tr>
        <w:tc>
          <w:tcPr>
            <w:tcW w:type="dxa" w:w="2160"/>
            <w:vAlign w:val="top"/>
          </w:tcPr>
          <w:p>
            <w:pPr>
              <w:spacing w:after="120"/>
              <w:jc w:val="left"/>
            </w:pPr>
            <w:r>
              <w:t>Solution Architect</w:t>
            </w:r>
          </w:p>
        </w:tc>
        <w:tc>
          <w:tcPr>
            <w:tcW w:type="dxa" w:w="2160"/>
            <w:vAlign w:val="top"/>
          </w:tcPr>
          <w:p>
            <w:pPr>
              <w:spacing w:after="120"/>
              <w:jc w:val="left"/>
            </w:pPr>
            <w:r>
              <w:t>1</w:t>
            </w:r>
          </w:p>
        </w:tc>
        <w:tc>
          <w:tcPr>
            <w:tcW w:type="dxa" w:w="2160"/>
            <w:vAlign w:val="top"/>
          </w:tcPr>
          <w:p>
            <w:pPr>
              <w:spacing w:after="120"/>
              <w:jc w:val="left"/>
            </w:pPr>
            <w:r>
              <w:t>10</w:t>
            </w:r>
          </w:p>
        </w:tc>
        <w:tc>
          <w:tcPr>
            <w:tcW w:type="dxa" w:w="2160"/>
            <w:vAlign w:val="top"/>
          </w:tcPr>
          <w:p>
            <w:pPr>
              <w:spacing w:after="120"/>
              <w:jc w:val="left"/>
            </w:pPr>
            <w:r>
              <w:t>System design, tech stack selection, integration oversight</w:t>
            </w:r>
          </w:p>
        </w:tc>
      </w:tr>
      <w:tr>
        <w:tc>
          <w:tcPr>
            <w:tcW w:type="dxa" w:w="2160"/>
            <w:vAlign w:val="top"/>
          </w:tcPr>
          <w:p>
            <w:pPr>
              <w:spacing w:after="120"/>
              <w:jc w:val="left"/>
            </w:pPr>
            <w:r>
              <w:t>AI/ML Engineer</w:t>
            </w:r>
          </w:p>
        </w:tc>
        <w:tc>
          <w:tcPr>
            <w:tcW w:type="dxa" w:w="2160"/>
            <w:vAlign w:val="top"/>
          </w:tcPr>
          <w:p>
            <w:pPr>
              <w:spacing w:after="120"/>
              <w:jc w:val="left"/>
            </w:pPr>
            <w:r>
              <w:t>3</w:t>
            </w:r>
          </w:p>
        </w:tc>
        <w:tc>
          <w:tcPr>
            <w:tcW w:type="dxa" w:w="2160"/>
            <w:vAlign w:val="top"/>
          </w:tcPr>
          <w:p>
            <w:pPr>
              <w:spacing w:after="120"/>
              <w:jc w:val="left"/>
            </w:pPr>
            <w:r>
              <w:t>5</w:t>
            </w:r>
          </w:p>
        </w:tc>
        <w:tc>
          <w:tcPr>
            <w:tcW w:type="dxa" w:w="2160"/>
            <w:vAlign w:val="top"/>
          </w:tcPr>
          <w:p>
            <w:pPr>
              <w:spacing w:after="120"/>
              <w:jc w:val="left"/>
            </w:pPr>
            <w:r>
              <w:t>Model training, validation, active-learning pipeline</w:t>
            </w:r>
          </w:p>
        </w:tc>
      </w:tr>
      <w:tr>
        <w:tc>
          <w:tcPr>
            <w:tcW w:type="dxa" w:w="2160"/>
            <w:vAlign w:val="top"/>
          </w:tcPr>
          <w:p>
            <w:pPr>
              <w:spacing w:after="120"/>
              <w:jc w:val="left"/>
            </w:pPr>
            <w:r>
              <w:t>GIS Expert</w:t>
            </w:r>
          </w:p>
        </w:tc>
        <w:tc>
          <w:tcPr>
            <w:tcW w:type="dxa" w:w="2160"/>
            <w:vAlign w:val="top"/>
          </w:tcPr>
          <w:p>
            <w:pPr>
              <w:spacing w:after="120"/>
              <w:jc w:val="left"/>
            </w:pPr>
            <w:r>
              <w:t>2</w:t>
            </w:r>
          </w:p>
        </w:tc>
        <w:tc>
          <w:tcPr>
            <w:tcW w:type="dxa" w:w="2160"/>
            <w:vAlign w:val="top"/>
          </w:tcPr>
          <w:p>
            <w:pPr>
              <w:spacing w:after="120"/>
              <w:jc w:val="left"/>
            </w:pPr>
            <w:r>
              <w:t>7</w:t>
            </w:r>
          </w:p>
        </w:tc>
        <w:tc>
          <w:tcPr>
            <w:tcW w:type="dxa" w:w="2160"/>
            <w:vAlign w:val="top"/>
          </w:tcPr>
          <w:p>
            <w:pPr>
              <w:spacing w:after="120"/>
              <w:jc w:val="left"/>
            </w:pPr>
            <w:r>
              <w:t>Orthomosaic processing, GCP correction, spatial QA</w:t>
            </w:r>
          </w:p>
        </w:tc>
      </w:tr>
      <w:tr>
        <w:tc>
          <w:tcPr>
            <w:tcW w:type="dxa" w:w="2160"/>
            <w:vAlign w:val="top"/>
          </w:tcPr>
          <w:p>
            <w:pPr>
              <w:spacing w:after="120"/>
              <w:jc w:val="left"/>
            </w:pPr>
            <w:r>
              <w:t>Drone Operator</w:t>
            </w:r>
          </w:p>
        </w:tc>
        <w:tc>
          <w:tcPr>
            <w:tcW w:type="dxa" w:w="2160"/>
            <w:vAlign w:val="top"/>
          </w:tcPr>
          <w:p>
            <w:pPr>
              <w:spacing w:after="120"/>
              <w:jc w:val="left"/>
            </w:pPr>
            <w:r>
              <w:t>6</w:t>
            </w:r>
          </w:p>
        </w:tc>
        <w:tc>
          <w:tcPr>
            <w:tcW w:type="dxa" w:w="2160"/>
            <w:vAlign w:val="top"/>
          </w:tcPr>
          <w:p>
            <w:pPr>
              <w:spacing w:after="120"/>
              <w:jc w:val="left"/>
            </w:pPr>
            <w:r>
              <w:t>3</w:t>
            </w:r>
          </w:p>
        </w:tc>
        <w:tc>
          <w:tcPr>
            <w:tcW w:type="dxa" w:w="2160"/>
            <w:vAlign w:val="top"/>
          </w:tcPr>
          <w:p>
            <w:pPr>
              <w:spacing w:after="120"/>
              <w:jc w:val="left"/>
            </w:pPr>
            <w:r>
              <w:t>Piloting, maintenance, compliance with DGCA rules</w:t>
            </w:r>
          </w:p>
        </w:tc>
      </w:tr>
      <w:tr>
        <w:tc>
          <w:tcPr>
            <w:tcW w:type="dxa" w:w="2160"/>
            <w:vAlign w:val="top"/>
          </w:tcPr>
          <w:p>
            <w:pPr>
              <w:spacing w:after="120"/>
              <w:jc w:val="left"/>
            </w:pPr>
            <w:r>
              <w:t>Full-Stack Developer</w:t>
            </w:r>
          </w:p>
        </w:tc>
        <w:tc>
          <w:tcPr>
            <w:tcW w:type="dxa" w:w="2160"/>
            <w:vAlign w:val="top"/>
          </w:tcPr>
          <w:p>
            <w:pPr>
              <w:spacing w:after="120"/>
              <w:jc w:val="left"/>
            </w:pPr>
            <w:r>
              <w:t>4</w:t>
            </w:r>
          </w:p>
        </w:tc>
        <w:tc>
          <w:tcPr>
            <w:tcW w:type="dxa" w:w="2160"/>
            <w:vAlign w:val="top"/>
          </w:tcPr>
          <w:p>
            <w:pPr>
              <w:spacing w:after="120"/>
              <w:jc w:val="left"/>
            </w:pPr>
            <w:r>
              <w:t>5</w:t>
            </w:r>
          </w:p>
        </w:tc>
        <w:tc>
          <w:tcPr>
            <w:tcW w:type="dxa" w:w="2160"/>
            <w:vAlign w:val="top"/>
          </w:tcPr>
          <w:p>
            <w:pPr>
              <w:spacing w:after="120"/>
              <w:jc w:val="left"/>
            </w:pPr>
            <w:r>
              <w:t>Mobile app, APIs, dashboard development</w:t>
            </w:r>
          </w:p>
        </w:tc>
      </w:tr>
      <w:tr>
        <w:tc>
          <w:tcPr>
            <w:tcW w:type="dxa" w:w="2160"/>
            <w:vAlign w:val="top"/>
          </w:tcPr>
          <w:p>
            <w:pPr>
              <w:spacing w:after="120"/>
              <w:jc w:val="left"/>
            </w:pPr>
            <w:r>
              <w:t>DevOps Engineer</w:t>
            </w:r>
          </w:p>
        </w:tc>
        <w:tc>
          <w:tcPr>
            <w:tcW w:type="dxa" w:w="2160"/>
            <w:vAlign w:val="top"/>
          </w:tcPr>
          <w:p>
            <w:pPr>
              <w:spacing w:after="120"/>
              <w:jc w:val="left"/>
            </w:pPr>
            <w:r>
              <w:t>2</w:t>
            </w:r>
          </w:p>
        </w:tc>
        <w:tc>
          <w:tcPr>
            <w:tcW w:type="dxa" w:w="2160"/>
            <w:vAlign w:val="top"/>
          </w:tcPr>
          <w:p>
            <w:pPr>
              <w:spacing w:after="120"/>
              <w:jc w:val="left"/>
            </w:pPr>
            <w:r>
              <w:t>6</w:t>
            </w:r>
          </w:p>
        </w:tc>
        <w:tc>
          <w:tcPr>
            <w:tcW w:type="dxa" w:w="2160"/>
            <w:vAlign w:val="top"/>
          </w:tcPr>
          <w:p>
            <w:pPr>
              <w:spacing w:after="120"/>
              <w:jc w:val="left"/>
            </w:pPr>
            <w:r>
              <w:t>CI/CD, Kubernetes, monitoring, security hardening</w:t>
            </w:r>
          </w:p>
        </w:tc>
      </w:tr>
      <w:tr>
        <w:tc>
          <w:tcPr>
            <w:tcW w:type="dxa" w:w="2160"/>
            <w:vAlign w:val="top"/>
          </w:tcPr>
          <w:p>
            <w:pPr>
              <w:spacing w:after="120"/>
              <w:jc w:val="left"/>
            </w:pPr>
            <w:r>
              <w:t>Blockchain Developer</w:t>
            </w:r>
          </w:p>
        </w:tc>
        <w:tc>
          <w:tcPr>
            <w:tcW w:type="dxa" w:w="2160"/>
            <w:vAlign w:val="top"/>
          </w:tcPr>
          <w:p>
            <w:pPr>
              <w:spacing w:after="120"/>
              <w:jc w:val="left"/>
            </w:pPr>
            <w:r>
              <w:t>1</w:t>
            </w:r>
          </w:p>
        </w:tc>
        <w:tc>
          <w:tcPr>
            <w:tcW w:type="dxa" w:w="2160"/>
            <w:vAlign w:val="top"/>
          </w:tcPr>
          <w:p>
            <w:pPr>
              <w:spacing w:after="120"/>
              <w:jc w:val="left"/>
            </w:pPr>
            <w:r>
              <w:t>4</w:t>
            </w:r>
          </w:p>
        </w:tc>
        <w:tc>
          <w:tcPr>
            <w:tcW w:type="dxa" w:w="2160"/>
            <w:vAlign w:val="top"/>
          </w:tcPr>
          <w:p>
            <w:pPr>
              <w:spacing w:after="120"/>
              <w:jc w:val="left"/>
            </w:pPr>
            <w:r>
              <w:t>Smart contracts, ledger deployment, integration</w:t>
            </w:r>
          </w:p>
        </w:tc>
      </w:tr>
      <w:tr>
        <w:tc>
          <w:tcPr>
            <w:tcW w:type="dxa" w:w="2160"/>
            <w:vAlign w:val="top"/>
          </w:tcPr>
          <w:p>
            <w:pPr>
              <w:spacing w:after="120"/>
              <w:jc w:val="left"/>
            </w:pPr>
            <w:r>
              <w:t>Training Lead</w:t>
            </w:r>
          </w:p>
        </w:tc>
        <w:tc>
          <w:tcPr>
            <w:tcW w:type="dxa" w:w="2160"/>
            <w:vAlign w:val="top"/>
          </w:tcPr>
          <w:p>
            <w:pPr>
              <w:spacing w:after="120"/>
              <w:jc w:val="left"/>
            </w:pPr>
            <w:r>
              <w:t>1</w:t>
            </w:r>
          </w:p>
        </w:tc>
        <w:tc>
          <w:tcPr>
            <w:tcW w:type="dxa" w:w="2160"/>
            <w:vAlign w:val="top"/>
          </w:tcPr>
          <w:p>
            <w:pPr>
              <w:spacing w:after="120"/>
              <w:jc w:val="left"/>
            </w:pPr>
            <w:r>
              <w:t>8</w:t>
            </w:r>
          </w:p>
        </w:tc>
        <w:tc>
          <w:tcPr>
            <w:tcW w:type="dxa" w:w="2160"/>
            <w:vAlign w:val="top"/>
          </w:tcPr>
          <w:p>
            <w:pPr>
              <w:spacing w:after="120"/>
              <w:jc w:val="left"/>
            </w:pPr>
            <w:r>
              <w:t>Curriculum design, TOT execution, usage analytics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Drone Fleet (10 units + sensors)</w:t>
            </w:r>
          </w:p>
        </w:tc>
        <w:tc>
          <w:tcPr>
            <w:tcW w:type="dxa" w:w="2880"/>
            <w:vAlign w:val="top"/>
          </w:tcPr>
          <w:p>
            <w:pPr>
              <w:spacing w:after="120"/>
              <w:jc w:val="left"/>
            </w:pPr>
            <w:r>
              <w:t>₹9,000,000</w:t>
            </w:r>
          </w:p>
        </w:tc>
        <w:tc>
          <w:tcPr>
            <w:tcW w:type="dxa" w:w="2880"/>
            <w:vAlign w:val="top"/>
          </w:tcPr>
          <w:p>
            <w:pPr>
              <w:spacing w:after="120"/>
              <w:jc w:val="left"/>
            </w:pPr>
            <w:r>
              <w:t>Includes DJI M300 RTK and Micasense cameras</w:t>
            </w:r>
          </w:p>
        </w:tc>
      </w:tr>
      <w:tr>
        <w:tc>
          <w:tcPr>
            <w:tcW w:type="dxa" w:w="2880"/>
            <w:vAlign w:val="top"/>
          </w:tcPr>
          <w:p>
            <w:pPr>
              <w:spacing w:after="120"/>
              <w:jc w:val="left"/>
            </w:pPr>
            <w:r>
              <w:t>Cloud &amp; AI Platform (24 months)</w:t>
            </w:r>
          </w:p>
        </w:tc>
        <w:tc>
          <w:tcPr>
            <w:tcW w:type="dxa" w:w="2880"/>
            <w:vAlign w:val="top"/>
          </w:tcPr>
          <w:p>
            <w:pPr>
              <w:spacing w:after="120"/>
              <w:jc w:val="left"/>
            </w:pPr>
            <w:r>
              <w:t>₹6,000,000</w:t>
            </w:r>
          </w:p>
        </w:tc>
        <w:tc>
          <w:tcPr>
            <w:tcW w:type="dxa" w:w="2880"/>
            <w:vAlign w:val="top"/>
          </w:tcPr>
          <w:p>
            <w:pPr>
              <w:spacing w:after="120"/>
              <w:jc w:val="left"/>
            </w:pPr>
            <w:r>
              <w:t>Kubernetes, GPU inference, storage, bandwidth</w:t>
            </w:r>
          </w:p>
        </w:tc>
      </w:tr>
      <w:tr>
        <w:tc>
          <w:tcPr>
            <w:tcW w:type="dxa" w:w="2880"/>
            <w:vAlign w:val="top"/>
          </w:tcPr>
          <w:p>
            <w:pPr>
              <w:spacing w:after="120"/>
              <w:jc w:val="left"/>
            </w:pPr>
            <w:r>
              <w:t>Mobile App &amp; API Development</w:t>
            </w:r>
          </w:p>
        </w:tc>
        <w:tc>
          <w:tcPr>
            <w:tcW w:type="dxa" w:w="2880"/>
            <w:vAlign w:val="top"/>
          </w:tcPr>
          <w:p>
            <w:pPr>
              <w:spacing w:after="120"/>
              <w:jc w:val="left"/>
            </w:pPr>
            <w:r>
              <w:t>₹4,500,000</w:t>
            </w:r>
          </w:p>
        </w:tc>
        <w:tc>
          <w:tcPr>
            <w:tcW w:type="dxa" w:w="2880"/>
            <w:vAlign w:val="top"/>
          </w:tcPr>
          <w:p>
            <w:pPr>
              <w:spacing w:after="120"/>
              <w:jc w:val="left"/>
            </w:pPr>
            <w:r>
              <w:t>React Native, FastAPI, integration, testing</w:t>
            </w:r>
          </w:p>
        </w:tc>
      </w:tr>
      <w:tr>
        <w:tc>
          <w:tcPr>
            <w:tcW w:type="dxa" w:w="2880"/>
            <w:vAlign w:val="top"/>
          </w:tcPr>
          <w:p>
            <w:pPr>
              <w:spacing w:after="120"/>
              <w:jc w:val="left"/>
            </w:pPr>
            <w:r>
              <w:t>Blockchain Infrastructure</w:t>
            </w:r>
          </w:p>
        </w:tc>
        <w:tc>
          <w:tcPr>
            <w:tcW w:type="dxa" w:w="2880"/>
            <w:vAlign w:val="top"/>
          </w:tcPr>
          <w:p>
            <w:pPr>
              <w:spacing w:after="120"/>
              <w:jc w:val="left"/>
            </w:pPr>
            <w:r>
              <w:t>₹1,800,000</w:t>
            </w:r>
          </w:p>
        </w:tc>
        <w:tc>
          <w:tcPr>
            <w:tcW w:type="dxa" w:w="2880"/>
            <w:vAlign w:val="top"/>
          </w:tcPr>
          <w:p>
            <w:pPr>
              <w:spacing w:after="120"/>
              <w:jc w:val="left"/>
            </w:pPr>
            <w:r>
              <w:t>Hyperledger Fabric nodes, HSM, audit</w:t>
            </w:r>
          </w:p>
        </w:tc>
      </w:tr>
      <w:tr>
        <w:tc>
          <w:tcPr>
            <w:tcW w:type="dxa" w:w="2880"/>
            <w:vAlign w:val="top"/>
          </w:tcPr>
          <w:p>
            <w:pPr>
              <w:spacing w:after="120"/>
              <w:jc w:val="left"/>
            </w:pPr>
            <w:r>
              <w:t>Training &amp; Capacity Building</w:t>
            </w:r>
          </w:p>
        </w:tc>
        <w:tc>
          <w:tcPr>
            <w:tcW w:type="dxa" w:w="2880"/>
            <w:vAlign w:val="top"/>
          </w:tcPr>
          <w:p>
            <w:pPr>
              <w:spacing w:after="120"/>
              <w:jc w:val="left"/>
            </w:pPr>
            <w:r>
              <w:t>₹2,400,000</w:t>
            </w:r>
          </w:p>
        </w:tc>
        <w:tc>
          <w:tcPr>
            <w:tcW w:type="dxa" w:w="2880"/>
            <w:vAlign w:val="top"/>
          </w:tcPr>
          <w:p>
            <w:pPr>
              <w:spacing w:after="120"/>
              <w:jc w:val="left"/>
            </w:pPr>
            <w:r>
              <w:t>Tablets, SIMs, content, TOT workshops</w:t>
            </w:r>
          </w:p>
        </w:tc>
      </w:tr>
      <w:tr>
        <w:tc>
          <w:tcPr>
            <w:tcW w:type="dxa" w:w="2880"/>
            <w:vAlign w:val="top"/>
          </w:tcPr>
          <w:p>
            <w:pPr>
              <w:spacing w:after="120"/>
              <w:jc w:val="left"/>
            </w:pPr>
            <w:r>
              <w:t>Project Management &amp; Support</w:t>
            </w:r>
          </w:p>
        </w:tc>
        <w:tc>
          <w:tcPr>
            <w:tcW w:type="dxa" w:w="2880"/>
            <w:vAlign w:val="top"/>
          </w:tcPr>
          <w:p>
            <w:pPr>
              <w:spacing w:after="120"/>
              <w:jc w:val="left"/>
            </w:pPr>
            <w:r>
              <w:t>₹3,000,000</w:t>
            </w:r>
          </w:p>
        </w:tc>
        <w:tc>
          <w:tcPr>
            <w:tcW w:type="dxa" w:w="2880"/>
            <w:vAlign w:val="top"/>
          </w:tcPr>
          <w:p>
            <w:pPr>
              <w:spacing w:after="120"/>
              <w:jc w:val="left"/>
            </w:pPr>
            <w:r>
              <w:t>24-month PMC, helpdesk, documentation</w:t>
            </w:r>
          </w:p>
        </w:tc>
      </w:tr>
      <w:tr>
        <w:tc>
          <w:tcPr>
            <w:tcW w:type="dxa" w:w="2880"/>
            <w:vAlign w:val="top"/>
          </w:tcPr>
          <w:p>
            <w:pPr>
              <w:spacing w:after="120"/>
              <w:jc w:val="left"/>
            </w:pPr>
            <w:r>
              <w:t>Contingency &amp; Audit</w:t>
            </w:r>
          </w:p>
        </w:tc>
        <w:tc>
          <w:tcPr>
            <w:tcW w:type="dxa" w:w="2880"/>
            <w:vAlign w:val="top"/>
          </w:tcPr>
          <w:p>
            <w:pPr>
              <w:spacing w:after="120"/>
              <w:jc w:val="left"/>
            </w:pPr>
            <w:r>
              <w:t>₹1,500,000</w:t>
            </w:r>
          </w:p>
        </w:tc>
        <w:tc>
          <w:tcPr>
            <w:tcW w:type="dxa" w:w="2880"/>
            <w:vAlign w:val="top"/>
          </w:tcPr>
          <w:p>
            <w:pPr>
              <w:spacing w:after="120"/>
              <w:jc w:val="left"/>
            </w:pPr>
            <w:r>
              <w:t>5% buffer for price escalation, third-party audits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Survey Completion Rate</w:t>
            </w:r>
          </w:p>
        </w:tc>
        <w:tc>
          <w:tcPr>
            <w:tcW w:type="dxa" w:w="2160"/>
            <w:vAlign w:val="top"/>
          </w:tcPr>
          <w:p>
            <w:pPr>
              <w:spacing w:after="120"/>
              <w:jc w:val="left"/>
            </w:pPr>
            <w:r>
              <w:t>≥98%</w:t>
            </w:r>
          </w:p>
        </w:tc>
        <w:tc>
          <w:tcPr>
            <w:tcW w:type="dxa" w:w="2160"/>
            <w:vAlign w:val="top"/>
          </w:tcPr>
          <w:p>
            <w:pPr>
              <w:spacing w:after="120"/>
              <w:jc w:val="left"/>
            </w:pPr>
            <w:r>
              <w:t>Dashboard vs total plots</w:t>
            </w:r>
          </w:p>
        </w:tc>
        <w:tc>
          <w:tcPr>
            <w:tcW w:type="dxa" w:w="2160"/>
            <w:vAlign w:val="top"/>
          </w:tcPr>
          <w:p>
            <w:pPr>
              <w:spacing w:after="120"/>
              <w:jc w:val="left"/>
            </w:pPr>
            <w:r>
              <w:t>Weekly</w:t>
            </w:r>
          </w:p>
        </w:tc>
      </w:tr>
      <w:tr>
        <w:tc>
          <w:tcPr>
            <w:tcW w:type="dxa" w:w="2160"/>
            <w:vAlign w:val="top"/>
          </w:tcPr>
          <w:p>
            <w:pPr>
              <w:spacing w:after="120"/>
              <w:jc w:val="left"/>
            </w:pPr>
            <w:r>
              <w:t>AI Classification Accuracy</w:t>
            </w:r>
          </w:p>
        </w:tc>
        <w:tc>
          <w:tcPr>
            <w:tcW w:type="dxa" w:w="2160"/>
            <w:vAlign w:val="top"/>
          </w:tcPr>
          <w:p>
            <w:pPr>
              <w:spacing w:after="120"/>
              <w:jc w:val="left"/>
            </w:pPr>
            <w:r>
              <w:t>≥94%</w:t>
            </w:r>
          </w:p>
        </w:tc>
        <w:tc>
          <w:tcPr>
            <w:tcW w:type="dxa" w:w="2160"/>
            <w:vAlign w:val="top"/>
          </w:tcPr>
          <w:p>
            <w:pPr>
              <w:spacing w:after="120"/>
              <w:jc w:val="left"/>
            </w:pPr>
            <w:r>
              <w:t>Ground truth validation</w:t>
            </w:r>
          </w:p>
        </w:tc>
        <w:tc>
          <w:tcPr>
            <w:tcW w:type="dxa" w:w="2160"/>
            <w:vAlign w:val="top"/>
          </w:tcPr>
          <w:p>
            <w:pPr>
              <w:spacing w:after="120"/>
              <w:jc w:val="left"/>
            </w:pPr>
            <w:r>
              <w:t>Per campaign</w:t>
            </w:r>
          </w:p>
        </w:tc>
      </w:tr>
      <w:tr>
        <w:tc>
          <w:tcPr>
            <w:tcW w:type="dxa" w:w="2160"/>
            <w:vAlign w:val="top"/>
          </w:tcPr>
          <w:p>
            <w:pPr>
              <w:spacing w:after="120"/>
              <w:jc w:val="left"/>
            </w:pPr>
            <w:r>
              <w:t>API Uptime</w:t>
            </w:r>
          </w:p>
        </w:tc>
        <w:tc>
          <w:tcPr>
            <w:tcW w:type="dxa" w:w="2160"/>
            <w:vAlign w:val="top"/>
          </w:tcPr>
          <w:p>
            <w:pPr>
              <w:spacing w:after="120"/>
              <w:jc w:val="left"/>
            </w:pPr>
            <w:r>
              <w:t>≥99.9%</w:t>
            </w:r>
          </w:p>
        </w:tc>
        <w:tc>
          <w:tcPr>
            <w:tcW w:type="dxa" w:w="2160"/>
            <w:vAlign w:val="top"/>
          </w:tcPr>
          <w:p>
            <w:pPr>
              <w:spacing w:after="120"/>
              <w:jc w:val="left"/>
            </w:pPr>
            <w:r>
              <w:t>Prometheus probes</w:t>
            </w:r>
          </w:p>
        </w:tc>
        <w:tc>
          <w:tcPr>
            <w:tcW w:type="dxa" w:w="2160"/>
            <w:vAlign w:val="top"/>
          </w:tcPr>
          <w:p>
            <w:pPr>
              <w:spacing w:after="120"/>
              <w:jc w:val="left"/>
            </w:pPr>
            <w:r>
              <w:t>Monthly</w:t>
            </w:r>
          </w:p>
        </w:tc>
      </w:tr>
      <w:tr>
        <w:tc>
          <w:tcPr>
            <w:tcW w:type="dxa" w:w="2160"/>
            <w:vAlign w:val="top"/>
          </w:tcPr>
          <w:p>
            <w:pPr>
              <w:spacing w:after="120"/>
              <w:jc w:val="left"/>
            </w:pPr>
            <w:r>
              <w:t>Data Sync Success</w:t>
            </w:r>
          </w:p>
        </w:tc>
        <w:tc>
          <w:tcPr>
            <w:tcW w:type="dxa" w:w="2160"/>
            <w:vAlign w:val="top"/>
          </w:tcPr>
          <w:p>
            <w:pPr>
              <w:spacing w:after="120"/>
              <w:jc w:val="left"/>
            </w:pPr>
            <w:r>
              <w:t>≥99%</w:t>
            </w:r>
          </w:p>
        </w:tc>
        <w:tc>
          <w:tcPr>
            <w:tcW w:type="dxa" w:w="2160"/>
            <w:vAlign w:val="top"/>
          </w:tcPr>
          <w:p>
            <w:pPr>
              <w:spacing w:after="120"/>
              <w:jc w:val="left"/>
            </w:pPr>
            <w:r>
              <w:t>Mobile app logs</w:t>
            </w:r>
          </w:p>
        </w:tc>
        <w:tc>
          <w:tcPr>
            <w:tcW w:type="dxa" w:w="2160"/>
            <w:vAlign w:val="top"/>
          </w:tcPr>
          <w:p>
            <w:pPr>
              <w:spacing w:after="120"/>
              <w:jc w:val="left"/>
            </w:pPr>
            <w:r>
              <w:t>Daily</w:t>
            </w:r>
          </w:p>
        </w:tc>
      </w:tr>
      <w:tr>
        <w:tc>
          <w:tcPr>
            <w:tcW w:type="dxa" w:w="2160"/>
            <w:vAlign w:val="top"/>
          </w:tcPr>
          <w:p>
            <w:pPr>
              <w:spacing w:after="120"/>
              <w:jc w:val="left"/>
            </w:pPr>
            <w:r>
              <w:t>Training Certification Rate</w:t>
            </w:r>
          </w:p>
        </w:tc>
        <w:tc>
          <w:tcPr>
            <w:tcW w:type="dxa" w:w="2160"/>
            <w:vAlign w:val="top"/>
          </w:tcPr>
          <w:p>
            <w:pPr>
              <w:spacing w:after="120"/>
              <w:jc w:val="left"/>
            </w:pPr>
            <w:r>
              <w:t>≥90%</w:t>
            </w:r>
          </w:p>
        </w:tc>
        <w:tc>
          <w:tcPr>
            <w:tcW w:type="dxa" w:w="2160"/>
            <w:vAlign w:val="top"/>
          </w:tcPr>
          <w:p>
            <w:pPr>
              <w:spacing w:after="120"/>
              <w:jc w:val="left"/>
            </w:pPr>
            <w:r>
              <w:t>Assessment scores</w:t>
            </w:r>
          </w:p>
        </w:tc>
        <w:tc>
          <w:tcPr>
            <w:tcW w:type="dxa" w:w="2160"/>
            <w:vAlign w:val="top"/>
          </w:tcPr>
          <w:p>
            <w:pPr>
              <w:spacing w:after="120"/>
              <w:jc w:val="left"/>
            </w:pPr>
            <w:r>
              <w:t>Post-session</w:t>
            </w:r>
          </w:p>
        </w:tc>
      </w:tr>
      <w:tr>
        <w:tc>
          <w:tcPr>
            <w:tcW w:type="dxa" w:w="2160"/>
            <w:vAlign w:val="top"/>
          </w:tcPr>
          <w:p>
            <w:pPr>
              <w:spacing w:after="120"/>
              <w:jc w:val="left"/>
            </w:pPr>
            <w:r>
              <w:t>Survey Cost per Panchayat</w:t>
            </w:r>
          </w:p>
        </w:tc>
        <w:tc>
          <w:tcPr>
            <w:tcW w:type="dxa" w:w="2160"/>
            <w:vAlign w:val="top"/>
          </w:tcPr>
          <w:p>
            <w:pPr>
              <w:spacing w:after="120"/>
              <w:jc w:val="left"/>
            </w:pPr>
            <w:r>
              <w:t>≤₹75,000</w:t>
            </w:r>
          </w:p>
        </w:tc>
        <w:tc>
          <w:tcPr>
            <w:tcW w:type="dxa" w:w="2160"/>
            <w:vAlign w:val="top"/>
          </w:tcPr>
          <w:p>
            <w:pPr>
              <w:spacing w:after="120"/>
              <w:jc w:val="left"/>
            </w:pPr>
            <w:r>
              <w:t>Financial audit</w:t>
            </w:r>
          </w:p>
        </w:tc>
        <w:tc>
          <w:tcPr>
            <w:tcW w:type="dxa" w:w="2160"/>
            <w:vAlign w:val="top"/>
          </w:tcPr>
          <w:p>
            <w:pPr>
              <w:spacing w:after="120"/>
              <w:jc w:val="left"/>
            </w:pPr>
            <w:r>
              <w:t>Monthly</w:t>
            </w:r>
          </w:p>
        </w:tc>
      </w:tr>
      <w:tr>
        <w:tc>
          <w:tcPr>
            <w:tcW w:type="dxa" w:w="2160"/>
            <w:vAlign w:val="top"/>
          </w:tcPr>
          <w:p>
            <w:pPr>
              <w:spacing w:after="120"/>
              <w:jc w:val="left"/>
            </w:pPr>
            <w:r>
              <w:t>Blockchain Transaction Finality</w:t>
            </w:r>
          </w:p>
        </w:tc>
        <w:tc>
          <w:tcPr>
            <w:tcW w:type="dxa" w:w="2160"/>
            <w:vAlign w:val="top"/>
          </w:tcPr>
          <w:p>
            <w:pPr>
              <w:spacing w:after="120"/>
              <w:jc w:val="left"/>
            </w:pPr>
            <w:r>
              <w:t>&lt;3s</w:t>
            </w:r>
          </w:p>
        </w:tc>
        <w:tc>
          <w:tcPr>
            <w:tcW w:type="dxa" w:w="2160"/>
            <w:vAlign w:val="top"/>
          </w:tcPr>
          <w:p>
            <w:pPr>
              <w:spacing w:after="120"/>
              <w:jc w:val="left"/>
            </w:pPr>
            <w:r>
              <w:t>Ledger benchmarks</w:t>
            </w:r>
          </w:p>
        </w:tc>
        <w:tc>
          <w:tcPr>
            <w:tcW w:type="dxa" w:w="2160"/>
            <w:vAlign w:val="top"/>
          </w:tcPr>
          <w:p>
            <w:pPr>
              <w:spacing w:after="120"/>
              <w:jc w:val="left"/>
            </w:pPr>
            <w:r>
              <w:t>Continuous</w:t>
            </w:r>
          </w:p>
        </w:tc>
      </w:tr>
      <w:tr>
        <w:tc>
          <w:tcPr>
            <w:tcW w:type="dxa" w:w="2160"/>
            <w:vAlign w:val="top"/>
          </w:tcPr>
          <w:p>
            <w:pPr>
              <w:spacing w:after="120"/>
              <w:jc w:val="left"/>
            </w:pPr>
            <w:r>
              <w:t>P1 Incident Resolution</w:t>
            </w:r>
          </w:p>
        </w:tc>
        <w:tc>
          <w:tcPr>
            <w:tcW w:type="dxa" w:w="2160"/>
            <w:vAlign w:val="top"/>
          </w:tcPr>
          <w:p>
            <w:pPr>
              <w:spacing w:after="120"/>
              <w:jc w:val="left"/>
            </w:pPr>
            <w:r>
              <w:t>&lt;4h</w:t>
            </w:r>
          </w:p>
        </w:tc>
        <w:tc>
          <w:tcPr>
            <w:tcW w:type="dxa" w:w="2160"/>
            <w:vAlign w:val="top"/>
          </w:tcPr>
          <w:p>
            <w:pPr>
              <w:spacing w:after="120"/>
              <w:jc w:val="left"/>
            </w:pPr>
            <w:r>
              <w:t>Service desk SLA</w:t>
            </w:r>
          </w:p>
        </w:tc>
        <w:tc>
          <w:tcPr>
            <w:tcW w:type="dxa" w:w="2160"/>
            <w:vAlign w:val="top"/>
          </w:tcPr>
          <w:p>
            <w:pPr>
              <w:spacing w:after="120"/>
              <w:jc w:val="left"/>
            </w:pPr>
            <w:r>
              <w:t>Monthly</w:t>
            </w:r>
          </w:p>
        </w:tc>
      </w:tr>
      <w:tr>
        <w:tc>
          <w:tcPr>
            <w:tcW w:type="dxa" w:w="2160"/>
            <w:vAlign w:val="top"/>
          </w:tcPr>
          <w:p>
            <w:pPr>
              <w:spacing w:after="120"/>
              <w:jc w:val="left"/>
            </w:pPr>
            <w:r>
              <w:t>Farmer Satisfaction Score</w:t>
            </w:r>
          </w:p>
        </w:tc>
        <w:tc>
          <w:tcPr>
            <w:tcW w:type="dxa" w:w="2160"/>
            <w:vAlign w:val="top"/>
          </w:tcPr>
          <w:p>
            <w:pPr>
              <w:spacing w:after="120"/>
              <w:jc w:val="left"/>
            </w:pPr>
            <w:r>
              <w:t>≥4.5/5</w:t>
            </w:r>
          </w:p>
        </w:tc>
        <w:tc>
          <w:tcPr>
            <w:tcW w:type="dxa" w:w="2160"/>
            <w:vAlign w:val="top"/>
          </w:tcPr>
          <w:p>
            <w:pPr>
              <w:spacing w:after="120"/>
              <w:jc w:val="left"/>
            </w:pPr>
            <w:r>
              <w:t>IVR surveys</w:t>
            </w:r>
          </w:p>
        </w:tc>
        <w:tc>
          <w:tcPr>
            <w:tcW w:type="dxa" w:w="2160"/>
            <w:vAlign w:val="top"/>
          </w:tcPr>
          <w:p>
            <w:pPr>
              <w:spacing w:after="120"/>
              <w:jc w:val="left"/>
            </w:pPr>
            <w:r>
              <w:t>Quarterly</w:t>
            </w:r>
          </w:p>
        </w:tc>
      </w:tr>
      <w:tr>
        <w:tc>
          <w:tcPr>
            <w:tcW w:type="dxa" w:w="2160"/>
            <w:vAlign w:val="top"/>
          </w:tcPr>
          <w:p>
            <w:pPr>
              <w:spacing w:after="120"/>
              <w:jc w:val="left"/>
            </w:pPr>
            <w:r>
              <w:t>Annual Cost Savings</w:t>
            </w:r>
          </w:p>
        </w:tc>
        <w:tc>
          <w:tcPr>
            <w:tcW w:type="dxa" w:w="2160"/>
            <w:vAlign w:val="top"/>
          </w:tcPr>
          <w:p>
            <w:pPr>
              <w:spacing w:after="120"/>
              <w:jc w:val="left"/>
            </w:pPr>
            <w:r>
              <w:t>₹50 crore</w:t>
            </w:r>
          </w:p>
        </w:tc>
        <w:tc>
          <w:tcPr>
            <w:tcW w:type="dxa" w:w="2160"/>
            <w:vAlign w:val="top"/>
          </w:tcPr>
          <w:p>
            <w:pPr>
              <w:spacing w:after="120"/>
              <w:jc w:val="left"/>
            </w:pPr>
            <w:r>
              <w:t>Before vs after analysis</w:t>
            </w:r>
          </w:p>
        </w:tc>
        <w:tc>
          <w:tcPr>
            <w:tcW w:type="dxa" w:w="2160"/>
            <w:vAlign w:val="top"/>
          </w:tcPr>
          <w:p>
            <w:pPr>
              <w:spacing w:after="120"/>
              <w:jc w:val="left"/>
            </w:pPr>
            <w:r>
              <w:t>Yearly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