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AI-driven Patient Data Management Solution for Multi-Specialty Hospital</w:t>
      </w:r>
    </w:p>
    <w:p>
      <w:pPr>
        <w:jc w:val="center"/>
      </w:pPr>
      <w:r>
        <w:t>November 2023</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multi-specialty hospital faces challenges in managing patient data across various departments, leading to inefficiencies in data analysis, patient care, and decision-making.</w:t>
      </w:r>
    </w:p>
    <w:p>
      <w:bookmarkStart w:id="1" w:name="sec_key_challenges"/>
      <w:pPr>
        <w:pStyle w:val="Heading1"/>
      </w:pPr>
      <w:r>
        <w:t>Key Challenges</w:t>
      </w:r>
      <w:bookmarkEnd w:id="1"/>
    </w:p>
    <w:p>
      <w:pPr>
        <w:pStyle w:val="ListBullet"/>
      </w:pPr>
      <w:r>
        <w:t>Data silos across OPD, EMR, LIS, and PACS systems</w:t>
      </w:r>
    </w:p>
    <w:p>
      <w:pPr>
        <w:pStyle w:val="ListBullet"/>
      </w:pPr>
      <w:r>
        <w:t>Inadequate data standardization and interoperability</w:t>
      </w:r>
    </w:p>
    <w:p>
      <w:pPr>
        <w:pStyle w:val="ListBullet"/>
      </w:pPr>
      <w:r>
        <w:t>Insufficient data security and PHI protection</w:t>
      </w:r>
    </w:p>
    <w:p>
      <w:bookmarkStart w:id="1" w:name="sec_solution_approach"/>
      <w:pPr>
        <w:pStyle w:val="Heading1"/>
      </w:pPr>
      <w:r>
        <w:t>Our Solution Approach</w:t>
      </w:r>
      <w:bookmarkEnd w:id="1"/>
    </w:p>
    <w:p>
      <w:pPr>
        <w:pStyle w:val="Heading2"/>
      </w:pPr>
      <w:r>
        <w:t>Step 1: Data Ingestion and Standardization</w:t>
      </w:r>
    </w:p>
    <w:p>
      <w:r>
        <w:t>Implement HL7/FHIR adapters to integrate data from OPD, EMR, LIS, and PACS systems, followed by data standardization using AI-driven techniques</w:t>
      </w:r>
    </w:p>
    <w:p>
      <w:pPr>
        <w:pStyle w:val="Heading2"/>
      </w:pPr>
      <w:r>
        <w:t>Step 2: PHI De-identification and Security</w:t>
      </w:r>
    </w:p>
    <w:p>
      <w:r>
        <w:t>Develop a de-identification pipeline using vector RAG to remove PHI from patient data, and implement RBAC and audit trails for secure data access and monitoring</w:t>
      </w:r>
    </w:p>
    <w:p>
      <w:pPr>
        <w:pStyle w:val="Heading2"/>
      </w:pPr>
      <w:r>
        <w:t>Step 3: Data Analytics and Visualization</w:t>
      </w:r>
    </w:p>
    <w:p>
      <w:r>
        <w:t>Integrate IntelliMate platform for data analytics and visualization, enabling healthcare professionals to make data-driven decisions</w:t>
      </w:r>
    </w:p>
    <w:p>
      <w:pPr>
        <w:pStyle w:val="Heading2"/>
      </w:pPr>
      <w:r>
        <w:t>Step 4: Cloud-Hybrid Infrastructure</w:t>
      </w:r>
    </w:p>
    <w:p>
      <w:r>
        <w:t>Design a cloud-hybrid infrastructure to ensure scalability, reliability, and cost-effectiveness for the AI-driven patient data management solution</w:t>
      </w:r>
    </w:p>
    <w:p>
      <w:pPr>
        <w:pStyle w:val="Heading2"/>
      </w:pPr>
      <w:r>
        <w:t>Step 5: Continuous Monitoring and Improvement</w:t>
      </w:r>
    </w:p>
    <w:p>
      <w:r>
        <w:t>Establish a feedback loop for continuous monitoring and improvement of the solution, incorporating AIonOS collateral and case notes for knowledge sharing and best practices</w:t>
      </w:r>
    </w:p>
    <w:p>
      <w:bookmarkStart w:id="1" w:name="sec_architecture_diagram"/>
      <w:pPr>
        <w:pStyle w:val="Heading1"/>
      </w:pPr>
      <w:r>
        <w:t>Architecture Diagram</w:t>
      </w:r>
      <w:bookmarkEnd w:id="1"/>
    </w:p>
    <w:p>
      <w:r>
        <w:t>Architecture Diagram (fallback textual description):</w:t>
        <w:br/>
        <w:t>graph TD</w:t>
        <w:br/>
        <w:t>A[Client] --&gt; B[Server]</w:t>
        <w:br/>
        <w:t>B --&gt; C[Data Ingestion Layer]</w:t>
        <w:br/>
        <w:t>C --&gt; D[Data Standardization Layer]</w:t>
        <w:br/>
        <w:t>D --&gt; E[PHI De-identification Layer]</w:t>
        <w:br/>
        <w:t>E --&gt; F[IntelliMate Platform]</w:t>
        <w:br/>
        <w:t>F --&gt; G[Cloud-Hybrid Infrastructure]</w:t>
        <w:br/>
        <w:t>G --&gt; H[Audit Trails and RBAC Layer]</w:t>
      </w:r>
    </w:p>
    <w:p>
      <w:bookmarkStart w:id="None" w:name="sec_technical_stack"/>
      <w:pPr>
        <w:pStyle w:val="Heading1"/>
      </w:pPr>
      <w:r>
        <w:t>Technology Stack</w:t>
      </w:r>
      <w:bookmarkEnd w:id="None"/>
    </w:p>
    <w:p>
      <w:pPr>
        <w:pStyle w:val="ListBullet"/>
      </w:pPr>
      <w:r>
        <w:t>Python</w:t>
      </w:r>
    </w:p>
    <w:p>
      <w:pPr>
        <w:pStyle w:val="ListBullet"/>
      </w:pPr>
      <w:r>
        <w:t>Docker</w:t>
      </w:r>
    </w:p>
    <w:p>
      <w:pPr>
        <w:pStyle w:val="ListBullet"/>
      </w:pPr>
      <w:r>
        <w:t>Kubernetes</w:t>
      </w:r>
    </w:p>
    <w:p>
      <w:pPr>
        <w:pStyle w:val="ListBullet"/>
      </w:pPr>
      <w:r>
        <w:t>AWS</w:t>
      </w:r>
    </w:p>
    <w:p>
      <w:pPr>
        <w:pStyle w:val="ListBullet"/>
      </w:pPr>
      <w:r>
        <w:t>Azure</w:t>
      </w:r>
    </w:p>
    <w:p>
      <w:pPr>
        <w:pStyle w:val="ListBullet"/>
      </w:pPr>
      <w:r>
        <w:t>IntelliMate Platform</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Solution Design</w:t>
            </w:r>
          </w:p>
        </w:tc>
        <w:tc>
          <w:tcPr>
            <w:tcW w:type="dxa" w:w="2880"/>
          </w:tcPr>
          <w:p>
            <w:r>
              <w:t>8 weeks</w:t>
            </w:r>
          </w:p>
        </w:tc>
        <w:tc>
          <w:tcPr>
            <w:tcW w:type="dxa" w:w="2880"/>
          </w:tcPr>
          <w:p>
            <w:r>
              <w:t>Gather requirements from hospital stakeholders, design the solution architecture, and develop a detailed project plan</w:t>
            </w:r>
          </w:p>
        </w:tc>
      </w:tr>
      <w:tr>
        <w:tc>
          <w:tcPr>
            <w:tcW w:type="dxa" w:w="2880"/>
          </w:tcPr>
          <w:p>
            <w:r>
              <w:t>Phase 2: Data Ingestion and Standardization</w:t>
            </w:r>
          </w:p>
        </w:tc>
        <w:tc>
          <w:tcPr>
            <w:tcW w:type="dxa" w:w="2880"/>
          </w:tcPr>
          <w:p>
            <w:r>
              <w:t>12 weeks</w:t>
            </w:r>
          </w:p>
        </w:tc>
        <w:tc>
          <w:tcPr>
            <w:tcW w:type="dxa" w:w="2880"/>
          </w:tcPr>
          <w:p>
            <w:r>
              <w:t>Implement data ingestion and standardization layers, integrating with OPD, EMR, LIS, and PACS systems</w:t>
            </w:r>
          </w:p>
        </w:tc>
      </w:tr>
      <w:tr>
        <w:tc>
          <w:tcPr>
            <w:tcW w:type="dxa" w:w="2880"/>
          </w:tcPr>
          <w:p>
            <w:r>
              <w:t>Phase 3: PHI De-identification and Security</w:t>
            </w:r>
          </w:p>
        </w:tc>
        <w:tc>
          <w:tcPr>
            <w:tcW w:type="dxa" w:w="2880"/>
          </w:tcPr>
          <w:p>
            <w:r>
              <w:t>10 weeks</w:t>
            </w:r>
          </w:p>
        </w:tc>
        <w:tc>
          <w:tcPr>
            <w:tcW w:type="dxa" w:w="2880"/>
          </w:tcPr>
          <w:p>
            <w:r>
              <w:t>Develop the de-identification pipeline and implement RBAC and audit trails for secure data access and monitoring</w:t>
            </w:r>
          </w:p>
        </w:tc>
      </w:tr>
      <w:tr>
        <w:tc>
          <w:tcPr>
            <w:tcW w:type="dxa" w:w="2880"/>
          </w:tcPr>
          <w:p>
            <w:r>
              <w:t>Phase 4: Data Analytics and Visualization</w:t>
            </w:r>
          </w:p>
        </w:tc>
        <w:tc>
          <w:tcPr>
            <w:tcW w:type="dxa" w:w="2880"/>
          </w:tcPr>
          <w:p>
            <w:r>
              <w:t>8 weeks</w:t>
            </w:r>
          </w:p>
        </w:tc>
        <w:tc>
          <w:tcPr>
            <w:tcW w:type="dxa" w:w="2880"/>
          </w:tcPr>
          <w:p>
            <w:r>
              <w:t>Integrate IntelliMate platform for data analytics and visualization</w:t>
            </w:r>
          </w:p>
        </w:tc>
      </w:tr>
      <w:tr>
        <w:tc>
          <w:tcPr>
            <w:tcW w:type="dxa" w:w="2880"/>
          </w:tcPr>
          <w:p>
            <w:r>
              <w:t>Phase 5: Cloud-Hybrid Infrastructure</w:t>
            </w:r>
          </w:p>
        </w:tc>
        <w:tc>
          <w:tcPr>
            <w:tcW w:type="dxa" w:w="2880"/>
          </w:tcPr>
          <w:p>
            <w:r>
              <w:t>12 weeks</w:t>
            </w:r>
          </w:p>
        </w:tc>
        <w:tc>
          <w:tcPr>
            <w:tcW w:type="dxa" w:w="2880"/>
          </w:tcPr>
          <w:p>
            <w:r>
              <w:t>Design and implement the cloud-hybrid infrastructure</w:t>
            </w:r>
          </w:p>
        </w:tc>
      </w:tr>
      <w:tr>
        <w:tc>
          <w:tcPr>
            <w:tcW w:type="dxa" w:w="2880"/>
          </w:tcPr>
          <w:p>
            <w:r>
              <w:t>Phase 6: Continuous Monitoring and Improvement</w:t>
            </w:r>
          </w:p>
        </w:tc>
        <w:tc>
          <w:tcPr>
            <w:tcW w:type="dxa" w:w="2880"/>
          </w:tcPr>
          <w:p>
            <w:r>
              <w:t>4 weeks</w:t>
            </w:r>
          </w:p>
        </w:tc>
        <w:tc>
          <w:tcPr>
            <w:tcW w:type="dxa" w:w="2880"/>
          </w:tcPr>
          <w:p>
            <w:r>
              <w:t>Establish a feedback loop for continuous monitoring and improvement of the solution</w:t>
            </w:r>
          </w:p>
        </w:tc>
      </w:tr>
    </w:tbl>
    <w:p>
      <w:bookmarkStart w:id="None" w:name="sec_objectives"/>
      <w:pPr>
        <w:pStyle w:val="Heading1"/>
      </w:pPr>
      <w:r>
        <w:t>Objectives</w:t>
      </w:r>
      <w:bookmarkEnd w:id="None"/>
    </w:p>
    <w:p>
      <w:pPr>
        <w:pStyle w:val="ListBullet"/>
      </w:pPr>
      <w:r>
        <w:t>Improve data standardization and interoperability across hospital departments</w:t>
      </w:r>
    </w:p>
    <w:p>
      <w:pPr>
        <w:pStyle w:val="ListBullet"/>
      </w:pPr>
      <w:r>
        <w:t>Enhance data security and PHI protection</w:t>
      </w:r>
    </w:p>
    <w:p>
      <w:bookmarkStart w:id="None" w:name="sec_acceptance_criteria"/>
      <w:pPr>
        <w:pStyle w:val="Heading1"/>
      </w:pPr>
      <w:r>
        <w:t>Acceptance Criteria</w:t>
      </w:r>
      <w:bookmarkEnd w:id="None"/>
    </w:p>
    <w:p>
      <w:pPr>
        <w:pStyle w:val="ListBullet"/>
      </w:pPr>
      <w:r>
        <w:t>Data ingestion and standardization implemented successfully</w:t>
      </w:r>
    </w:p>
    <w:p>
      <w:pPr>
        <w:pStyle w:val="ListBullet"/>
      </w:pPr>
      <w:r>
        <w:t>PHI de-identification pipeline functional and secure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Solution Architect</w:t>
            </w:r>
          </w:p>
        </w:tc>
        <w:tc>
          <w:tcPr>
            <w:tcW w:type="dxa" w:w="2160"/>
          </w:tcPr>
          <w:p>
            <w:r>
              <w:t>2</w:t>
            </w:r>
          </w:p>
        </w:tc>
        <w:tc>
          <w:tcPr>
            <w:tcW w:type="dxa" w:w="2160"/>
          </w:tcPr>
          <w:p>
            <w:r>
              <w:t>8</w:t>
            </w:r>
          </w:p>
        </w:tc>
        <w:tc>
          <w:tcPr>
            <w:tcW w:type="dxa" w:w="2160"/>
          </w:tcPr>
          <w:p>
            <w:r>
              <w:t>Design and implement the solution architecture, lead the project team</w:t>
            </w:r>
          </w:p>
        </w:tc>
      </w:tr>
      <w:tr>
        <w:tc>
          <w:tcPr>
            <w:tcW w:type="dxa" w:w="2160"/>
          </w:tcPr>
          <w:p>
            <w:r>
              <w:t>Data Engineer</w:t>
            </w:r>
          </w:p>
        </w:tc>
        <w:tc>
          <w:tcPr>
            <w:tcW w:type="dxa" w:w="2160"/>
          </w:tcPr>
          <w:p>
            <w:r>
              <w:t>3</w:t>
            </w:r>
          </w:p>
        </w:tc>
        <w:tc>
          <w:tcPr>
            <w:tcW w:type="dxa" w:w="2160"/>
          </w:tcPr>
          <w:p>
            <w:r>
              <w:t>5</w:t>
            </w:r>
          </w:p>
        </w:tc>
        <w:tc>
          <w:tcPr>
            <w:tcW w:type="dxa" w:w="2160"/>
          </w:tcPr>
          <w:p>
            <w:r>
              <w:t>Implement data ingestion and standardization layers, develop the de-identification pipeline</w:t>
            </w:r>
          </w:p>
        </w:tc>
      </w:tr>
      <w:tr>
        <w:tc>
          <w:tcPr>
            <w:tcW w:type="dxa" w:w="2160"/>
          </w:tcPr>
          <w:p>
            <w:r>
              <w:t>Cloud Engineer</w:t>
            </w:r>
          </w:p>
        </w:tc>
        <w:tc>
          <w:tcPr>
            <w:tcW w:type="dxa" w:w="2160"/>
          </w:tcPr>
          <w:p>
            <w:r>
              <w:t>2</w:t>
            </w:r>
          </w:p>
        </w:tc>
        <w:tc>
          <w:tcPr>
            <w:tcW w:type="dxa" w:w="2160"/>
          </w:tcPr>
          <w:p>
            <w:r>
              <w:t>6</w:t>
            </w:r>
          </w:p>
        </w:tc>
        <w:tc>
          <w:tcPr>
            <w:tcW w:type="dxa" w:w="2160"/>
          </w:tcPr>
          <w:p>
            <w:r>
              <w:t>Design and implement the cloud-hybrid infrastructure</w:t>
            </w:r>
          </w:p>
        </w:tc>
      </w:tr>
      <w:tr>
        <w:tc>
          <w:tcPr>
            <w:tcW w:type="dxa" w:w="2160"/>
          </w:tcPr>
          <w:p>
            <w:r>
              <w:t>Data Analyst</w:t>
            </w:r>
          </w:p>
        </w:tc>
        <w:tc>
          <w:tcPr>
            <w:tcW w:type="dxa" w:w="2160"/>
          </w:tcPr>
          <w:p>
            <w:r>
              <w:t>1</w:t>
            </w:r>
          </w:p>
        </w:tc>
        <w:tc>
          <w:tcPr>
            <w:tcW w:type="dxa" w:w="2160"/>
          </w:tcPr>
          <w:p>
            <w:r>
              <w:t>4</w:t>
            </w:r>
          </w:p>
        </w:tc>
        <w:tc>
          <w:tcPr>
            <w:tcW w:type="dxa" w:w="2160"/>
          </w:tcPr>
          <w:p>
            <w:r>
              <w:t>Integrate IntelliMate platform for data analytics and visualization</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Solution Design and Implementation</w:t>
            </w:r>
          </w:p>
        </w:tc>
        <w:tc>
          <w:tcPr>
            <w:tcW w:type="dxa" w:w="2880"/>
          </w:tcPr>
          <w:p>
            <w:r>
              <w:t>₹2,500,000</w:t>
            </w:r>
          </w:p>
        </w:tc>
        <w:tc>
          <w:tcPr>
            <w:tcW w:type="dxa" w:w="2880"/>
          </w:tcPr>
          <w:p>
            <w:r>
              <w:t>Includes solution architecture design, data ingestion and standardization, PHI de-identification, and cloud-hybrid infrastructure implementation</w:t>
            </w:r>
          </w:p>
        </w:tc>
      </w:tr>
      <w:tr>
        <w:tc>
          <w:tcPr>
            <w:tcW w:type="dxa" w:w="2880"/>
          </w:tcPr>
          <w:p>
            <w:r>
              <w:t>Hardware and Software Costs</w:t>
            </w:r>
          </w:p>
        </w:tc>
        <w:tc>
          <w:tcPr>
            <w:tcW w:type="dxa" w:w="2880"/>
          </w:tcPr>
          <w:p>
            <w:r>
              <w:t>₹1,500,000</w:t>
            </w:r>
          </w:p>
        </w:tc>
        <w:tc>
          <w:tcPr>
            <w:tcW w:type="dxa" w:w="2880"/>
          </w:tcPr>
          <w:p>
            <w:r>
              <w:t>Includes costs for servers, storage, and software licenses</w:t>
            </w:r>
          </w:p>
        </w:tc>
      </w:tr>
      <w:tr>
        <w:tc>
          <w:tcPr>
            <w:tcW w:type="dxa" w:w="2880"/>
          </w:tcPr>
          <w:p>
            <w:r>
              <w:t>Personnel and Training Costs</w:t>
            </w:r>
          </w:p>
        </w:tc>
        <w:tc>
          <w:tcPr>
            <w:tcW w:type="dxa" w:w="2880"/>
          </w:tcPr>
          <w:p>
            <w:r>
              <w:t>₹1,000,000</w:t>
            </w:r>
          </w:p>
        </w:tc>
        <w:tc>
          <w:tcPr>
            <w:tcW w:type="dxa" w:w="2880"/>
          </w:tcPr>
          <w:p>
            <w:r>
              <w:t>Includes costs for personnel salaries, benefits, and training</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Data Ingestion Rate</w:t>
            </w:r>
          </w:p>
        </w:tc>
        <w:tc>
          <w:tcPr>
            <w:tcW w:type="dxa" w:w="2160"/>
          </w:tcPr>
          <w:p>
            <w:r>
              <w:t>95%</w:t>
            </w:r>
          </w:p>
        </w:tc>
        <w:tc>
          <w:tcPr>
            <w:tcW w:type="dxa" w:w="2160"/>
          </w:tcPr>
          <w:p>
            <w:r>
              <w:t>Monitor data ingestion rate using system logs and metrics</w:t>
            </w:r>
          </w:p>
        </w:tc>
        <w:tc>
          <w:tcPr>
            <w:tcW w:type="dxa" w:w="2160"/>
          </w:tcPr>
          <w:p>
            <w:r>
              <w:t>Daily</w:t>
            </w:r>
          </w:p>
        </w:tc>
      </w:tr>
      <w:tr>
        <w:tc>
          <w:tcPr>
            <w:tcW w:type="dxa" w:w="2160"/>
          </w:tcPr>
          <w:p>
            <w:r>
              <w:t>Data Standardization Accuracy</w:t>
            </w:r>
          </w:p>
        </w:tc>
        <w:tc>
          <w:tcPr>
            <w:tcW w:type="dxa" w:w="2160"/>
          </w:tcPr>
          <w:p>
            <w:r>
              <w:t>99%</w:t>
            </w:r>
          </w:p>
        </w:tc>
        <w:tc>
          <w:tcPr>
            <w:tcW w:type="dxa" w:w="2160"/>
          </w:tcPr>
          <w:p>
            <w:r>
              <w:t>Monitor data standardization accuracy using quality control checks</w:t>
            </w:r>
          </w:p>
        </w:tc>
        <w:tc>
          <w:tcPr>
            <w:tcW w:type="dxa" w:w="2160"/>
          </w:tcPr>
          <w:p>
            <w:r>
              <w:t>Weekly</w:t>
            </w:r>
          </w:p>
        </w:tc>
      </w:tr>
      <w:tr>
        <w:tc>
          <w:tcPr>
            <w:tcW w:type="dxa" w:w="2160"/>
          </w:tcPr>
          <w:p>
            <w:r>
              <w:t>PHI De-identification Rate</w:t>
            </w:r>
          </w:p>
        </w:tc>
        <w:tc>
          <w:tcPr>
            <w:tcW w:type="dxa" w:w="2160"/>
          </w:tcPr>
          <w:p>
            <w:r>
              <w:t>100%</w:t>
            </w:r>
          </w:p>
        </w:tc>
        <w:tc>
          <w:tcPr>
            <w:tcW w:type="dxa" w:w="2160"/>
          </w:tcPr>
          <w:p>
            <w:r>
              <w:t>Monitor PHI de-identification rate using system logs and metrics</w:t>
            </w:r>
          </w:p>
        </w:tc>
        <w:tc>
          <w:tcPr>
            <w:tcW w:type="dxa" w:w="2160"/>
          </w:tcPr>
          <w:p>
            <w:r>
              <w:t>Daily</w:t>
            </w:r>
          </w:p>
        </w:tc>
      </w:tr>
      <w:tr>
        <w:tc>
          <w:tcPr>
            <w:tcW w:type="dxa" w:w="2160"/>
          </w:tcPr>
          <w:p>
            <w:r>
              <w:t>Cloud-Hybrid Infrastructure Uptime</w:t>
            </w:r>
          </w:p>
        </w:tc>
        <w:tc>
          <w:tcPr>
            <w:tcW w:type="dxa" w:w="2160"/>
          </w:tcPr>
          <w:p>
            <w:r>
              <w:t>99.99%</w:t>
            </w:r>
          </w:p>
        </w:tc>
        <w:tc>
          <w:tcPr>
            <w:tcW w:type="dxa" w:w="2160"/>
          </w:tcPr>
          <w:p>
            <w:r>
              <w:t>Monitor cloud-hybrid infrastructure uptime using system logs and metrics</w:t>
            </w:r>
          </w:p>
        </w:tc>
        <w:tc>
          <w:tcPr>
            <w:tcW w:type="dxa" w:w="2160"/>
          </w:tcPr>
          <w:p>
            <w:r>
              <w:t>Hourly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