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B2A4A"/>
          <w:sz w:val="44"/>
          <w:szCs w:val="44"/>
        </w:rPr>
        <w:t xml:space="preserve">REGISTER</w:t>
      </w:r>
    </w:p>
    <w:p>
      <w:pPr>
        <w:spacing w:after="40"/>
      </w:pPr>
      <w:r>
        <w:rPr>
          <w:color w:val="5B6B85"/>
          <w:sz w:val="24"/>
          <w:szCs w:val="24"/>
        </w:rPr>
        <w:t xml:space="preserve">RTB Compliance Tool for Irish Letting Agents</w:t>
      </w:r>
    </w:p>
    <w:p>
      <w:pPr>
        <w:pBdr>
          <w:bottom w:val="single" w:color="1B2A4A" w:sz="12" w:space="6"/>
        </w:pBdr>
        <w:spacing w:after="200"/>
      </w:pPr>
      <w:r>
        <w:rPr>
          <w:i/>
          <w:iCs/>
          <w:color w:val="5B6B85"/>
          <w:sz w:val="18"/>
          <w:szCs w:val="18"/>
        </w:rPr>
        <w:t xml:space="preserve">Product Roadmap — Draft v1  |  Prepared for co-founders &amp; early customer conversations</w:t>
      </w:r>
    </w:p>
    <w:p>
      <w:pPr>
        <w:pStyle w:val="Heading1"/>
        <w:pBdr>
          <w:bottom w:val="single" w:color="1B2A4A" w:sz="6" w:space="4"/>
        </w:pBdr>
        <w:spacing w:after="160" w:before="320"/>
      </w:pPr>
      <w:r>
        <w:rPr>
          <w:b/>
          <w:bCs/>
          <w:color w:val="1B2A4A"/>
          <w:sz w:val="26"/>
          <w:szCs w:val="26"/>
        </w:rPr>
        <w:t xml:space="preserve">The Problem</w:t>
      </w:r>
    </w:p>
    <w:p>
      <w:pPr>
        <w:spacing w:after="120"/>
      </w:pPr>
      <w:r>
        <w:rPr>
          <w:color w:val="333333"/>
          <w:sz w:val="21"/>
          <w:szCs w:val="21"/>
        </w:rPr>
        <w:t xml:space="preserve">Small letting agencies (1–5 people) in Ireland are responsible for RTB registration renewals, RPZ rent-cap calculations, and statutory notice periods for every tenancy they manage — currently tracked manually or in spreadsheets. Rules have become stricter (annual renewal instead of every four years) and continue to change, and mistakes carry financial and legal risk for landlords and agents alike.</w:t>
      </w:r>
    </w:p>
    <w:p>
      <w:pPr>
        <w:spacing w:after="120"/>
      </w:pPr>
      <w:r>
        <w:rPr>
          <w:color w:val="333333"/>
          <w:sz w:val="21"/>
          <w:szCs w:val="21"/>
        </w:rPr>
        <w:t xml:space="preserve">Register is a lightweight compliance dashboard built specifically for this workflow — not a full property management suite, but the compliance layer small agencies are currently missing.</w:t>
      </w:r>
    </w:p>
    <w:p>
      <w:pPr>
        <w:pStyle w:val="Heading1"/>
        <w:pBdr>
          <w:bottom w:val="single" w:color="1B2A4A" w:sz="6" w:space="4"/>
        </w:pBdr>
        <w:spacing w:after="160" w:before="320"/>
      </w:pPr>
      <w:r>
        <w:rPr>
          <w:b/>
          <w:bCs/>
          <w:color w:val="1B2A4A"/>
          <w:sz w:val="26"/>
          <w:szCs w:val="26"/>
        </w:rPr>
        <w:t xml:space="preserve">Target Customer</w:t>
      </w:r>
    </w:p>
    <w:p>
      <w:pPr>
        <w:pStyle w:val="ListParagraph"/>
        <w:numPr>
          <w:ilvl w:val="0"/>
          <w:numId w:val="2"/>
        </w:numPr>
        <w:spacing w:after="60"/>
      </w:pPr>
      <w:r>
        <w:rPr>
          <w:color w:val="333333"/>
          <w:sz w:val="21"/>
          <w:szCs w:val="21"/>
        </w:rPr>
        <w:t xml:space="preserve">Independent letting agents and small property management firms (1–5 staff) in Munster, expanding nationally</w:t>
      </w:r>
    </w:p>
    <w:p>
      <w:pPr>
        <w:pStyle w:val="ListParagraph"/>
        <w:numPr>
          <w:ilvl w:val="0"/>
          <w:numId w:val="2"/>
        </w:numPr>
        <w:spacing w:after="60"/>
      </w:pPr>
      <w:r>
        <w:rPr>
          <w:color w:val="333333"/>
          <w:sz w:val="21"/>
          <w:szCs w:val="21"/>
        </w:rPr>
        <w:t xml:space="preserve">Agencies currently tracking RTB renewals manually or in spreadsheets</w:t>
      </w:r>
    </w:p>
    <w:p>
      <w:pPr>
        <w:pStyle w:val="ListParagraph"/>
        <w:numPr>
          <w:ilvl w:val="0"/>
          <w:numId w:val="2"/>
        </w:numPr>
        <w:spacing w:after="60"/>
      </w:pPr>
      <w:r>
        <w:rPr>
          <w:color w:val="333333"/>
          <w:sz w:val="21"/>
          <w:szCs w:val="21"/>
        </w:rPr>
        <w:t xml:space="preserve">Not targeting large corporate agencies at launch — slower buying cycles, more procurement overhead</w:t>
      </w:r>
    </w:p>
    <w:p>
      <w:pPr>
        <w:pStyle w:val="Heading1"/>
        <w:pBdr>
          <w:bottom w:val="single" w:color="1B2A4A" w:sz="6" w:space="4"/>
        </w:pBdr>
        <w:spacing w:after="160" w:before="320"/>
      </w:pPr>
      <w:r>
        <w:rPr>
          <w:b/>
          <w:bCs/>
          <w:color w:val="1B2A4A"/>
          <w:sz w:val="26"/>
          <w:szCs w:val="26"/>
        </w:rPr>
        <w:t xml:space="preserve">Feature Roadmap</w:t>
      </w:r>
    </w:p>
    <w:p>
      <w:pPr>
        <w:pStyle w:val="Heading2"/>
        <w:spacing w:after="100" w:before="220"/>
      </w:pPr>
      <w:r>
        <w:rPr>
          <w:b/>
          <w:bCs/>
          <w:color w:val="1B2A4A"/>
          <w:sz w:val="22"/>
          <w:szCs w:val="22"/>
        </w:rPr>
        <w:t xml:space="preserve">Phase 1 — Core (Launch / Pilot)</w:t>
      </w:r>
    </w:p>
    <w:p>
      <w:pPr>
        <w:spacing w:after="120"/>
      </w:pPr>
      <w:r>
        <w:rPr>
          <w:color w:val="333333"/>
          <w:sz w:val="21"/>
          <w:szCs w:val="21"/>
        </w:rPr>
        <w:t xml:space="preserve">Goal: validate with 3–5 pilot agencies before charging.</w:t>
      </w:r>
    </w:p>
    <w:p>
      <w:pPr>
        <w:pStyle w:val="ListParagraph"/>
        <w:numPr>
          <w:ilvl w:val="0"/>
          <w:numId w:val="2"/>
        </w:numPr>
        <w:spacing w:after="60"/>
      </w:pPr>
      <w:r>
        <w:rPr>
          <w:color w:val="333333"/>
          <w:sz w:val="21"/>
          <w:szCs w:val="21"/>
        </w:rPr>
        <w:t xml:space="preserve">Property register — add/edit properties, tenants, tenancy dates, rent</w:t>
      </w:r>
    </w:p>
    <w:p>
      <w:pPr>
        <w:pStyle w:val="ListParagraph"/>
        <w:numPr>
          <w:ilvl w:val="0"/>
          <w:numId w:val="2"/>
        </w:numPr>
        <w:spacing w:after="60"/>
      </w:pPr>
      <w:r>
        <w:rPr>
          <w:color w:val="333333"/>
          <w:sz w:val="21"/>
          <w:szCs w:val="21"/>
        </w:rPr>
        <w:t xml:space="preserve">RTB registration tracking — auto-calculated renewal dates, compliance status per property</w:t>
      </w:r>
    </w:p>
    <w:p>
      <w:pPr>
        <w:pStyle w:val="ListParagraph"/>
        <w:numPr>
          <w:ilvl w:val="0"/>
          <w:numId w:val="2"/>
        </w:numPr>
        <w:spacing w:after="60"/>
      </w:pPr>
      <w:r>
        <w:rPr>
          <w:color w:val="333333"/>
          <w:sz w:val="21"/>
          <w:szCs w:val="21"/>
        </w:rPr>
        <w:t xml:space="preserve">Automated reminders — email/SMS before renewal deadlines</w:t>
      </w:r>
    </w:p>
    <w:p>
      <w:pPr>
        <w:pStyle w:val="ListParagraph"/>
        <w:numPr>
          <w:ilvl w:val="0"/>
          <w:numId w:val="2"/>
        </w:numPr>
        <w:spacing w:after="60"/>
      </w:pPr>
      <w:r>
        <w:rPr>
          <w:color w:val="333333"/>
          <w:sz w:val="21"/>
          <w:szCs w:val="21"/>
        </w:rPr>
        <w:t xml:space="preserve">Pre-filled RTB registration forms, ready for agent review and manual submission</w:t>
      </w:r>
    </w:p>
    <w:p>
      <w:pPr>
        <w:pStyle w:val="ListParagraph"/>
        <w:numPr>
          <w:ilvl w:val="0"/>
          <w:numId w:val="2"/>
        </w:numPr>
        <w:spacing w:after="60"/>
      </w:pPr>
      <w:r>
        <w:rPr>
          <w:color w:val="333333"/>
          <w:sz w:val="21"/>
          <w:szCs w:val="21"/>
        </w:rPr>
        <w:t xml:space="preserve">RPZ rent cap calculator — checks proposed increases against the current cap</w:t>
      </w:r>
    </w:p>
    <w:p>
      <w:pPr>
        <w:pStyle w:val="ListParagraph"/>
        <w:numPr>
          <w:ilvl w:val="0"/>
          <w:numId w:val="2"/>
        </w:numPr>
        <w:spacing w:after="60"/>
      </w:pPr>
      <w:r>
        <w:rPr>
          <w:color w:val="333333"/>
          <w:sz w:val="21"/>
          <w:szCs w:val="21"/>
        </w:rPr>
        <w:t xml:space="preserve">Notice period lookup — correct statutory minimum notice by tenancy length</w:t>
      </w:r>
    </w:p>
    <w:p>
      <w:pPr>
        <w:pStyle w:val="ListParagraph"/>
        <w:numPr>
          <w:ilvl w:val="0"/>
          <w:numId w:val="2"/>
        </w:numPr>
        <w:spacing w:after="60"/>
      </w:pPr>
      <w:r>
        <w:rPr>
          <w:color w:val="333333"/>
          <w:sz w:val="21"/>
          <w:szCs w:val="21"/>
        </w:rPr>
        <w:t xml:space="preserve">Multi-user accounts for small teams</w:t>
      </w:r>
    </w:p>
    <w:p>
      <w:pPr>
        <w:pStyle w:val="Heading2"/>
        <w:spacing w:after="100" w:before="220"/>
      </w:pPr>
      <w:r>
        <w:rPr>
          <w:b/>
          <w:bCs/>
          <w:color w:val="1B2A4A"/>
          <w:sz w:val="22"/>
          <w:szCs w:val="22"/>
        </w:rPr>
        <w:t xml:space="preserve">Phase 2 — Expansion (post-pilot, paying customers)</w:t>
      </w:r>
    </w:p>
    <w:p>
      <w:pPr>
        <w:spacing w:after="120"/>
      </w:pPr>
      <w:r>
        <w:rPr>
          <w:color w:val="333333"/>
          <w:sz w:val="21"/>
          <w:szCs w:val="21"/>
        </w:rPr>
        <w:t xml:space="preserve">Goal: build only what pilot customers actually ask for.</w:t>
      </w:r>
    </w:p>
    <w:p>
      <w:pPr>
        <w:pStyle w:val="ListParagraph"/>
        <w:numPr>
          <w:ilvl w:val="0"/>
          <w:numId w:val="2"/>
        </w:numPr>
        <w:spacing w:after="60"/>
      </w:pPr>
      <w:r>
        <w:rPr>
          <w:color w:val="333333"/>
          <w:sz w:val="21"/>
          <w:szCs w:val="21"/>
        </w:rPr>
        <w:t xml:space="preserve">Document storage — leases, BER certs, deposit records per property</w:t>
      </w:r>
    </w:p>
    <w:p>
      <w:pPr>
        <w:pStyle w:val="ListParagraph"/>
        <w:numPr>
          <w:ilvl w:val="0"/>
          <w:numId w:val="2"/>
        </w:numPr>
        <w:spacing w:after="60"/>
      </w:pPr>
      <w:r>
        <w:rPr>
          <w:color w:val="333333"/>
          <w:sz w:val="21"/>
          <w:szCs w:val="21"/>
        </w:rPr>
        <w:t xml:space="preserve">AI-assisted lease extraction — upload a PDF, key details auto-fill the property record</w:t>
      </w:r>
    </w:p>
    <w:p>
      <w:pPr>
        <w:pStyle w:val="ListParagraph"/>
        <w:numPr>
          <w:ilvl w:val="0"/>
          <w:numId w:val="2"/>
        </w:numPr>
        <w:spacing w:after="60"/>
      </w:pPr>
      <w:r>
        <w:rPr>
          <w:color w:val="333333"/>
          <w:sz w:val="21"/>
          <w:szCs w:val="21"/>
        </w:rPr>
        <w:t xml:space="preserve">Deposit protection tracking and return-deadline reminders</w:t>
      </w:r>
    </w:p>
    <w:p>
      <w:pPr>
        <w:pStyle w:val="ListParagraph"/>
        <w:numPr>
          <w:ilvl w:val="0"/>
          <w:numId w:val="2"/>
        </w:numPr>
        <w:spacing w:after="60"/>
      </w:pPr>
      <w:r>
        <w:rPr>
          <w:color w:val="333333"/>
          <w:sz w:val="21"/>
          <w:szCs w:val="21"/>
        </w:rPr>
        <w:t xml:space="preserve">BER certificate tracking and expiry alerts</w:t>
      </w:r>
    </w:p>
    <w:p>
      <w:pPr>
        <w:pStyle w:val="ListParagraph"/>
        <w:numPr>
          <w:ilvl w:val="0"/>
          <w:numId w:val="2"/>
        </w:numPr>
        <w:spacing w:after="60"/>
      </w:pPr>
      <w:r>
        <w:rPr>
          <w:color w:val="333333"/>
          <w:sz w:val="21"/>
          <w:szCs w:val="21"/>
        </w:rPr>
        <w:t xml:space="preserve">Compliance audit trail — timestamped history, exportable per property or portfolio</w:t>
      </w:r>
    </w:p>
    <w:p>
      <w:pPr>
        <w:pStyle w:val="ListParagraph"/>
        <w:numPr>
          <w:ilvl w:val="0"/>
          <w:numId w:val="2"/>
        </w:numPr>
        <w:spacing w:after="60"/>
      </w:pPr>
      <w:r>
        <w:rPr>
          <w:color w:val="333333"/>
          <w:sz w:val="21"/>
          <w:szCs w:val="21"/>
        </w:rPr>
        <w:t xml:space="preserve">Bulk actions — portfolio-wide rent checks and renewal exports</w:t>
      </w:r>
    </w:p>
    <w:p>
      <w:pPr>
        <w:pStyle w:val="Heading2"/>
        <w:spacing w:after="100" w:before="220"/>
      </w:pPr>
      <w:r>
        <w:rPr>
          <w:b/>
          <w:bCs/>
          <w:color w:val="1B2A4A"/>
          <w:sz w:val="22"/>
          <w:szCs w:val="22"/>
        </w:rPr>
        <w:t xml:space="preserve">Phase 3 — Growth</w:t>
      </w:r>
    </w:p>
    <w:p>
      <w:pPr>
        <w:pStyle w:val="ListParagraph"/>
        <w:numPr>
          <w:ilvl w:val="0"/>
          <w:numId w:val="2"/>
        </w:numPr>
        <w:spacing w:after="60"/>
      </w:pPr>
      <w:r>
        <w:rPr>
          <w:color w:val="333333"/>
          <w:sz w:val="21"/>
          <w:szCs w:val="21"/>
        </w:rPr>
        <w:t xml:space="preserve">Client-facing compliance reports landlords can be shown directly</w:t>
      </w:r>
    </w:p>
    <w:p>
      <w:pPr>
        <w:pStyle w:val="ListParagraph"/>
        <w:numPr>
          <w:ilvl w:val="0"/>
          <w:numId w:val="2"/>
        </w:numPr>
        <w:spacing w:after="60"/>
      </w:pPr>
      <w:r>
        <w:rPr>
          <w:color w:val="333333"/>
          <w:sz w:val="21"/>
          <w:szCs w:val="21"/>
        </w:rPr>
        <w:t xml:space="preserve">Integrations with existing property management software (e.g. AgentPro)</w:t>
      </w:r>
    </w:p>
    <w:p>
      <w:pPr>
        <w:pStyle w:val="ListParagraph"/>
        <w:numPr>
          <w:ilvl w:val="0"/>
          <w:numId w:val="2"/>
        </w:numPr>
        <w:spacing w:after="60"/>
      </w:pPr>
      <w:r>
        <w:rPr>
          <w:color w:val="333333"/>
          <w:sz w:val="21"/>
          <w:szCs w:val="21"/>
        </w:rPr>
        <w:t xml:space="preserve">Calendar sync (Google / Outlook) for deadlines</w:t>
      </w:r>
    </w:p>
    <w:p>
      <w:pPr>
        <w:pStyle w:val="ListParagraph"/>
        <w:numPr>
          <w:ilvl w:val="0"/>
          <w:numId w:val="2"/>
        </w:numPr>
        <w:spacing w:after="60"/>
      </w:pPr>
      <w:r>
        <w:rPr>
          <w:color w:val="333333"/>
          <w:sz w:val="21"/>
          <w:szCs w:val="21"/>
        </w:rPr>
        <w:t xml:space="preserve">Rules-change alerts — notify all users when RTB regulations change</w:t>
      </w:r>
    </w:p>
    <w:p>
      <w:pPr>
        <w:pStyle w:val="ListParagraph"/>
        <w:numPr>
          <w:ilvl w:val="0"/>
          <w:numId w:val="2"/>
        </w:numPr>
        <w:spacing w:after="60"/>
      </w:pPr>
      <w:r>
        <w:rPr>
          <w:color w:val="333333"/>
          <w:sz w:val="21"/>
          <w:szCs w:val="21"/>
        </w:rPr>
        <w:t xml:space="preserve">Multi-branch / franchise support for larger agencies</w:t>
      </w:r>
    </w:p>
    <w:p>
      <w:pPr>
        <w:pStyle w:val="Heading1"/>
        <w:pBdr>
          <w:bottom w:val="single" w:color="1B2A4A" w:sz="6" w:space="4"/>
        </w:pBdr>
        <w:spacing w:after="160" w:before="320"/>
      </w:pPr>
      <w:r>
        <w:rPr>
          <w:b/>
          <w:bCs/>
          <w:color w:val="1B2A4A"/>
          <w:sz w:val="26"/>
          <w:szCs w:val="26"/>
        </w:rPr>
        <w:t xml:space="preserve">Guardrails (by design, not gaps)</w:t>
      </w:r>
    </w:p>
    <w:p>
      <w:pPr>
        <w:pStyle w:val="ListParagraph"/>
        <w:numPr>
          <w:ilvl w:val="0"/>
          <w:numId w:val="2"/>
        </w:numPr>
        <w:spacing w:after="60"/>
      </w:pPr>
      <w:r>
        <w:rPr>
          <w:color w:val="333333"/>
          <w:sz w:val="21"/>
          <w:szCs w:val="21"/>
        </w:rPr>
        <w:t xml:space="preserve">No auto-submission to the RTB — agent always reviews and submits manually</w:t>
      </w:r>
    </w:p>
    <w:p>
      <w:pPr>
        <w:pStyle w:val="ListParagraph"/>
        <w:numPr>
          <w:ilvl w:val="0"/>
          <w:numId w:val="2"/>
        </w:numPr>
        <w:spacing w:after="60"/>
      </w:pPr>
      <w:r>
        <w:rPr>
          <w:color w:val="333333"/>
          <w:sz w:val="21"/>
          <w:szCs w:val="21"/>
        </w:rPr>
        <w:t xml:space="preserve">No language framed as legal advice anywhere in the product — compliance checks are marked as estimates to verify</w:t>
      </w:r>
    </w:p>
    <w:p>
      <w:pPr>
        <w:pStyle w:val="ListParagraph"/>
        <w:numPr>
          <w:ilvl w:val="0"/>
          <w:numId w:val="2"/>
        </w:numPr>
        <w:spacing w:after="60"/>
      </w:pPr>
      <w:r>
        <w:rPr>
          <w:color w:val="333333"/>
          <w:sz w:val="21"/>
          <w:szCs w:val="21"/>
        </w:rPr>
        <w:t xml:space="preserve">Compliance logic (rent cap, notice periods) is deterministic, human-verified code — never AI-generated on the fly</w:t>
      </w:r>
    </w:p>
    <w:p>
      <w:pPr>
        <w:pStyle w:val="Heading1"/>
        <w:pBdr>
          <w:bottom w:val="single" w:color="1B2A4A" w:sz="6" w:space="4"/>
        </w:pBdr>
        <w:spacing w:after="160" w:before="320"/>
      </w:pPr>
      <w:r>
        <w:rPr>
          <w:b/>
          <w:bCs/>
          <w:color w:val="1B2A4A"/>
          <w:sz w:val="26"/>
          <w:szCs w:val="26"/>
        </w:rPr>
        <w:t xml:space="preserve">Go-to-Market</w:t>
      </w:r>
    </w:p>
    <w:p>
      <w:pPr>
        <w:pStyle w:val="ListParagraph"/>
        <w:numPr>
          <w:ilvl w:val="0"/>
          <w:numId w:val="2"/>
        </w:numPr>
        <w:spacing w:after="60"/>
      </w:pPr>
      <w:r>
        <w:rPr>
          <w:color w:val="333333"/>
          <w:sz w:val="21"/>
          <w:szCs w:val="21"/>
        </w:rPr>
        <w:t xml:space="preserve">Direct outreach to small independent letting agencies across Munster</w:t>
      </w:r>
    </w:p>
    <w:p>
      <w:pPr>
        <w:pStyle w:val="ListParagraph"/>
        <w:numPr>
          <w:ilvl w:val="0"/>
          <w:numId w:val="2"/>
        </w:numPr>
        <w:spacing w:after="60"/>
      </w:pPr>
      <w:r>
        <w:rPr>
          <w:color w:val="333333"/>
          <w:sz w:val="21"/>
          <w:szCs w:val="21"/>
        </w:rPr>
        <w:t xml:space="preserve">Free pilot for first 3–5 agencies in exchange for feedback and a testimonial</w:t>
      </w:r>
    </w:p>
    <w:p>
      <w:pPr>
        <w:pStyle w:val="ListParagraph"/>
        <w:numPr>
          <w:ilvl w:val="0"/>
          <w:numId w:val="2"/>
        </w:numPr>
        <w:spacing w:after="60"/>
      </w:pPr>
      <w:r>
        <w:rPr>
          <w:color w:val="333333"/>
          <w:sz w:val="21"/>
          <w:szCs w:val="21"/>
        </w:rPr>
        <w:t xml:space="preserve">Distribution via property management Facebook/LinkedIn groups, landlord forums, and professional bodies (IPAV, SCSI)</w:t>
      </w:r>
    </w:p>
    <w:p>
      <w:pPr>
        <w:pStyle w:val="ListParagraph"/>
        <w:numPr>
          <w:ilvl w:val="0"/>
          <w:numId w:val="2"/>
        </w:numPr>
        <w:spacing w:after="60"/>
      </w:pPr>
      <w:r>
        <w:rPr>
          <w:color w:val="333333"/>
          <w:sz w:val="21"/>
          <w:szCs w:val="21"/>
        </w:rPr>
        <w:t xml:space="preserve">Pricing model to validate directly with pilot customers: per-property (€3–5/month) vs. flat tier (€50–100/month for smaller agencies)</w:t>
      </w:r>
    </w:p>
    <w:p>
      <w:pPr>
        <w:pStyle w:val="Heading1"/>
        <w:pBdr>
          <w:bottom w:val="single" w:color="1B2A4A" w:sz="6" w:space="4"/>
        </w:pBdr>
        <w:spacing w:after="160" w:before="320"/>
      </w:pPr>
      <w:r>
        <w:rPr>
          <w:b/>
          <w:bCs/>
          <w:color w:val="1B2A4A"/>
          <w:sz w:val="26"/>
          <w:szCs w:val="26"/>
        </w:rPr>
        <w:t xml:space="preserve">Current Status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1B2A4A" w:val="clear"/>
            <w:tcMar>
              <w:top w:type="dxa" w:w="100"/>
              <w:left w:type="dxa" w:w="120"/>
              <w:bottom w:type="dxa" w:w="100"/>
              <w:right w:type="dxa" w:w="120"/>
            </w:tcMar>
          </w:tcPr>
          <w:p>
            <w:r>
              <w:rPr>
                <w:b/>
                <w:bCs/>
                <w:color w:val="FFFFFF"/>
                <w:sz w:val="20"/>
                <w:szCs w:val="20"/>
              </w:rPr>
              <w:t xml:space="preserve">Stage</w:t>
            </w:r>
          </w:p>
        </w:tc>
        <w:tc>
          <w:tcPr>
            <w:tcW w:type="dxa" w:w="4800"/>
            <w:shd w:fill="1B2A4A" w:val="clear"/>
            <w:tcMar>
              <w:top w:type="dxa" w:w="100"/>
              <w:left w:type="dxa" w:w="120"/>
              <w:bottom w:type="dxa" w:w="100"/>
              <w:right w:type="dxa" w:w="120"/>
            </w:tcMar>
          </w:tcPr>
          <w:p>
            <w:r>
              <w:rPr>
                <w:b/>
                <w:bCs/>
                <w:color w:val="FFFFFF"/>
                <w:sz w:val="20"/>
                <w:szCs w:val="20"/>
              </w:rPr>
              <w:t xml:space="preserve">Detail</w:t>
            </w:r>
          </w:p>
        </w:tc>
      </w:tr>
      <w:tr>
        <w:tc>
          <w:tcPr>
            <w:tcW w:type="dxa" w:w="4800"/>
            <w:tcMar>
              <w:top w:type="dxa" w:w="100"/>
              <w:left w:type="dxa" w:w="120"/>
              <w:bottom w:type="dxa" w:w="100"/>
              <w:right w:type="dxa" w:w="120"/>
            </w:tcMar>
          </w:tcPr>
          <w:p>
            <w:r>
              <w:rPr>
                <w:b w:val="false"/>
                <w:bCs w:val="false"/>
                <w:color w:val="333333"/>
                <w:sz w:val="20"/>
                <w:szCs w:val="20"/>
              </w:rPr>
              <w:t xml:space="preserve">Idea validation</w:t>
            </w:r>
          </w:p>
        </w:tc>
        <w:tc>
          <w:tcPr>
            <w:tcW w:type="dxa" w:w="4800"/>
            <w:tcMar>
              <w:top w:type="dxa" w:w="100"/>
              <w:left w:type="dxa" w:w="120"/>
              <w:bottom w:type="dxa" w:w="100"/>
              <w:right w:type="dxa" w:w="120"/>
            </w:tcMar>
          </w:tcPr>
          <w:p>
            <w:r>
              <w:rPr>
                <w:b w:val="false"/>
                <w:bCs w:val="false"/>
                <w:color w:val="333333"/>
                <w:sz w:val="20"/>
                <w:szCs w:val="20"/>
              </w:rPr>
              <w:t xml:space="preserve">In progress — early conversations with letting agents across Limerick, Clare and Cork</w:t>
            </w:r>
          </w:p>
        </w:tc>
      </w:tr>
      <w:tr>
        <w:tc>
          <w:tcPr>
            <w:tcW w:type="dxa" w:w="4800"/>
            <w:tcMar>
              <w:top w:type="dxa" w:w="100"/>
              <w:left w:type="dxa" w:w="120"/>
              <w:bottom w:type="dxa" w:w="100"/>
              <w:right w:type="dxa" w:w="120"/>
            </w:tcMar>
          </w:tcPr>
          <w:p>
            <w:r>
              <w:rPr>
                <w:b w:val="false"/>
                <w:bCs w:val="false"/>
                <w:color w:val="333333"/>
                <w:sz w:val="20"/>
                <w:szCs w:val="20"/>
              </w:rPr>
              <w:t xml:space="preserve">Demo</w:t>
            </w:r>
          </w:p>
        </w:tc>
        <w:tc>
          <w:tcPr>
            <w:tcW w:type="dxa" w:w="4800"/>
            <w:tcMar>
              <w:top w:type="dxa" w:w="100"/>
              <w:left w:type="dxa" w:w="120"/>
              <w:bottom w:type="dxa" w:w="100"/>
              <w:right w:type="dxa" w:w="120"/>
            </w:tcMar>
          </w:tcPr>
          <w:p>
            <w:r>
              <w:rPr>
                <w:b w:val="false"/>
                <w:bCs w:val="false"/>
                <w:color w:val="333333"/>
                <w:sz w:val="20"/>
                <w:szCs w:val="20"/>
              </w:rPr>
              <w:t xml:space="preserve">Working interactive prototype built to support customer conversations</w:t>
            </w:r>
          </w:p>
        </w:tc>
      </w:tr>
      <w:tr>
        <w:tc>
          <w:tcPr>
            <w:tcW w:type="dxa" w:w="4800"/>
            <w:tcMar>
              <w:top w:type="dxa" w:w="100"/>
              <w:left w:type="dxa" w:w="120"/>
              <w:bottom w:type="dxa" w:w="100"/>
              <w:right w:type="dxa" w:w="120"/>
            </w:tcMar>
          </w:tcPr>
          <w:p>
            <w:r>
              <w:rPr>
                <w:b w:val="false"/>
                <w:bCs w:val="false"/>
                <w:color w:val="333333"/>
                <w:sz w:val="20"/>
                <w:szCs w:val="20"/>
              </w:rPr>
              <w:t xml:space="preserve">Build</w:t>
            </w:r>
          </w:p>
        </w:tc>
        <w:tc>
          <w:tcPr>
            <w:tcW w:type="dxa" w:w="4800"/>
            <w:tcMar>
              <w:top w:type="dxa" w:w="100"/>
              <w:left w:type="dxa" w:w="120"/>
              <w:bottom w:type="dxa" w:w="100"/>
              <w:right w:type="dxa" w:w="120"/>
            </w:tcMar>
          </w:tcPr>
          <w:p>
            <w:r>
              <w:rPr>
                <w:b w:val="false"/>
                <w:bCs w:val="false"/>
                <w:color w:val="333333"/>
                <w:sz w:val="20"/>
                <w:szCs w:val="20"/>
              </w:rPr>
              <w:t xml:space="preserve">Not started — scoped to begin only after pilot interest is confirmed</w:t>
            </w:r>
          </w:p>
        </w:tc>
      </w:tr>
    </w:tbl>
    <w:p>
      <w:pPr>
        <w:spacing w:before="300"/>
      </w:pPr>
      <w:r>
        <w:rPr>
          <w:i/>
          <w:iCs/>
          <w:color w:val="5B6B85"/>
          <w:sz w:val="18"/>
          <w:szCs w:val="18"/>
        </w:rPr>
        <w:t xml:space="preserve">Prepared as a working draft — figures and feature scope subject to change based on customer conversations.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2026-08-27T20:34:46.335Z</dcterms:created>
  <dcterms:modified xsi:type="dcterms:W3CDTF">2026-08-27T20:34:46.350Z</dcterms:modified>
</cp:coreProperties>
</file>

<file path=docProps/custom.xml><?xml version="1.0" encoding="utf-8"?>
<Properties xmlns="http://schemas.openxmlformats.org/officeDocument/2006/custom-properties" xmlns:vt="http://schemas.openxmlformats.org/officeDocument/2006/docPropsVTypes"/>
</file>