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1F3864"/>
          <w:sz w:val="26"/>
          <w:szCs w:val="26"/>
        </w:rPr>
        <w:t xml:space="preserve">SafeX Solutions</w:t>
      </w:r>
    </w:p>
    <w:p>
      <w:pPr>
        <w:spacing w:after="200"/>
      </w:pPr>
      <w:r>
        <w:rPr>
          <w:i/>
          <w:iCs/>
          <w:color w:val="595959"/>
          <w:sz w:val="20"/>
          <w:szCs w:val="20"/>
        </w:rPr>
        <w:t xml:space="preserve">Business Automation Research</w:t>
      </w:r>
    </w:p>
    <w:p>
      <w:pPr>
        <w:spacing w:after="60"/>
      </w:pPr>
      <w:r>
        <w:rPr>
          <w:b/>
          <w:bCs/>
          <w:color w:val="1F3864"/>
          <w:sz w:val="40"/>
          <w:szCs w:val="40"/>
        </w:rPr>
        <w:t xml:space="preserve">Week 2 Progress Report</w:t>
      </w:r>
    </w:p>
    <w:p>
      <w:pPr>
        <w:spacing w:after="200"/>
      </w:pPr>
      <w:r>
        <w:rPr>
          <w:color w:val="2E5496"/>
          <w:sz w:val="30"/>
          <w:szCs w:val="30"/>
        </w:rPr>
        <w:t xml:space="preserve">AI Email Assistant Prototype</w:t>
      </w:r>
    </w:p>
    <w:p>
      <w:pPr>
        <w:pBdr>
          <w:bottom w:val="single" w:color="2E5496" w:sz="6"/>
        </w:pBdr>
        <w:spacing w:after="160" w:before="60"/>
      </w:pPr>
      <w:r>
        <w:t xml:space="preserve"/>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1F3864" w:color="auto" w:val="clear"/>
            <w:tcMar>
              <w:top w:type="dxa" w:w="60"/>
              <w:left w:type="dxa" w:w="110"/>
              <w:bottom w:type="dxa" w:w="60"/>
              <w:right w:type="dxa" w:w="110"/>
            </w:tcMar>
          </w:tcPr>
          <w:p>
            <w:pPr>
              <w:jc w:val="left"/>
            </w:pPr>
            <w:r>
              <w:rPr>
                <w:b/>
                <w:bCs/>
                <w:color w:val="FFFFFF"/>
                <w:sz w:val="20"/>
                <w:szCs w:val="20"/>
              </w:rPr>
              <w:t xml:space="preserve">Field</w:t>
            </w:r>
          </w:p>
        </w:tc>
        <w:tc>
          <w:tcPr>
            <w:tcW w:type="dxa" w:w="6760"/>
            <w:shd w:fill="1F3864" w:color="auto" w:val="clear"/>
            <w:tcMar>
              <w:top w:type="dxa" w:w="60"/>
              <w:left w:type="dxa" w:w="110"/>
              <w:bottom w:type="dxa" w:w="60"/>
              <w:right w:type="dxa" w:w="110"/>
            </w:tcMar>
          </w:tcPr>
          <w:p>
            <w:pPr>
              <w:jc w:val="left"/>
            </w:pPr>
            <w:r>
              <w:rPr>
                <w:b/>
                <w:bCs/>
                <w:color w:val="FFFFFF"/>
                <w:sz w:val="20"/>
                <w:szCs w:val="20"/>
              </w:rPr>
              <w:t xml:space="preserve">Detail</w:t>
            </w:r>
          </w:p>
        </w:tc>
      </w:tr>
      <w:tr>
        <w:tc>
          <w:tcPr>
            <w:tcW w:type="dxa" w:w="2600"/>
            <w:shd w:fill="FFFFFF" w:color="auto" w:val="clear"/>
            <w:tcMar>
              <w:top w:type="dxa" w:w="55"/>
              <w:left w:type="dxa" w:w="110"/>
              <w:bottom w:type="dxa" w:w="55"/>
              <w:right w:type="dxa" w:w="110"/>
            </w:tcMar>
          </w:tcPr>
          <w:p>
            <w:r>
              <w:rPr>
                <w:b/>
                <w:bCs/>
                <w:sz w:val="20"/>
                <w:szCs w:val="20"/>
              </w:rPr>
              <w:t xml:space="preserve">Project</w:t>
            </w:r>
          </w:p>
        </w:tc>
        <w:tc>
          <w:tcPr>
            <w:tcW w:type="dxa" w:w="6760"/>
            <w:shd w:fill="FFFFFF" w:color="auto" w:val="clear"/>
            <w:tcMar>
              <w:top w:type="dxa" w:w="55"/>
              <w:left w:type="dxa" w:w="110"/>
              <w:bottom w:type="dxa" w:w="55"/>
              <w:right w:type="dxa" w:w="110"/>
            </w:tcMar>
          </w:tcPr>
          <w:p>
            <w:r>
              <w:rPr>
                <w:b w:val="false"/>
                <w:bCs w:val="false"/>
                <w:sz w:val="20"/>
                <w:szCs w:val="20"/>
              </w:rPr>
              <w:t xml:space="preserve">Business Automation Research</w:t>
            </w:r>
          </w:p>
        </w:tc>
      </w:tr>
      <w:tr>
        <w:tc>
          <w:tcPr>
            <w:tcW w:type="dxa" w:w="2600"/>
            <w:shd w:fill="F2F6FC" w:color="auto" w:val="clear"/>
            <w:tcMar>
              <w:top w:type="dxa" w:w="55"/>
              <w:left w:type="dxa" w:w="110"/>
              <w:bottom w:type="dxa" w:w="55"/>
              <w:right w:type="dxa" w:w="110"/>
            </w:tcMar>
          </w:tcPr>
          <w:p>
            <w:r>
              <w:rPr>
                <w:b/>
                <w:bCs/>
                <w:sz w:val="20"/>
                <w:szCs w:val="20"/>
              </w:rPr>
              <w:t xml:space="preserve">Organisation</w:t>
            </w:r>
          </w:p>
        </w:tc>
        <w:tc>
          <w:tcPr>
            <w:tcW w:type="dxa" w:w="6760"/>
            <w:shd w:fill="F2F6FC" w:color="auto" w:val="clear"/>
            <w:tcMar>
              <w:top w:type="dxa" w:w="55"/>
              <w:left w:type="dxa" w:w="110"/>
              <w:bottom w:type="dxa" w:w="55"/>
              <w:right w:type="dxa" w:w="110"/>
            </w:tcMar>
          </w:tcPr>
          <w:p>
            <w:r>
              <w:rPr>
                <w:b w:val="false"/>
                <w:bCs w:val="false"/>
                <w:sz w:val="20"/>
                <w:szCs w:val="20"/>
              </w:rPr>
              <w:t xml:space="preserve">SafeX Solutions</w:t>
            </w:r>
          </w:p>
        </w:tc>
      </w:tr>
      <w:tr>
        <w:tc>
          <w:tcPr>
            <w:tcW w:type="dxa" w:w="2600"/>
            <w:shd w:fill="FFFFFF" w:color="auto" w:val="clear"/>
            <w:tcMar>
              <w:top w:type="dxa" w:w="55"/>
              <w:left w:type="dxa" w:w="110"/>
              <w:bottom w:type="dxa" w:w="55"/>
              <w:right w:type="dxa" w:w="110"/>
            </w:tcMar>
          </w:tcPr>
          <w:p>
            <w:r>
              <w:rPr>
                <w:b/>
                <w:bCs/>
                <w:sz w:val="20"/>
                <w:szCs w:val="20"/>
              </w:rPr>
              <w:t xml:space="preserve">Module</w:t>
            </w:r>
          </w:p>
        </w:tc>
        <w:tc>
          <w:tcPr>
            <w:tcW w:type="dxa" w:w="6760"/>
            <w:shd w:fill="FFFFFF" w:color="auto" w:val="clear"/>
            <w:tcMar>
              <w:top w:type="dxa" w:w="55"/>
              <w:left w:type="dxa" w:w="110"/>
              <w:bottom w:type="dxa" w:w="55"/>
              <w:right w:type="dxa" w:w="110"/>
            </w:tcMar>
          </w:tcPr>
          <w:p>
            <w:r>
              <w:rPr>
                <w:b w:val="false"/>
                <w:bCs w:val="false"/>
                <w:sz w:val="20"/>
                <w:szCs w:val="20"/>
              </w:rPr>
              <w:t xml:space="preserve">AI Email Assistant Prototype (individual contribution)</w:t>
            </w:r>
          </w:p>
        </w:tc>
      </w:tr>
      <w:tr>
        <w:tc>
          <w:tcPr>
            <w:tcW w:type="dxa" w:w="2600"/>
            <w:shd w:fill="F2F6FC" w:color="auto" w:val="clear"/>
            <w:tcMar>
              <w:top w:type="dxa" w:w="55"/>
              <w:left w:type="dxa" w:w="110"/>
              <w:bottom w:type="dxa" w:w="55"/>
              <w:right w:type="dxa" w:w="110"/>
            </w:tcMar>
          </w:tcPr>
          <w:p>
            <w:r>
              <w:rPr>
                <w:b/>
                <w:bCs/>
                <w:sz w:val="20"/>
                <w:szCs w:val="20"/>
              </w:rPr>
              <w:t xml:space="preserve">Week</w:t>
            </w:r>
          </w:p>
        </w:tc>
        <w:tc>
          <w:tcPr>
            <w:tcW w:type="dxa" w:w="6760"/>
            <w:shd w:fill="F2F6FC" w:color="auto" w:val="clear"/>
            <w:tcMar>
              <w:top w:type="dxa" w:w="55"/>
              <w:left w:type="dxa" w:w="110"/>
              <w:bottom w:type="dxa" w:w="55"/>
              <w:right w:type="dxa" w:w="110"/>
            </w:tcMar>
          </w:tcPr>
          <w:p>
            <w:r>
              <w:rPr>
                <w:b w:val="false"/>
                <w:bCs w:val="false"/>
                <w:sz w:val="20"/>
                <w:szCs w:val="20"/>
              </w:rPr>
              <w:t xml:space="preserve">2</w:t>
            </w:r>
          </w:p>
        </w:tc>
      </w:tr>
      <w:tr>
        <w:tc>
          <w:tcPr>
            <w:tcW w:type="dxa" w:w="2600"/>
            <w:shd w:fill="FFFFFF" w:color="auto" w:val="clear"/>
            <w:tcMar>
              <w:top w:type="dxa" w:w="55"/>
              <w:left w:type="dxa" w:w="110"/>
              <w:bottom w:type="dxa" w:w="55"/>
              <w:right w:type="dxa" w:w="110"/>
            </w:tcMar>
          </w:tcPr>
          <w:p>
            <w:r>
              <w:rPr>
                <w:b/>
                <w:bCs/>
                <w:sz w:val="20"/>
                <w:szCs w:val="20"/>
              </w:rPr>
              <w:t xml:space="preserve">Deliverable status</w:t>
            </w:r>
          </w:p>
        </w:tc>
        <w:tc>
          <w:tcPr>
            <w:tcW w:type="dxa" w:w="6760"/>
            <w:shd w:fill="FFFFFF" w:color="auto" w:val="clear"/>
            <w:tcMar>
              <w:top w:type="dxa" w:w="55"/>
              <w:left w:type="dxa" w:w="110"/>
              <w:bottom w:type="dxa" w:w="55"/>
              <w:right w:type="dxa" w:w="110"/>
            </w:tcMar>
          </w:tcPr>
          <w:p>
            <w:r>
              <w:rPr>
                <w:b w:val="false"/>
                <w:bCs w:val="false"/>
                <w:sz w:val="20"/>
                <w:szCs w:val="20"/>
              </w:rPr>
              <w:t xml:space="preserve">Code, dataset, notebook and documentation complete</w:t>
            </w:r>
          </w:p>
        </w:tc>
      </w:tr>
    </w:tbl>
    <w:p>
      <w:pPr>
        <w:spacing w:after="160"/>
      </w:pPr>
    </w:p>
    <w:p>
      <w:pPr>
        <w:pStyle w:val="Heading1"/>
        <w:spacing w:after="120" w:before="300"/>
      </w:pPr>
      <w:r>
        <w:rPr>
          <w:b/>
          <w:bCs/>
          <w:color w:val="1F3864"/>
          <w:sz w:val="30"/>
          <w:szCs w:val="30"/>
        </w:rPr>
        <w:t xml:space="preserve">1.  Objective</w:t>
      </w:r>
    </w:p>
    <w:p>
      <w:pPr>
        <w:spacing w:after="120" w:line="276"/>
        <w:jc w:val="both"/>
      </w:pPr>
      <w:r>
        <w:rPr>
          <w:sz w:val="21"/>
          <w:szCs w:val="21"/>
        </w:rPr>
        <w:t xml:space="preserve">Week 1 delivered a group FAQ chatbot for the SafeX website. Week 2's task was to take one component of the automation research forward individually: a prototype that drafts reply suggestions for common customer emails.</w:t>
      </w:r>
    </w:p>
    <w:p>
      <w:pPr>
        <w:spacing w:after="120" w:line="276"/>
        <w:jc w:val="both"/>
      </w:pPr>
      <w:r>
        <w:rPr>
          <w:sz w:val="21"/>
          <w:szCs w:val="21"/>
        </w:rPr>
        <w:t xml:space="preserve">The website chatbot handles a visitor who is already on the site. The inbox is the other half of the same problem, and the more expensive half, because a person writes every reply by hand.</w:t>
      </w:r>
    </w:p>
    <w:p>
      <w:pPr>
        <w:pStyle w:val="Heading1"/>
        <w:spacing w:after="120" w:before="300"/>
      </w:pPr>
      <w:r>
        <w:rPr>
          <w:b/>
          <w:bCs/>
          <w:color w:val="1F3864"/>
          <w:sz w:val="30"/>
          <w:szCs w:val="30"/>
        </w:rPr>
        <w:t xml:space="preserve">2.  What was built</w:t>
      </w:r>
    </w:p>
    <w:p>
      <w:pPr>
        <w:spacing w:after="120" w:line="276"/>
        <w:jc w:val="both"/>
      </w:pPr>
      <w:r>
        <w:rPr>
          <w:sz w:val="21"/>
          <w:szCs w:val="21"/>
        </w:rPr>
        <w:t xml:space="preserve">A complete, runnable module (email_assistant/) with five parts:</w:t>
      </w:r>
    </w:p>
    <w:p>
      <w:pPr>
        <w:pStyle w:val="ListParagraph"/>
        <w:numPr>
          <w:ilvl w:val="0"/>
          <w:numId w:val="1"/>
        </w:numPr>
        <w:spacing w:after="80" w:line="268"/>
      </w:pPr>
      <w:r>
        <w:rPr>
          <w:b/>
          <w:bCs/>
          <w:sz w:val="21"/>
          <w:szCs w:val="21"/>
        </w:rPr>
        <w:t xml:space="preserve">Feature extraction </w:t>
      </w:r>
      <w:r>
        <w:rPr>
          <w:sz w:val="21"/>
          <w:szCs w:val="21"/>
        </w:rPr>
        <w:t xml:space="preserve">(extractor.py) — regex plus a service lexicon pull sender name, services mentioned, invoice numbers, amounts, quantities, dates and times out of raw email text, plus urgency and sentiment signals. spaCy NER is used automatically if installed, but is not required.</w:t>
      </w:r>
    </w:p>
    <w:p>
      <w:pPr>
        <w:pStyle w:val="ListParagraph"/>
        <w:numPr>
          <w:ilvl w:val="0"/>
          <w:numId w:val="1"/>
        </w:numPr>
        <w:spacing w:after="80" w:line="268"/>
      </w:pPr>
      <w:r>
        <w:rPr>
          <w:b/>
          <w:bCs/>
          <w:sz w:val="21"/>
          <w:szCs w:val="21"/>
        </w:rPr>
        <w:t xml:space="preserve">Hybrid intent classifier </w:t>
      </w:r>
      <w:r>
        <w:rPr>
          <w:sz w:val="21"/>
          <w:szCs w:val="21"/>
        </w:rPr>
        <w:t xml:space="preserve">(intent_classifier.py) — 128 weighted regex patterns across 13 intents, blended 0.6/0.4 with a TF-IDF (word 1–2 grams + character 3–5 grams) Logistic Regression model. Rules give explainable, dependable behaviour on the intents where a misroute is expensive; the ML layer generalises to phrasings no rule anticipated. Classification is fully local — no API call.</w:t>
      </w:r>
    </w:p>
    <w:p>
      <w:pPr>
        <w:pStyle w:val="ListParagraph"/>
        <w:numPr>
          <w:ilvl w:val="0"/>
          <w:numId w:val="1"/>
        </w:numPr>
        <w:spacing w:after="80" w:line="268"/>
      </w:pPr>
      <w:r>
        <w:rPr>
          <w:b/>
          <w:bCs/>
          <w:sz w:val="21"/>
          <w:szCs w:val="21"/>
        </w:rPr>
        <w:t xml:space="preserve">Template engine </w:t>
      </w:r>
      <w:r>
        <w:rPr>
          <w:sz w:val="21"/>
          <w:szCs w:val="21"/>
        </w:rPr>
        <w:t xml:space="preserve">(templates.py) — 14 approved reply templates covering the 13 intents, each filled with the specifics extracted from the customer's own email. Billing splits into two variants because "what payment methods do you accept" and "you charged me twice" are the same intent but demand opposite replies; the extractor's refund signal picks between them.</w:t>
      </w:r>
    </w:p>
    <w:p>
      <w:pPr>
        <w:pStyle w:val="ListParagraph"/>
        <w:numPr>
          <w:ilvl w:val="0"/>
          <w:numId w:val="1"/>
        </w:numPr>
        <w:spacing w:after="80" w:line="268"/>
      </w:pPr>
      <w:r>
        <w:rPr>
          <w:b/>
          <w:bCs/>
          <w:sz w:val="21"/>
          <w:szCs w:val="21"/>
        </w:rPr>
        <w:t xml:space="preserve">Orchestrator </w:t>
      </w:r>
      <w:r>
        <w:rPr>
          <w:sz w:val="21"/>
          <w:szCs w:val="21"/>
        </w:rPr>
        <w:t xml:space="preserve">(assistant.py) — runs the pipeline, optionally sends the template to Groq's free Llama 3.3 70B tier to be rewritten into natural prose, then computes a priority score and a routing decision.</w:t>
      </w:r>
    </w:p>
    <w:p>
      <w:pPr>
        <w:pStyle w:val="ListParagraph"/>
        <w:numPr>
          <w:ilvl w:val="0"/>
          <w:numId w:val="1"/>
        </w:numPr>
        <w:spacing w:after="80" w:line="268"/>
      </w:pPr>
      <w:r>
        <w:rPr>
          <w:b/>
          <w:bCs/>
          <w:sz w:val="21"/>
          <w:szCs w:val="21"/>
        </w:rPr>
        <w:t xml:space="preserve">Service layer </w:t>
      </w:r>
      <w:r>
        <w:rPr>
          <w:sz w:val="21"/>
          <w:szCs w:val="21"/>
        </w:rPr>
        <w:t xml:space="preserve">(api.py, demo.html) — FastAPI with /draft, /batch, /samples, /health and a /webhook/email integration stub, plus a browser UI that processes the whole sample inbox and shows the triage queue.</w:t>
      </w:r>
    </w:p>
    <w:p>
      <w:pPr>
        <w:spacing w:after="120" w:line="276"/>
        <w:jc w:val="both"/>
      </w:pPr>
      <w:r>
        <w:rPr>
          <w:sz w:val="21"/>
          <w:szCs w:val="21"/>
        </w:rPr>
        <w:t xml:space="preserve">Supporting deliverables: a labelled 40-email dataset, a 14-email holdout set, an executed Jupyter notebook, and a console demo script.</w:t>
      </w:r>
    </w:p>
    <w:p>
      <w:pPr>
        <w:pBdr>
          <w:top w:val="single" w:color="2E5496" w:sz="4"/>
          <w:bottom w:val="single" w:color="2E5496" w:sz="4"/>
          <w:left w:val="single" w:color="2E5496" w:sz="4"/>
          <w:right w:val="single" w:color="2E5496" w:sz="4"/>
        </w:pBdr>
        <w:shd w:fill="EAF0F8" w:color="auto" w:val="clear"/>
        <w:spacing w:after="160" w:before="120"/>
        <w:jc w:val="center"/>
      </w:pPr>
      <w:r>
        <w:rPr>
          <w:rFonts w:ascii="Consolas" w:cs="Consolas" w:eastAsia="Consolas" w:hAnsi="Consolas"/>
          <w:b/>
          <w:bCs/>
          <w:color w:val="1F3864"/>
          <w:sz w:val="20"/>
          <w:szCs w:val="20"/>
        </w:rPr>
        <w:t xml:space="preserve">raw email  →  extract  →  classify  →  template  →  LLM polish  →  priority + routing</w:t>
      </w:r>
    </w:p>
    <w:p>
      <w:pPr>
        <w:pStyle w:val="Heading1"/>
        <w:spacing w:after="120" w:before="300"/>
      </w:pPr>
      <w:r>
        <w:rPr>
          <w:b/>
          <w:bCs/>
          <w:color w:val="1F3864"/>
          <w:sz w:val="30"/>
          <w:szCs w:val="30"/>
        </w:rPr>
        <w:t xml:space="preserve">3.  Key design decision</w:t>
      </w:r>
    </w:p>
    <w:p>
      <w:pPr>
        <w:spacing w:after="120" w:line="276"/>
        <w:jc w:val="both"/>
      </w:pPr>
      <w:r>
        <w:rPr>
          <w:b/>
          <w:bCs/>
          <w:color w:val="2E5496"/>
          <w:sz w:val="21"/>
          <w:szCs w:val="21"/>
        </w:rPr>
        <w:t xml:space="preserve">The LLM rewrites; it does not author.</w:t>
      </w:r>
    </w:p>
    <w:p>
      <w:pPr>
        <w:spacing w:after="120" w:line="276"/>
        <w:jc w:val="both"/>
      </w:pPr>
      <w:r>
        <w:rPr>
          <w:sz w:val="21"/>
          <w:szCs w:val="21"/>
        </w:rPr>
        <w:t xml:space="preserve">The obvious build is "send the email to an LLM, ask for a reply". That was rejected. An LLM writing customer email unsupervised will eventually quote a price, promise a delivery date, or invent a capability, and a company is bound by what its emails say.</w:t>
      </w:r>
    </w:p>
    <w:p>
      <w:pPr>
        <w:spacing w:after="120" w:line="276"/>
        <w:jc w:val="both"/>
      </w:pPr>
      <w:r>
        <w:rPr>
          <w:sz w:val="21"/>
          <w:szCs w:val="21"/>
        </w:rPr>
        <w:t xml:space="preserve">Instead the template is produced first, deterministically, from facts SafeX has approved. The LLM receives that template and is instructed to rewrite it naturally while preserving every commitment, using only facts already present. If the API is down, rate-limited, or unconfigured, the template draft is returned as-is.</w:t>
      </w:r>
    </w:p>
    <w:p>
      <w:pPr>
        <w:spacing w:after="120" w:line="276"/>
        <w:jc w:val="both"/>
      </w:pPr>
      <w:r>
        <w:rPr>
          <w:b/>
          <w:bCs/>
          <w:sz w:val="21"/>
          <w:szCs w:val="21"/>
        </w:rPr>
        <w:t xml:space="preserve">The practical consequence: the module cannot say anything SafeX has not already agreed to say, and it never fails to produce a draft.</w:t>
      </w:r>
    </w:p>
    <w:p>
      <w:pPr>
        <w:pStyle w:val="Heading1"/>
        <w:spacing w:after="120" w:before="300"/>
      </w:pPr>
      <w:r>
        <w:rPr>
          <w:b/>
          <w:bCs/>
          <w:color w:val="1F3864"/>
          <w:sz w:val="30"/>
          <w:szCs w:val="30"/>
        </w:rPr>
        <w:t xml:space="preserve">4.  Results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700"/>
        <w:gridCol w:w="4660"/>
      </w:tblGrid>
      <w:tr>
        <w:trPr>
          <w:tblHeader/>
        </w:trPr>
        <w:tc>
          <w:tcPr>
            <w:tcW w:type="dxa" w:w="4700"/>
            <w:shd w:fill="1F3864" w:color="auto" w:val="clear"/>
            <w:tcMar>
              <w:top w:type="dxa" w:w="60"/>
              <w:left w:type="dxa" w:w="110"/>
              <w:bottom w:type="dxa" w:w="60"/>
              <w:right w:type="dxa" w:w="110"/>
            </w:tcMar>
          </w:tcPr>
          <w:p>
            <w:pPr>
              <w:jc w:val="left"/>
            </w:pPr>
            <w:r>
              <w:rPr>
                <w:b/>
                <w:bCs/>
                <w:color w:val="FFFFFF"/>
                <w:sz w:val="20"/>
                <w:szCs w:val="20"/>
              </w:rPr>
              <w:t xml:space="preserve">Measure</w:t>
            </w:r>
          </w:p>
        </w:tc>
        <w:tc>
          <w:tcPr>
            <w:tcW w:type="dxa" w:w="4660"/>
            <w:shd w:fill="1F3864" w:color="auto" w:val="clear"/>
            <w:tcMar>
              <w:top w:type="dxa" w:w="60"/>
              <w:left w:type="dxa" w:w="110"/>
              <w:bottom w:type="dxa" w:w="60"/>
              <w:right w:type="dxa" w:w="110"/>
            </w:tcMar>
          </w:tcPr>
          <w:p>
            <w:pPr>
              <w:jc w:val="left"/>
            </w:pPr>
            <w:r>
              <w:rPr>
                <w:b/>
                <w:bCs/>
                <w:color w:val="FFFFFF"/>
                <w:sz w:val="20"/>
                <w:szCs w:val="20"/>
              </w:rPr>
              <w:t xml:space="preserve">Result</w:t>
            </w:r>
          </w:p>
        </w:tc>
      </w:tr>
      <w:tr>
        <w:tc>
          <w:tcPr>
            <w:tcW w:type="dxa" w:w="4700"/>
            <w:shd w:fill="FFFFFF" w:color="auto" w:val="clear"/>
            <w:tcMar>
              <w:top w:type="dxa" w:w="55"/>
              <w:left w:type="dxa" w:w="110"/>
              <w:bottom w:type="dxa" w:w="55"/>
              <w:right w:type="dxa" w:w="110"/>
            </w:tcMar>
          </w:tcPr>
          <w:p>
            <w:r>
              <w:rPr>
                <w:b/>
                <w:bCs/>
                <w:sz w:val="20"/>
                <w:szCs w:val="20"/>
              </w:rPr>
              <w:t xml:space="preserve">Intents supported</w:t>
            </w:r>
          </w:p>
        </w:tc>
        <w:tc>
          <w:tcPr>
            <w:tcW w:type="dxa" w:w="4660"/>
            <w:shd w:fill="FFFFFF" w:color="auto" w:val="clear"/>
            <w:tcMar>
              <w:top w:type="dxa" w:w="55"/>
              <w:left w:type="dxa" w:w="110"/>
              <w:bottom w:type="dxa" w:w="55"/>
              <w:right w:type="dxa" w:w="110"/>
            </w:tcMar>
          </w:tcPr>
          <w:p>
            <w:r>
              <w:rPr>
                <w:b w:val="false"/>
                <w:bCs w:val="false"/>
                <w:sz w:val="20"/>
                <w:szCs w:val="20"/>
              </w:rPr>
              <w:t xml:space="preserve">13</w:t>
            </w:r>
          </w:p>
        </w:tc>
      </w:tr>
      <w:tr>
        <w:tc>
          <w:tcPr>
            <w:tcW w:type="dxa" w:w="4700"/>
            <w:shd w:fill="F2F6FC" w:color="auto" w:val="clear"/>
            <w:tcMar>
              <w:top w:type="dxa" w:w="55"/>
              <w:left w:type="dxa" w:w="110"/>
              <w:bottom w:type="dxa" w:w="55"/>
              <w:right w:type="dxa" w:w="110"/>
            </w:tcMar>
          </w:tcPr>
          <w:p>
            <w:r>
              <w:rPr>
                <w:b/>
                <w:bCs/>
                <w:sz w:val="20"/>
                <w:szCs w:val="20"/>
              </w:rPr>
              <w:t xml:space="preserve">Labelled corpus</w:t>
            </w:r>
          </w:p>
        </w:tc>
        <w:tc>
          <w:tcPr>
            <w:tcW w:type="dxa" w:w="4660"/>
            <w:shd w:fill="F2F6FC" w:color="auto" w:val="clear"/>
            <w:tcMar>
              <w:top w:type="dxa" w:w="55"/>
              <w:left w:type="dxa" w:w="110"/>
              <w:bottom w:type="dxa" w:w="55"/>
              <w:right w:type="dxa" w:w="110"/>
            </w:tcMar>
          </w:tcPr>
          <w:p>
            <w:r>
              <w:rPr>
                <w:b w:val="false"/>
                <w:bCs w:val="false"/>
                <w:sz w:val="20"/>
                <w:szCs w:val="20"/>
              </w:rPr>
              <w:t xml:space="preserve">40 emails</w:t>
            </w:r>
          </w:p>
        </w:tc>
      </w:tr>
      <w:tr>
        <w:tc>
          <w:tcPr>
            <w:tcW w:type="dxa" w:w="4700"/>
            <w:shd w:fill="FFFFFF" w:color="auto" w:val="clear"/>
            <w:tcMar>
              <w:top w:type="dxa" w:w="55"/>
              <w:left w:type="dxa" w:w="110"/>
              <w:bottom w:type="dxa" w:w="55"/>
              <w:right w:type="dxa" w:w="110"/>
            </w:tcMar>
          </w:tcPr>
          <w:p>
            <w:r>
              <w:rPr>
                <w:b/>
                <w:bCs/>
                <w:sz w:val="20"/>
                <w:szCs w:val="20"/>
              </w:rPr>
              <w:t xml:space="preserve">Accuracy on labelled corpus</w:t>
            </w:r>
          </w:p>
        </w:tc>
        <w:tc>
          <w:tcPr>
            <w:tcW w:type="dxa" w:w="4660"/>
            <w:shd w:fill="FFFFFF" w:color="auto" w:val="clear"/>
            <w:tcMar>
              <w:top w:type="dxa" w:w="55"/>
              <w:left w:type="dxa" w:w="110"/>
              <w:bottom w:type="dxa" w:w="55"/>
              <w:right w:type="dxa" w:w="110"/>
            </w:tcMar>
          </w:tcPr>
          <w:p>
            <w:r>
              <w:rPr>
                <w:b w:val="false"/>
                <w:bCs w:val="false"/>
                <w:sz w:val="20"/>
                <w:szCs w:val="20"/>
              </w:rPr>
              <w:t xml:space="preserve">100% (optimistic — rules written against it)</w:t>
            </w:r>
          </w:p>
        </w:tc>
      </w:tr>
      <w:tr>
        <w:tc>
          <w:tcPr>
            <w:tcW w:type="dxa" w:w="4700"/>
            <w:shd w:fill="F2F6FC" w:color="auto" w:val="clear"/>
            <w:tcMar>
              <w:top w:type="dxa" w:w="55"/>
              <w:left w:type="dxa" w:w="110"/>
              <w:bottom w:type="dxa" w:w="55"/>
              <w:right w:type="dxa" w:w="110"/>
            </w:tcMar>
          </w:tcPr>
          <w:p>
            <w:r>
              <w:rPr>
                <w:b/>
                <w:bCs/>
                <w:sz w:val="20"/>
                <w:szCs w:val="20"/>
              </w:rPr>
              <w:t xml:space="preserve">Leave-one-out cross-validation</w:t>
            </w:r>
          </w:p>
        </w:tc>
        <w:tc>
          <w:tcPr>
            <w:tcW w:type="dxa" w:w="4660"/>
            <w:shd w:fill="F2F6FC" w:color="auto" w:val="clear"/>
            <w:tcMar>
              <w:top w:type="dxa" w:w="55"/>
              <w:left w:type="dxa" w:w="110"/>
              <w:bottom w:type="dxa" w:w="55"/>
              <w:right w:type="dxa" w:w="110"/>
            </w:tcMar>
          </w:tcPr>
          <w:p>
            <w:r>
              <w:rPr>
                <w:b w:val="false"/>
                <w:bCs w:val="false"/>
                <w:sz w:val="20"/>
                <w:szCs w:val="20"/>
              </w:rPr>
              <w:t xml:space="preserve">100%</w:t>
            </w:r>
          </w:p>
        </w:tc>
      </w:tr>
      <w:tr>
        <w:tc>
          <w:tcPr>
            <w:tcW w:type="dxa" w:w="4700"/>
            <w:shd w:fill="FFFFFF" w:color="auto" w:val="clear"/>
            <w:tcMar>
              <w:top w:type="dxa" w:w="55"/>
              <w:left w:type="dxa" w:w="110"/>
              <w:bottom w:type="dxa" w:w="55"/>
              <w:right w:type="dxa" w:w="110"/>
            </w:tcMar>
          </w:tcPr>
          <w:p>
            <w:r>
              <w:rPr>
                <w:b/>
                <w:bCs/>
                <w:sz w:val="20"/>
                <w:szCs w:val="20"/>
              </w:rPr>
              <w:t xml:space="preserve">Holdout set, first run</w:t>
            </w:r>
          </w:p>
        </w:tc>
        <w:tc>
          <w:tcPr>
            <w:tcW w:type="dxa" w:w="4660"/>
            <w:shd w:fill="FFFFFF" w:color="auto" w:val="clear"/>
            <w:tcMar>
              <w:top w:type="dxa" w:w="55"/>
              <w:left w:type="dxa" w:w="110"/>
              <w:bottom w:type="dxa" w:w="55"/>
              <w:right w:type="dxa" w:w="110"/>
            </w:tcMar>
          </w:tcPr>
          <w:p>
            <w:r>
              <w:rPr>
                <w:b w:val="false"/>
                <w:bCs w:val="false"/>
                <w:sz w:val="20"/>
                <w:szCs w:val="20"/>
              </w:rPr>
              <w:t xml:space="preserve">64.3% (9/14) — the honest out-of-sample figure</w:t>
            </w:r>
          </w:p>
        </w:tc>
      </w:tr>
      <w:tr>
        <w:tc>
          <w:tcPr>
            <w:tcW w:type="dxa" w:w="4700"/>
            <w:shd w:fill="F2F6FC" w:color="auto" w:val="clear"/>
            <w:tcMar>
              <w:top w:type="dxa" w:w="55"/>
              <w:left w:type="dxa" w:w="110"/>
              <w:bottom w:type="dxa" w:w="55"/>
              <w:right w:type="dxa" w:w="110"/>
            </w:tcMar>
          </w:tcPr>
          <w:p>
            <w:r>
              <w:rPr>
                <w:b/>
                <w:bCs/>
                <w:sz w:val="20"/>
                <w:szCs w:val="20"/>
              </w:rPr>
              <w:t xml:space="preserve">Holdout after rule tuning</w:t>
            </w:r>
          </w:p>
        </w:tc>
        <w:tc>
          <w:tcPr>
            <w:tcW w:type="dxa" w:w="4660"/>
            <w:shd w:fill="F2F6FC" w:color="auto" w:val="clear"/>
            <w:tcMar>
              <w:top w:type="dxa" w:w="55"/>
              <w:left w:type="dxa" w:w="110"/>
              <w:bottom w:type="dxa" w:w="55"/>
              <w:right w:type="dxa" w:w="110"/>
            </w:tcMar>
          </w:tcPr>
          <w:p>
            <w:r>
              <w:rPr>
                <w:b w:val="false"/>
                <w:bCs w:val="false"/>
                <w:sz w:val="20"/>
                <w:szCs w:val="20"/>
              </w:rPr>
              <w:t xml:space="preserve">100% (fair for today's rules, no longer clean)</w:t>
            </w:r>
          </w:p>
        </w:tc>
      </w:tr>
      <w:tr>
        <w:tc>
          <w:tcPr>
            <w:tcW w:type="dxa" w:w="4700"/>
            <w:shd w:fill="FFFFFF" w:color="auto" w:val="clear"/>
            <w:tcMar>
              <w:top w:type="dxa" w:w="55"/>
              <w:left w:type="dxa" w:w="110"/>
              <w:bottom w:type="dxa" w:w="55"/>
              <w:right w:type="dxa" w:w="110"/>
            </w:tcMar>
          </w:tcPr>
          <w:p>
            <w:r>
              <w:rPr>
                <w:b/>
                <w:bCs/>
                <w:sz w:val="20"/>
                <w:szCs w:val="20"/>
              </w:rPr>
              <w:t xml:space="preserve">Throughput (template mode)</w:t>
            </w:r>
          </w:p>
        </w:tc>
        <w:tc>
          <w:tcPr>
            <w:tcW w:type="dxa" w:w="4660"/>
            <w:shd w:fill="FFFFFF" w:color="auto" w:val="clear"/>
            <w:tcMar>
              <w:top w:type="dxa" w:w="55"/>
              <w:left w:type="dxa" w:w="110"/>
              <w:bottom w:type="dxa" w:w="55"/>
              <w:right w:type="dxa" w:w="110"/>
            </w:tcMar>
          </w:tcPr>
          <w:p>
            <w:r>
              <w:rPr>
                <w:b w:val="false"/>
                <w:bCs w:val="false"/>
                <w:sz w:val="20"/>
                <w:szCs w:val="20"/>
              </w:rPr>
              <w:t xml:space="preserve">1–2 ms per email</w:t>
            </w:r>
          </w:p>
        </w:tc>
      </w:tr>
      <w:tr>
        <w:tc>
          <w:tcPr>
            <w:tcW w:type="dxa" w:w="4700"/>
            <w:shd w:fill="F2F6FC" w:color="auto" w:val="clear"/>
            <w:tcMar>
              <w:top w:type="dxa" w:w="55"/>
              <w:left w:type="dxa" w:w="110"/>
              <w:bottom w:type="dxa" w:w="55"/>
              <w:right w:type="dxa" w:w="110"/>
            </w:tcMar>
          </w:tcPr>
          <w:p>
            <w:r>
              <w:rPr>
                <w:b/>
                <w:bCs/>
                <w:sz w:val="20"/>
                <w:szCs w:val="20"/>
              </w:rPr>
              <w:t xml:space="preserve">Throughput (LLM polish)</w:t>
            </w:r>
          </w:p>
        </w:tc>
        <w:tc>
          <w:tcPr>
            <w:tcW w:type="dxa" w:w="4660"/>
            <w:shd w:fill="F2F6FC" w:color="auto" w:val="clear"/>
            <w:tcMar>
              <w:top w:type="dxa" w:w="55"/>
              <w:left w:type="dxa" w:w="110"/>
              <w:bottom w:type="dxa" w:w="55"/>
              <w:right w:type="dxa" w:w="110"/>
            </w:tcMar>
          </w:tcPr>
          <w:p>
            <w:r>
              <w:rPr>
                <w:b w:val="false"/>
                <w:bCs w:val="false"/>
                <w:sz w:val="20"/>
                <w:szCs w:val="20"/>
              </w:rPr>
              <w:t xml:space="preserve">~1–2 s per email</w:t>
            </w:r>
          </w:p>
        </w:tc>
      </w:tr>
      <w:tr>
        <w:tc>
          <w:tcPr>
            <w:tcW w:type="dxa" w:w="4700"/>
            <w:shd w:fill="FFFFFF" w:color="auto" w:val="clear"/>
            <w:tcMar>
              <w:top w:type="dxa" w:w="55"/>
              <w:left w:type="dxa" w:w="110"/>
              <w:bottom w:type="dxa" w:w="55"/>
              <w:right w:type="dxa" w:w="110"/>
            </w:tcMar>
          </w:tcPr>
          <w:p>
            <w:r>
              <w:rPr>
                <w:b/>
                <w:bCs/>
                <w:sz w:val="20"/>
                <w:szCs w:val="20"/>
              </w:rPr>
              <w:t xml:space="preserve">Sample inbox flagged for review</w:t>
            </w:r>
          </w:p>
        </w:tc>
        <w:tc>
          <w:tcPr>
            <w:tcW w:type="dxa" w:w="4660"/>
            <w:shd w:fill="FFFFFF" w:color="auto" w:val="clear"/>
            <w:tcMar>
              <w:top w:type="dxa" w:w="55"/>
              <w:left w:type="dxa" w:w="110"/>
              <w:bottom w:type="dxa" w:w="55"/>
              <w:right w:type="dxa" w:w="110"/>
            </w:tcMar>
          </w:tcPr>
          <w:p>
            <w:r>
              <w:rPr>
                <w:b w:val="false"/>
                <w:bCs w:val="false"/>
                <w:sz w:val="20"/>
                <w:szCs w:val="20"/>
              </w:rPr>
              <w:t xml:space="preserve">11 of 40 (28%)</w:t>
            </w:r>
          </w:p>
        </w:tc>
      </w:tr>
    </w:tbl>
    <w:p>
      <w:pPr>
        <w:spacing w:after="100"/>
      </w:pPr>
    </w:p>
    <w:p>
      <w:pPr>
        <w:spacing w:after="120" w:line="276"/>
        <w:jc w:val="both"/>
      </w:pPr>
      <w:r>
        <w:rPr>
          <w:sz w:val="21"/>
          <w:szCs w:val="21"/>
        </w:rPr>
        <w:t xml:space="preserve">The holdout result is the number worth reporting honestly. Fourteen emails were written after the classifier was finished, deliberately paraphrased so they shared little vocabulary with the training data. The first run scored 64.3%. Every failure was a rule coverage gap rather than faulty logic — no pattern existed for "still on schedule", "pretending to be our director", "second message", "bring you in", or "training programme". Those patterns were added and the set now passes, but because the errors were inspected first, the tuned score cannot be treated as clean. Real performance on genuinely new phrasing sits between the two, and the fix is a real corpus of tickets, not more hand-written regex.</w:t>
      </w:r>
    </w:p>
    <w:p>
      <w:pPr>
        <w:pStyle w:val="Heading1"/>
        <w:spacing w:after="120" w:before="300"/>
      </w:pPr>
      <w:r>
        <w:rPr>
          <w:b/>
          <w:bCs/>
          <w:color w:val="1F3864"/>
          <w:sz w:val="30"/>
          <w:szCs w:val="30"/>
        </w:rPr>
        <w:t xml:space="preserve">5.  How this is useful to SafeX</w:t>
      </w:r>
    </w:p>
    <w:p>
      <w:pPr>
        <w:pStyle w:val="ListParagraph"/>
        <w:numPr>
          <w:ilvl w:val="0"/>
          <w:numId w:val="1"/>
        </w:numPr>
        <w:spacing w:after="80" w:line="268"/>
      </w:pPr>
      <w:r>
        <w:rPr>
          <w:b/>
          <w:bCs/>
          <w:sz w:val="21"/>
          <w:szCs w:val="21"/>
        </w:rPr>
        <w:t xml:space="preserve">The 72% that is draft-ready. </w:t>
      </w:r>
      <w:r>
        <w:rPr>
          <w:sz w:val="21"/>
          <w:szCs w:val="21"/>
        </w:rPr>
        <w:t xml:space="preserve">Routine enquiries — pricing, quotes, service questions, meetings, careers — come back as complete drafts an agent skims and sends, rather than writes.</w:t>
      </w:r>
    </w:p>
    <w:p>
      <w:pPr>
        <w:pStyle w:val="ListParagraph"/>
        <w:numPr>
          <w:ilvl w:val="0"/>
          <w:numId w:val="1"/>
        </w:numPr>
        <w:spacing w:after="80" w:line="268"/>
      </w:pPr>
      <w:r>
        <w:rPr>
          <w:b/>
          <w:bCs/>
          <w:sz w:val="21"/>
          <w:szCs w:val="21"/>
        </w:rPr>
        <w:t xml:space="preserve">Triage by priority, not by timestamp. </w:t>
      </w:r>
      <w:r>
        <w:rPr>
          <w:sz w:val="21"/>
          <w:szCs w:val="21"/>
        </w:rPr>
        <w:t xml:space="preserve">A ransomware report sits at 100 and an internship CV at 20. Working the queue top-down means the expensive emails are seen first.</w:t>
      </w:r>
    </w:p>
    <w:p>
      <w:pPr>
        <w:pStyle w:val="ListParagraph"/>
        <w:numPr>
          <w:ilvl w:val="0"/>
          <w:numId w:val="1"/>
        </w:numPr>
        <w:spacing w:after="80" w:line="268"/>
      </w:pPr>
      <w:r>
        <w:rPr>
          <w:b/>
          <w:bCs/>
          <w:sz w:val="21"/>
          <w:szCs w:val="21"/>
        </w:rPr>
        <w:t xml:space="preserve">Consistency. </w:t>
      </w:r>
      <w:r>
        <w:rPr>
          <w:sz w:val="21"/>
          <w:szCs w:val="21"/>
        </w:rPr>
        <w:t xml:space="preserve">Every complaint gets the same structured, accountable response regardless of who is on shift.</w:t>
      </w:r>
    </w:p>
    <w:p>
      <w:pPr>
        <w:pStyle w:val="ListParagraph"/>
        <w:numPr>
          <w:ilvl w:val="0"/>
          <w:numId w:val="1"/>
        </w:numPr>
        <w:spacing w:after="80" w:line="268"/>
      </w:pPr>
      <w:r>
        <w:rPr>
          <w:b/>
          <w:bCs/>
          <w:sz w:val="21"/>
          <w:szCs w:val="21"/>
        </w:rPr>
        <w:t xml:space="preserve">Reuse. </w:t>
      </w:r>
      <w:r>
        <w:rPr>
          <w:sz w:val="21"/>
          <w:szCs w:val="21"/>
        </w:rPr>
        <w:t xml:space="preserve">The same classify-then-draft pipeline serves WhatsApp Business API or Twilio SMS by swapping the transport layer.</w:t>
      </w:r>
    </w:p>
    <w:p>
      <w:pPr>
        <w:pStyle w:val="Heading1"/>
        <w:spacing w:after="120" w:before="300"/>
      </w:pPr>
      <w:r>
        <w:rPr>
          <w:b/>
          <w:bCs/>
          <w:color w:val="1F3864"/>
          <w:sz w:val="30"/>
          <w:szCs w:val="30"/>
        </w:rPr>
        <w:t xml:space="preserve">6.  Challenges and how they were handled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5160"/>
      </w:tblGrid>
      <w:tr>
        <w:trPr>
          <w:tblHeader/>
        </w:trPr>
        <w:tc>
          <w:tcPr>
            <w:tcW w:type="dxa" w:w="4200"/>
            <w:shd w:fill="1F3864" w:color="auto" w:val="clear"/>
            <w:tcMar>
              <w:top w:type="dxa" w:w="60"/>
              <w:left w:type="dxa" w:w="110"/>
              <w:bottom w:type="dxa" w:w="60"/>
              <w:right w:type="dxa" w:w="110"/>
            </w:tcMar>
          </w:tcPr>
          <w:p>
            <w:pPr>
              <w:jc w:val="left"/>
            </w:pPr>
            <w:r>
              <w:rPr>
                <w:b/>
                <w:bCs/>
                <w:color w:val="FFFFFF"/>
                <w:sz w:val="20"/>
                <w:szCs w:val="20"/>
              </w:rPr>
              <w:t xml:space="preserve">Challenge</w:t>
            </w:r>
          </w:p>
        </w:tc>
        <w:tc>
          <w:tcPr>
            <w:tcW w:type="dxa" w:w="5160"/>
            <w:shd w:fill="1F3864" w:color="auto" w:val="clear"/>
            <w:tcMar>
              <w:top w:type="dxa" w:w="60"/>
              <w:left w:type="dxa" w:w="110"/>
              <w:bottom w:type="dxa" w:w="60"/>
              <w:right w:type="dxa" w:w="110"/>
            </w:tcMar>
          </w:tcPr>
          <w:p>
            <w:pPr>
              <w:jc w:val="left"/>
            </w:pPr>
            <w:r>
              <w:rPr>
                <w:b/>
                <w:bCs/>
                <w:color w:val="FFFFFF"/>
                <w:sz w:val="20"/>
                <w:szCs w:val="20"/>
              </w:rPr>
              <w:t xml:space="preserve">Resolution</w:t>
            </w:r>
          </w:p>
        </w:tc>
      </w:tr>
      <w:tr>
        <w:tc>
          <w:tcPr>
            <w:tcW w:type="dxa" w:w="4200"/>
            <w:shd w:fill="FFFFFF" w:color="auto" w:val="clear"/>
            <w:tcMar>
              <w:top w:type="dxa" w:w="55"/>
              <w:left w:type="dxa" w:w="110"/>
              <w:bottom w:type="dxa" w:w="55"/>
              <w:right w:type="dxa" w:w="110"/>
            </w:tcMar>
          </w:tcPr>
          <w:p>
            <w:r>
              <w:rPr>
                <w:b w:val="false"/>
                <w:bCs w:val="false"/>
                <w:sz w:val="20"/>
                <w:szCs w:val="20"/>
              </w:rPr>
              <w:t xml:space="preserve">LLMs inventing prices and dates in customer email</w:t>
            </w:r>
          </w:p>
        </w:tc>
        <w:tc>
          <w:tcPr>
            <w:tcW w:type="dxa" w:w="5160"/>
            <w:shd w:fill="FFFFFF" w:color="auto" w:val="clear"/>
            <w:tcMar>
              <w:top w:type="dxa" w:w="55"/>
              <w:left w:type="dxa" w:w="110"/>
              <w:bottom w:type="dxa" w:w="55"/>
              <w:right w:type="dxa" w:w="110"/>
            </w:tcMar>
          </w:tcPr>
          <w:p>
            <w:r>
              <w:rPr>
                <w:b w:val="false"/>
                <w:bCs w:val="false"/>
                <w:sz w:val="20"/>
                <w:szCs w:val="20"/>
              </w:rPr>
              <w:t xml:space="preserve">Template-first architecture; the LLM only rewrites approved content</w:t>
            </w:r>
          </w:p>
        </w:tc>
      </w:tr>
      <w:tr>
        <w:tc>
          <w:tcPr>
            <w:tcW w:type="dxa" w:w="4200"/>
            <w:shd w:fill="F2F6FC" w:color="auto" w:val="clear"/>
            <w:tcMar>
              <w:top w:type="dxa" w:w="55"/>
              <w:left w:type="dxa" w:w="110"/>
              <w:bottom w:type="dxa" w:w="55"/>
              <w:right w:type="dxa" w:w="110"/>
            </w:tcMar>
          </w:tcPr>
          <w:p>
            <w:r>
              <w:rPr>
                <w:b w:val="false"/>
                <w:bCs w:val="false"/>
                <w:sz w:val="20"/>
                <w:szCs w:val="20"/>
              </w:rPr>
              <w:t xml:space="preserve">Small dataset (40 emails) makes ML alone unreliable</w:t>
            </w:r>
          </w:p>
        </w:tc>
        <w:tc>
          <w:tcPr>
            <w:tcW w:type="dxa" w:w="5160"/>
            <w:shd w:fill="F2F6FC" w:color="auto" w:val="clear"/>
            <w:tcMar>
              <w:top w:type="dxa" w:w="55"/>
              <w:left w:type="dxa" w:w="110"/>
              <w:bottom w:type="dxa" w:w="55"/>
              <w:right w:type="dxa" w:w="110"/>
            </w:tcMar>
          </w:tcPr>
          <w:p>
            <w:r>
              <w:rPr>
                <w:b w:val="false"/>
                <w:bCs w:val="false"/>
                <w:sz w:val="20"/>
                <w:szCs w:val="20"/>
              </w:rPr>
              <w:t xml:space="preserve">Hybrid — rules carry high-stakes intents, ML generalises the rest</w:t>
            </w:r>
          </w:p>
        </w:tc>
      </w:tr>
      <w:tr>
        <w:tc>
          <w:tcPr>
            <w:tcW w:type="dxa" w:w="4200"/>
            <w:shd w:fill="FFFFFF" w:color="auto" w:val="clear"/>
            <w:tcMar>
              <w:top w:type="dxa" w:w="55"/>
              <w:left w:type="dxa" w:w="110"/>
              <w:bottom w:type="dxa" w:w="55"/>
              <w:right w:type="dxa" w:w="110"/>
            </w:tcMar>
          </w:tcPr>
          <w:p>
            <w:r>
              <w:rPr>
                <w:b w:val="false"/>
                <w:bCs w:val="false"/>
                <w:sz w:val="20"/>
                <w:szCs w:val="20"/>
              </w:rPr>
              <w:t xml:space="preserve">Demo must work without an API key or network</w:t>
            </w:r>
          </w:p>
        </w:tc>
        <w:tc>
          <w:tcPr>
            <w:tcW w:type="dxa" w:w="5160"/>
            <w:shd w:fill="FFFFFF" w:color="auto" w:val="clear"/>
            <w:tcMar>
              <w:top w:type="dxa" w:w="55"/>
              <w:left w:type="dxa" w:w="110"/>
              <w:bottom w:type="dxa" w:w="55"/>
              <w:right w:type="dxa" w:w="110"/>
            </w:tcMar>
          </w:tcPr>
          <w:p>
            <w:r>
              <w:rPr>
                <w:b w:val="false"/>
                <w:bCs w:val="false"/>
                <w:sz w:val="20"/>
                <w:szCs w:val="20"/>
              </w:rPr>
              <w:t xml:space="preserve">Full template fallback; every LLM failure path returns a usable draft</w:t>
            </w:r>
          </w:p>
        </w:tc>
      </w:tr>
      <w:tr>
        <w:tc>
          <w:tcPr>
            <w:tcW w:type="dxa" w:w="4200"/>
            <w:shd w:fill="F2F6FC" w:color="auto" w:val="clear"/>
            <w:tcMar>
              <w:top w:type="dxa" w:w="55"/>
              <w:left w:type="dxa" w:w="110"/>
              <w:bottom w:type="dxa" w:w="55"/>
              <w:right w:type="dxa" w:w="110"/>
            </w:tcMar>
          </w:tcPr>
          <w:p>
            <w:r>
              <w:rPr>
                <w:b w:val="false"/>
                <w:bCs w:val="false"/>
                <w:sz w:val="20"/>
                <w:szCs w:val="20"/>
              </w:rPr>
              <w:t xml:space="preserve">Hand-written rules overfit the data they target</w:t>
            </w:r>
          </w:p>
        </w:tc>
        <w:tc>
          <w:tcPr>
            <w:tcW w:type="dxa" w:w="5160"/>
            <w:shd w:fill="F2F6FC" w:color="auto" w:val="clear"/>
            <w:tcMar>
              <w:top w:type="dxa" w:w="55"/>
              <w:left w:type="dxa" w:w="110"/>
              <w:bottom w:type="dxa" w:w="55"/>
              <w:right w:type="dxa" w:w="110"/>
            </w:tcMar>
          </w:tcPr>
          <w:p>
            <w:r>
              <w:rPr>
                <w:b w:val="false"/>
                <w:bCs w:val="false"/>
                <w:sz w:val="20"/>
                <w:szCs w:val="20"/>
              </w:rPr>
              <w:t xml:space="preserve">Built a separate holdout set and reported the pre-tuning number honestly</w:t>
            </w:r>
          </w:p>
        </w:tc>
      </w:tr>
      <w:tr>
        <w:tc>
          <w:tcPr>
            <w:tcW w:type="dxa" w:w="4200"/>
            <w:shd w:fill="FFFFFF" w:color="auto" w:val="clear"/>
            <w:tcMar>
              <w:top w:type="dxa" w:w="55"/>
              <w:left w:type="dxa" w:w="110"/>
              <w:bottom w:type="dxa" w:w="55"/>
              <w:right w:type="dxa" w:w="110"/>
            </w:tcMar>
          </w:tcPr>
          <w:p>
            <w:r>
              <w:rPr>
                <w:b/>
                <w:bCs/>
                <w:sz w:val="20"/>
                <w:szCs w:val="20"/>
              </w:rPr>
              <w:t xml:space="preserve">Some intents genuinely need a person</w:t>
            </w:r>
          </w:p>
        </w:tc>
        <w:tc>
          <w:tcPr>
            <w:tcW w:type="dxa" w:w="5160"/>
            <w:shd w:fill="FFFFFF" w:color="auto" w:val="clear"/>
            <w:tcMar>
              <w:top w:type="dxa" w:w="55"/>
              <w:left w:type="dxa" w:w="110"/>
              <w:bottom w:type="dxa" w:w="55"/>
              <w:right w:type="dxa" w:w="110"/>
            </w:tcMar>
          </w:tcPr>
          <w:p>
            <w:r>
              <w:rPr>
                <w:b w:val="false"/>
                <w:bCs w:val="false"/>
                <w:sz w:val="20"/>
                <w:szCs w:val="20"/>
              </w:rPr>
              <w:t xml:space="preserve">Explicit always-review list plus confidence/sentiment/urgency flags</w:t>
            </w:r>
          </w:p>
        </w:tc>
      </w:tr>
    </w:tbl>
    <w:p>
      <w:pPr>
        <w:pStyle w:val="Heading1"/>
        <w:spacing w:after="120" w:before="300"/>
      </w:pPr>
      <w:r>
        <w:rPr>
          <w:b/>
          <w:bCs/>
          <w:color w:val="1F3864"/>
          <w:sz w:val="30"/>
          <w:szCs w:val="30"/>
        </w:rPr>
        <w:t xml:space="preserve">7.  Skills applied</w:t>
      </w:r>
    </w:p>
    <w:p>
      <w:pPr>
        <w:pStyle w:val="ListParagraph"/>
        <w:numPr>
          <w:ilvl w:val="0"/>
          <w:numId w:val="1"/>
        </w:numPr>
        <w:spacing w:after="80" w:line="268"/>
      </w:pPr>
      <w:r>
        <w:rPr>
          <w:b/>
          <w:bCs/>
          <w:sz w:val="21"/>
          <w:szCs w:val="21"/>
        </w:rPr>
        <w:t xml:space="preserve">Applied AI/ML </w:t>
      </w:r>
      <w:r>
        <w:rPr>
          <w:sz w:val="21"/>
          <w:szCs w:val="21"/>
        </w:rPr>
        <w:t xml:space="preserve">— hybrid rule + TF-IDF/Logistic Regression classification, leave-one-out evaluation, confusion-matrix analysis</w:t>
      </w:r>
    </w:p>
    <w:p>
      <w:pPr>
        <w:pStyle w:val="ListParagraph"/>
        <w:numPr>
          <w:ilvl w:val="0"/>
          <w:numId w:val="1"/>
        </w:numPr>
        <w:spacing w:after="80" w:line="268"/>
      </w:pPr>
      <w:r>
        <w:rPr>
          <w:b/>
          <w:bCs/>
          <w:sz w:val="21"/>
          <w:szCs w:val="21"/>
        </w:rPr>
        <w:t xml:space="preserve">Prompt and model design </w:t>
      </w:r>
      <w:r>
        <w:rPr>
          <w:sz w:val="21"/>
          <w:szCs w:val="21"/>
        </w:rPr>
        <w:t xml:space="preserve">— constrained system prompt where the model rewrites rather than authors; per-intent tone guidance</w:t>
      </w:r>
    </w:p>
    <w:p>
      <w:pPr>
        <w:pStyle w:val="ListParagraph"/>
        <w:numPr>
          <w:ilvl w:val="0"/>
          <w:numId w:val="1"/>
        </w:numPr>
        <w:spacing w:after="80" w:line="268"/>
      </w:pPr>
      <w:r>
        <w:rPr>
          <w:b/>
          <w:bCs/>
          <w:sz w:val="21"/>
          <w:szCs w:val="21"/>
        </w:rPr>
        <w:t xml:space="preserve">Data handling </w:t>
      </w:r>
      <w:r>
        <w:rPr>
          <w:sz w:val="21"/>
          <w:szCs w:val="21"/>
        </w:rPr>
        <w:t xml:space="preserve">— dataset design, labelling, pandas/NumPy analysis, holdout methodology</w:t>
      </w:r>
    </w:p>
    <w:p>
      <w:pPr>
        <w:pStyle w:val="ListParagraph"/>
        <w:numPr>
          <w:ilvl w:val="0"/>
          <w:numId w:val="1"/>
        </w:numPr>
        <w:spacing w:after="80" w:line="268"/>
      </w:pPr>
      <w:r>
        <w:rPr>
          <w:b/>
          <w:bCs/>
          <w:sz w:val="21"/>
          <w:szCs w:val="21"/>
        </w:rPr>
        <w:t xml:space="preserve">API integration </w:t>
      </w:r>
      <w:r>
        <w:rPr>
          <w:sz w:val="21"/>
          <w:szCs w:val="21"/>
        </w:rPr>
        <w:t xml:space="preserve">— Groq LLM API with timeout and failure fallback; FastAPI service with a webhook stub for inbound-email and messaging platforms</w:t>
      </w:r>
    </w:p>
    <w:p>
      <w:pPr>
        <w:pStyle w:val="ListParagraph"/>
        <w:numPr>
          <w:ilvl w:val="0"/>
          <w:numId w:val="1"/>
        </w:numPr>
        <w:spacing w:after="80" w:line="268"/>
      </w:pPr>
      <w:r>
        <w:rPr>
          <w:b/>
          <w:bCs/>
          <w:sz w:val="21"/>
          <w:szCs w:val="21"/>
        </w:rPr>
        <w:t xml:space="preserve">Technical documentation </w:t>
      </w:r>
      <w:r>
        <w:rPr>
          <w:sz w:val="21"/>
          <w:szCs w:val="21"/>
        </w:rPr>
        <w:t xml:space="preserve">— README, this report, an executed notebook, and a demo script</w:t>
      </w:r>
    </w:p>
    <w:p>
      <w:pPr>
        <w:pStyle w:val="Heading1"/>
        <w:spacing w:after="120" w:before="300"/>
      </w:pPr>
      <w:r>
        <w:rPr>
          <w:b/>
          <w:bCs/>
          <w:color w:val="1F3864"/>
          <w:sz w:val="30"/>
          <w:szCs w:val="30"/>
        </w:rPr>
        <w:t xml:space="preserve">8.  Status and next steps</w:t>
      </w:r>
    </w:p>
    <w:p>
      <w:pPr>
        <w:spacing w:after="120" w:line="276"/>
        <w:jc w:val="both"/>
      </w:pPr>
      <w:r>
        <w:rPr>
          <w:b/>
          <w:bCs/>
          <w:sz w:val="21"/>
          <w:szCs w:val="21"/>
        </w:rPr>
        <w:t xml:space="preserve">Status: code, dataset, notebook and documentation complete and runnable.</w:t>
      </w:r>
      <w:r>
        <w:rPr>
          <w:sz w:val="21"/>
          <w:szCs w:val="21"/>
        </w:rPr>
        <w:t xml:space="preserve"> All of it is in email_assistant/. Screenshots and the explanation video are the remaining submission items; screenshots/SCREENSHOT_GUIDE.md lists the six shots to capture and a video outline.</w:t>
      </w:r>
    </w:p>
    <w:p>
      <w:pPr>
        <w:spacing w:after="120" w:line="276"/>
        <w:jc w:val="both"/>
      </w:pPr>
      <w:r>
        <w:rPr>
          <w:sz w:val="21"/>
          <w:szCs w:val="21"/>
        </w:rPr>
        <w:t xml:space="preserve">Next, in priority order:</w:t>
      </w:r>
    </w:p>
    <w:p>
      <w:pPr>
        <w:pStyle w:val="ListParagraph"/>
        <w:numPr>
          <w:ilvl w:val="0"/>
          <w:numId w:val="1"/>
        </w:numPr>
        <w:spacing w:after="80" w:line="268"/>
      </w:pPr>
      <w:r>
        <w:rPr>
          <w:b/>
          <w:bCs/>
          <w:sz w:val="21"/>
          <w:szCs w:val="21"/>
        </w:rPr>
        <w:t xml:space="preserve">Feedback loop </w:t>
      </w:r>
      <w:r>
        <w:rPr>
          <w:sz w:val="21"/>
          <w:szCs w:val="21"/>
        </w:rPr>
        <w:t xml:space="preserve">— log every agent edit to a draft and retrain on the corrections, turning daily support work into training data.</w:t>
      </w:r>
    </w:p>
    <w:p>
      <w:pPr>
        <w:pStyle w:val="ListParagraph"/>
        <w:numPr>
          <w:ilvl w:val="0"/>
          <w:numId w:val="1"/>
        </w:numPr>
        <w:spacing w:after="80" w:line="268"/>
      </w:pPr>
      <w:r>
        <w:rPr>
          <w:b/>
          <w:bCs/>
          <w:sz w:val="21"/>
          <w:szCs w:val="21"/>
        </w:rPr>
        <w:t xml:space="preserve">Real corpus </w:t>
      </w:r>
      <w:r>
        <w:rPr>
          <w:sz w:val="21"/>
          <w:szCs w:val="21"/>
        </w:rPr>
        <w:t xml:space="preserve">— a few thousand anonymised tickets would replace the synthetic accuracy figures with trustworthy ones.</w:t>
      </w:r>
    </w:p>
    <w:p>
      <w:pPr>
        <w:pStyle w:val="ListParagraph"/>
        <w:numPr>
          <w:ilvl w:val="0"/>
          <w:numId w:val="1"/>
        </w:numPr>
        <w:spacing w:after="80" w:line="268"/>
      </w:pPr>
      <w:r>
        <w:rPr>
          <w:b/>
          <w:bCs/>
          <w:sz w:val="21"/>
          <w:szCs w:val="21"/>
        </w:rPr>
        <w:t xml:space="preserve">Thread awareness </w:t>
      </w:r>
      <w:r>
        <w:rPr>
          <w:sz w:val="21"/>
          <w:szCs w:val="21"/>
        </w:rPr>
        <w:t xml:space="preserve">— read conversation history, not just the latest message.</w:t>
      </w:r>
    </w:p>
    <w:p>
      <w:pPr>
        <w:pStyle w:val="ListParagraph"/>
        <w:numPr>
          <w:ilvl w:val="0"/>
          <w:numId w:val="1"/>
        </w:numPr>
        <w:spacing w:after="80" w:line="268"/>
      </w:pPr>
      <w:r>
        <w:rPr>
          <w:b/>
          <w:bCs/>
          <w:sz w:val="21"/>
          <w:szCs w:val="21"/>
        </w:rPr>
        <w:t xml:space="preserve">Shared knowledge base </w:t>
      </w:r>
      <w:r>
        <w:rPr>
          <w:sz w:val="21"/>
          <w:szCs w:val="21"/>
        </w:rPr>
        <w:t xml:space="preserve">— merge faq_data.json from the Week 1 chatbot so email replies and the website chatbot answer factual questions identically.</w:t>
      </w:r>
    </w:p>
    <w:p>
      <w:pPr>
        <w:pStyle w:val="ListParagraph"/>
        <w:numPr>
          <w:ilvl w:val="0"/>
          <w:numId w:val="1"/>
        </w:numPr>
        <w:spacing w:after="80" w:line="268"/>
      </w:pPr>
      <w:r>
        <w:rPr>
          <w:b/>
          <w:bCs/>
          <w:sz w:val="21"/>
          <w:szCs w:val="21"/>
        </w:rPr>
        <w:t xml:space="preserve">Channel expansion </w:t>
      </w:r>
      <w:r>
        <w:rPr>
          <w:sz w:val="21"/>
          <w:szCs w:val="21"/>
        </w:rPr>
        <w:t xml:space="preserve">— WhatsApp Business API / Twilio, reusing the same pipeline.</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AI Email Assistant Prototype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color w:val="595959"/>
        <w:sz w:val="16"/>
        <w:szCs w:val="16"/>
      </w:rPr>
      <w:t xml:space="preserve">SafeX Solutions · Business Automation Research · Week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Progress Report — AI Email Assistant Prototype</dc:title>
  <dc:creator>SafeX Solutions</dc:creator>
  <cp:lastModifiedBy>Un-named</cp:lastModifiedBy>
  <cp:revision>1</cp:revision>
  <dcterms:created xsi:type="dcterms:W3CDTF">2026-07-31T21:56:26.836Z</dcterms:created>
  <dcterms:modified xsi:type="dcterms:W3CDTF">2026-07-31T21:56:26.837Z</dcterms:modified>
</cp:coreProperties>
</file>

<file path=docProps/custom.xml><?xml version="1.0" encoding="utf-8"?>
<Properties xmlns="http://schemas.openxmlformats.org/officeDocument/2006/custom-properties" xmlns:vt="http://schemas.openxmlformats.org/officeDocument/2006/docPropsVTypes"/>
</file>