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Live presentation — preparation and rehearsal</w:t>
      </w:r>
    </w:p>
    <w:p>
      <w:pPr>
        <w:keepNext/>
      </w:pPr>
      <w:r/>
      <w:r>
        <w:rPr>
          <w:b/>
        </w:rPr>
        <w:t>Member 5 — ISSD | Companion to LIVE_DEMO and LIVE_COMMANDS</w:t>
      </w:r>
      <w:r/>
    </w:p>
    <w:p>
      <w:pPr>
        <w:pStyle w:val="Heading1"/>
      </w:pPr>
      <w:r>
        <w:t>1. Use the finished files</w:t>
      </w:r>
    </w:p>
    <w:p>
      <w:r>
        <w:t>Keep these together on the presentation laptop: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16"/>
        <w:gridCol w:w="5016"/>
      </w:tblGrid>
      <w:tr>
        <w:trPr>
          <w:tblHeader/>
          <w:cantSplit/>
        </w:trPr>
        <w:tc>
          <w:tcPr>
            <w:tcW w:type="dxa" w:w="5016"/>
          </w:tcPr>
          <w:p>
            <w:pPr>
              <w:spacing w:after="60" w:before="60"/>
            </w:pPr>
            <w:r>
              <w:rPr>
                <w:b/>
                <w:sz w:val="18"/>
              </w:rPr>
              <w:t>File</w:t>
            </w:r>
          </w:p>
        </w:tc>
        <w:tc>
          <w:tcPr>
            <w:tcW w:type="dxa" w:w="5016"/>
          </w:tcPr>
          <w:p>
            <w:pPr>
              <w:spacing w:after="60" w:before="60"/>
            </w:pPr>
            <w:r>
              <w:rPr>
                <w:b/>
                <w:sz w:val="18"/>
              </w:rPr>
              <w:t>Use</w:t>
            </w:r>
          </w:p>
        </w:tc>
      </w:tr>
      <w:tr>
        <w:trPr>
          <w:cantSplit/>
        </w:trPr>
        <w:tc>
          <w:tcPr>
            <w:tcW w:type="dxa" w:w="5016"/>
          </w:tcPr>
          <w:p>
            <w:pPr>
              <w:spacing w:after="60" w:before="60"/>
            </w:pPr>
            <w:r>
              <w:rPr>
                <w:sz w:val="18"/>
              </w:rPr>
              <w:t>MAIN_PRESENTATION.pptx</w:t>
            </w:r>
          </w:p>
        </w:tc>
        <w:tc>
          <w:tcPr>
            <w:tcW w:type="dxa" w:w="5016"/>
          </w:tcPr>
          <w:p>
            <w:pPr>
              <w:spacing w:after="60" w:before="60"/>
            </w:pPr>
            <w:r>
              <w:rPr>
                <w:sz w:val="18"/>
              </w:rPr>
              <w:t>Present slides 1–8; slides 9–12 support questions and recovery</w:t>
            </w:r>
          </w:p>
        </w:tc>
      </w:tr>
      <w:tr>
        <w:trPr>
          <w:cantSplit/>
        </w:trPr>
        <w:tc>
          <w:tcPr>
            <w:tcW w:type="dxa" w:w="5016"/>
          </w:tcPr>
          <w:p>
            <w:pPr>
              <w:spacing w:after="60" w:before="60"/>
            </w:pPr>
            <w:r>
              <w:rPr>
                <w:sz w:val="18"/>
              </w:rPr>
              <w:t>MAIN_PRESENTATION.pdf</w:t>
            </w:r>
          </w:p>
        </w:tc>
        <w:tc>
          <w:tcPr>
            <w:tcW w:type="dxa" w:w="5016"/>
          </w:tcPr>
          <w:p>
            <w:pPr>
              <w:spacing w:after="60" w:before="60"/>
            </w:pPr>
            <w:r>
              <w:rPr>
                <w:sz w:val="18"/>
              </w:rPr>
              <w:t>Portable slide backup</w:t>
            </w:r>
          </w:p>
        </w:tc>
      </w:tr>
      <w:tr>
        <w:trPr>
          <w:cantSplit/>
        </w:trPr>
        <w:tc>
          <w:tcPr>
            <w:tcW w:type="dxa" w:w="5016"/>
          </w:tcPr>
          <w:p>
            <w:pPr>
              <w:spacing w:after="60" w:before="60"/>
            </w:pPr>
            <w:r>
              <w:rPr>
                <w:sz w:val="18"/>
              </w:rPr>
              <w:t>LIVE_COMMANDS.pdf</w:t>
            </w:r>
          </w:p>
        </w:tc>
        <w:tc>
          <w:tcPr>
            <w:tcW w:type="dxa" w:w="5016"/>
          </w:tcPr>
          <w:p>
            <w:pPr>
              <w:spacing w:after="60" w:before="60"/>
            </w:pPr>
            <w:r>
              <w:rPr>
                <w:sz w:val="18"/>
              </w:rPr>
              <w:t>Two-page terminal A/B command sheet</w:t>
            </w:r>
          </w:p>
        </w:tc>
      </w:tr>
      <w:tr>
        <w:trPr>
          <w:cantSplit/>
        </w:trPr>
        <w:tc>
          <w:tcPr>
            <w:tcW w:type="dxa" w:w="5016"/>
          </w:tcPr>
          <w:p>
            <w:pPr>
              <w:spacing w:after="60" w:before="60"/>
            </w:pPr>
            <w:r>
              <w:rPr>
                <w:sz w:val="18"/>
              </w:rPr>
              <w:t>LIVE_DEMO.pdf</w:t>
            </w:r>
          </w:p>
        </w:tc>
        <w:tc>
          <w:tcPr>
            <w:tcW w:type="dxa" w:w="5016"/>
          </w:tcPr>
          <w:p>
            <w:pPr>
              <w:spacing w:after="60" w:before="60"/>
            </w:pPr>
            <w:r>
              <w:rPr>
                <w:sz w:val="18"/>
              </w:rPr>
              <w:t>Full command order, expected output and recovery</w:t>
            </w:r>
          </w:p>
        </w:tc>
      </w:tr>
      <w:tr>
        <w:trPr>
          <w:cantSplit/>
        </w:trPr>
        <w:tc>
          <w:tcPr>
            <w:tcW w:type="dxa" w:w="5016"/>
          </w:tcPr>
          <w:p>
            <w:pPr>
              <w:spacing w:after="60" w:before="60"/>
            </w:pPr>
            <w:r>
              <w:rPr>
                <w:sz w:val="18"/>
              </w:rPr>
              <w:t>SLIDE_NOTES.pdf</w:t>
            </w:r>
          </w:p>
        </w:tc>
        <w:tc>
          <w:tcPr>
            <w:tcW w:type="dxa" w:w="5016"/>
          </w:tcPr>
          <w:p>
            <w:pPr>
              <w:spacing w:after="60" w:before="60"/>
            </w:pPr>
            <w:r>
              <w:rPr>
                <w:sz w:val="18"/>
              </w:rPr>
              <w:t>Explanations and terminal transition cues</w:t>
            </w:r>
          </w:p>
        </w:tc>
      </w:tr>
      <w:tr>
        <w:trPr>
          <w:cantSplit/>
        </w:trPr>
        <w:tc>
          <w:tcPr>
            <w:tcW w:type="dxa" w:w="5016"/>
          </w:tcPr>
          <w:p>
            <w:pPr>
              <w:spacing w:after="60" w:before="60"/>
            </w:pPr>
            <w:r>
              <w:rPr>
                <w:sz w:val="18"/>
              </w:rPr>
              <w:t>REPORT.pdf</w:t>
            </w:r>
          </w:p>
        </w:tc>
        <w:tc>
          <w:tcPr>
            <w:tcW w:type="dxa" w:w="5016"/>
          </w:tcPr>
          <w:p>
            <w:pPr>
              <w:spacing w:after="60" w:before="60"/>
            </w:pPr>
            <w:r>
              <w:rPr>
                <w:sz w:val="18"/>
              </w:rPr>
              <w:t>Full six-task report and labelled screenshot figures</w:t>
            </w:r>
          </w:p>
        </w:tc>
      </w:tr>
      <w:tr>
        <w:trPr>
          <w:cantSplit/>
        </w:trPr>
        <w:tc>
          <w:tcPr>
            <w:tcW w:type="dxa" w:w="5016"/>
          </w:tcPr>
          <w:p>
            <w:pPr>
              <w:spacing w:after="60" w:before="60"/>
            </w:pPr>
            <w:r>
              <w:rPr>
                <w:sz w:val="18"/>
              </w:rPr>
              <w:t>evidence/</w:t>
            </w:r>
          </w:p>
        </w:tc>
        <w:tc>
          <w:tcPr>
            <w:tcW w:type="dxa" w:w="5016"/>
          </w:tcPr>
          <w:p>
            <w:pPr>
              <w:spacing w:after="60" w:before="60"/>
            </w:pPr>
            <w:r>
              <w:rPr>
                <w:sz w:val="18"/>
              </w:rPr>
              <w:t>Original images to open if a live attempt misses</w:t>
            </w:r>
          </w:p>
        </w:tc>
      </w:tr>
    </w:tbl>
    <w:p>
      <w:pPr>
        <w:spacing w:after="40"/>
      </w:pPr>
    </w:p>
    <w:p>
      <w:r>
        <w:t>The older REPORT_TEMPLATE and PRESENTATION_PLAN files in the parent folder are preparation material. The completed work is in submission/. S15 is an earlier evidence-inventory capture; its statement that written submission work remained describes that earlier checkpoint.</w:t>
      </w:r>
    </w:p>
    <w:p>
      <w:pPr>
        <w:pStyle w:val="Heading1"/>
      </w:pPr>
      <w:r>
        <w:t>2. Check the prepared VM before rehearsal</w:t>
      </w:r>
    </w:p>
    <w:p>
      <w:r>
        <w:t xml:space="preserve">Start the </w:t>
      </w:r>
      <w:r>
        <w:rPr>
          <w:b/>
        </w:rPr>
        <w:t>SEED Ubuntu 20.04 VM used for these experiments</w:t>
      </w:r>
      <w:r>
        <w:t>. The Windows repository and the VM are separate copies: a Windows git pull does not update the guest. The retained cleanup evidence shows victims at 0755 and protections at 1/2; verify the actual current state when you boot.</w:t>
      </w:r>
    </w:p>
    <w:p>
      <w:r>
        <w:t>In a guest terminal, as seed:</w:t>
      </w:r>
    </w:p>
    <w:p>
      <w:pPr>
        <w:keepLines/>
        <w:spacing w:before="80" w:after="160" w:line="240" w:lineRule="auto"/>
        <w:ind w:left="130" w:right="86"/>
        <w:shd w:fill="EEF2F6"/>
      </w:pPr>
      <w:r>
        <w:rPr>
          <w:rFonts w:ascii="Courier New" w:hAnsi="Courier New"/>
          <w:sz w:val="19"/>
        </w:rPr>
        <w:t>cd /home/seed/issd-member5/lab-files</w:t>
        <w:br/>
        <w:t>id</w:t>
        <w:br/>
        <w:t>command -v python3 gcc bash sha256sum pgrep</w:t>
        <w:br/>
        <w:t>ls -l vulp vulp_slow vulp_least attack_naive attack_atomic</w:t>
        <w:br/>
        <w:t>ls -l input.txt run_trials.sh ../passwd-before.sha256 ../sysctl-before.txt</w:t>
        <w:br/>
        <w:t>ls -l ../automation/{reset.sh,audit-setup.sh,cleanup.sh}</w:t>
        <w:br/>
        <w:t>ls -l ../automation/{lab_runner.py,verify-record.py}</w:t>
        <w:br/>
        <w:t>test -d logs &amp;&amp; test -w logs &amp;&amp; echo 'Log directory is writable'</w:t>
        <w:br/>
        <w:t>sudo test -f /root/issd-member5-passwd.original &amp;&amp; echo 'Original backup exists'</w:t>
      </w:r>
    </w:p>
    <w:p>
      <w:r>
        <w:t xml:space="preserve">Resolve missing-file errors before Part 0. The runner opens its log file before starting the attacker, so an absent logs/ directory must be created with </w:t>
      </w:r>
      <w:r>
        <w:rPr>
          <w:rFonts w:ascii="Courier New" w:hAnsi="Courier New"/>
          <w:sz w:val="18"/>
        </w:rPr>
        <w:t>mkdir -p logs</w:t>
      </w:r>
      <w:r>
        <w:t xml:space="preserve">. If binaries are missing, use the supplied </w:t>
      </w:r>
      <w:r>
        <w:rPr>
          <w:rFonts w:ascii="Courier New" w:hAnsi="Courier New"/>
          <w:sz w:val="18"/>
        </w:rPr>
        <w:t>bash build.sh</w:t>
      </w:r>
      <w:r>
        <w:t xml:space="preserve"> inside the guest after ensuring previous trials have stopped. Rebuilding requires the documented ownership/Set-UID setup again.</w:t>
      </w:r>
    </w:p>
    <w:p>
      <w:pPr>
        <w:pStyle w:val="Heading2"/>
      </w:pPr>
      <w:r>
        <w:t>If the guest helpers are missing</w:t>
      </w:r>
    </w:p>
    <w:p>
      <w:r>
        <w:t>The original setup guide copies only the parent lab-files/ folder. The newer live guide also needs submission/automation/ and the audited submission/source/run_trials.sh. If the existing prepared guest already contains them, compare versions before replacing anything.</w:t>
      </w:r>
    </w:p>
    <w:p>
      <w:r>
        <w:t>With the Windows Member5 folder shared as M5pack and mounted at ~/m5-transfer as described in START_TO_FINISH_GUIDE section 4.2, these paths should be readable inside the guest:</w:t>
      </w:r>
    </w:p>
    <w:p>
      <w:pPr>
        <w:keepLines/>
        <w:spacing w:before="80" w:after="160" w:line="240" w:lineRule="auto"/>
        <w:ind w:left="130" w:right="86"/>
        <w:shd w:fill="EEF2F6"/>
      </w:pPr>
      <w:r>
        <w:rPr>
          <w:rFonts w:ascii="Courier New" w:hAnsi="Courier New"/>
          <w:sz w:val="19"/>
        </w:rPr>
        <w:t>ls ~/m5-transfer/submission/automation</w:t>
        <w:br/>
        <w:t>ls ~/m5-transfer/submission/source</w:t>
      </w:r>
    </w:p>
    <w:p>
      <w:r>
        <w:t xml:space="preserve">For </w:t>
      </w:r>
      <w:r>
        <w:rPr>
          <w:b/>
        </w:rPr>
        <w:t>missing helpers only</w:t>
      </w:r>
      <w:r>
        <w:t>, copy without overwriting existing guest files:</w:t>
      </w:r>
    </w:p>
    <w:p>
      <w:pPr>
        <w:keepLines/>
        <w:spacing w:before="80" w:after="160" w:line="240" w:lineRule="auto"/>
        <w:ind w:left="130" w:right="86"/>
        <w:shd w:fill="EEF2F6"/>
      </w:pPr>
      <w:r>
        <w:rPr>
          <w:rFonts w:ascii="Courier New" w:hAnsi="Courier New"/>
          <w:sz w:val="19"/>
        </w:rPr>
        <w:t>mkdir -p ~/issd-member5/automation ~/issd-member5/lab-files/logs</w:t>
        <w:br/>
        <w:t>cp -n ~/m5-transfer/submission/automation/* ~/issd-member5/automation/</w:t>
        <w:br/>
        <w:t>sed -i 's/\r$//' ~/issd-member5/automation/*.sh</w:t>
      </w:r>
    </w:p>
    <w:p>
      <w:r>
        <w:t>The guest monitor must be the audited version that retains interrupted totals and rejects reused labels. Compare it while ignoring Windows line endings:</w:t>
      </w:r>
    </w:p>
    <w:p>
      <w:pPr>
        <w:keepLines/>
        <w:spacing w:before="80" w:after="160" w:line="240" w:lineRule="auto"/>
        <w:ind w:left="130" w:right="86"/>
        <w:shd w:fill="EEF2F6"/>
      </w:pPr>
      <w:r>
        <w:rPr>
          <w:rFonts w:ascii="Courier New" w:hAnsi="Courier New"/>
          <w:sz w:val="19"/>
        </w:rPr>
        <w:t>diff -u &lt;(sed 's/\r$//' ~/m5-transfer/submission/source/run_trials.sh) run_trials.sh</w:t>
      </w:r>
    </w:p>
    <w:p>
      <w:r>
        <w:t>No diff output means the contents agree. If they differ, preserve the guest file and inspect the difference before replacing it; the final audited source is submission/source/run_trials.sh. The other C/build sources are also supplied there.</w:t>
      </w:r>
    </w:p>
    <w:p>
      <w:r/>
      <w:r>
        <w:rPr>
          <w:b/>
        </w:rPr>
        <w:t>A fresh VM needs its own baseline.</w:t>
      </w:r>
      <w:r>
        <w:t xml:space="preserve"> Follow START_TO_FINISH_GUIDE sections 3–6 to install, back up, build and validate Task 1. Never use the recorded passwd-before.sha256 from this submission as the baseline of a different VM. The root-owned original password-file backup is deliberately not distributed as an installation file. The classroom commands assume the documented seed account, path and validated input record.</w:t>
      </w:r>
    </w:p>
    <w:p>
      <w:r>
        <w:t xml:space="preserve">The older setup guide reads the sysctl values without sudo. In the recorded guest those nodes required sudo, so use </w:t>
      </w:r>
      <w:r>
        <w:rPr>
          <w:rFonts w:ascii="Courier New" w:hAnsi="Courier New"/>
          <w:sz w:val="18"/>
        </w:rPr>
        <w:t>sudo sysctl fs.protected_symlinks fs.protected_regular</w:t>
      </w:r>
      <w:r>
        <w:t xml:space="preserve"> when checking them. For the existing prepared VM, use LIVE_DEMO Part 4's explicitly selected final 1/2 policy; the historical guide's restore-from-file step would restore its saved 0/0 instead.</w:t>
      </w:r>
    </w:p>
    <w:p>
      <w:pPr>
        <w:pStyle w:val="Heading1"/>
      </w:pPr>
      <w:r>
        <w:t>3. Arrange the display</w:t>
      </w:r>
    </w:p>
    <w:p>
      <w:r>
        <w:t>1. Open A — Attacker on the left and B — Victim and results on the right, both as seed in the lab-files directory.</w:t>
      </w:r>
    </w:p>
    <w:p>
      <w:r>
        <w:t>2. Increase terminal font size until commands and UID output are readable from the audience position. Prefer fewer visible lines to tiny whole-desktop text.</w:t>
      </w:r>
    </w:p>
    <w:p>
      <w:r>
        <w:t>3. Keep LIVE_COMMANDS on paper or a separate presenter display. Keep the presentation and saved screenshot viewer ready to switch to.</w:t>
      </w:r>
    </w:p>
    <w:p>
      <w:r>
        <w:t>4. Run LIVE_DEMO Part 0 in full. Confirm clean baseline, root-owned 4755 victims and controls 0/0. Show the vulnerable code while explaining slide 2, before launching the attack.</w:t>
      </w:r>
    </w:p>
    <w:p>
      <w:r>
        <w:t>5. Prepare the short link-switch command in A so it can be entered promptly after B says Check passed. Do not execute it before that message.</w:t>
      </w:r>
    </w:p>
    <w:p>
      <w:pPr>
        <w:pStyle w:val="Heading1"/>
      </w:pPr>
      <w:r>
        <w:t>4. Rehearse the full route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44"/>
        <w:gridCol w:w="3344"/>
        <w:gridCol w:w="3344"/>
      </w:tblGrid>
      <w:tr>
        <w:trPr>
          <w:tblHeader/>
          <w:cantSplit/>
        </w:trPr>
        <w:tc>
          <w:tcPr>
            <w:tcW w:type="dxa" w:w="3344"/>
          </w:tcPr>
          <w:p>
            <w:pPr>
              <w:spacing w:after="60" w:before="60"/>
            </w:pPr>
            <w:r>
              <w:rPr>
                <w:b/>
                <w:sz w:val="18"/>
              </w:rPr>
              <w:t>Slide</w:t>
            </w:r>
          </w:p>
        </w:tc>
        <w:tc>
          <w:tcPr>
            <w:tcW w:type="dxa" w:w="3344"/>
          </w:tcPr>
          <w:p>
            <w:pPr>
              <w:spacing w:after="60" w:before="60"/>
            </w:pPr>
            <w:r>
              <w:rPr>
                <w:b/>
                <w:sz w:val="18"/>
              </w:rPr>
              <w:t>Explain / do</w:t>
            </w:r>
          </w:p>
        </w:tc>
        <w:tc>
          <w:tcPr>
            <w:tcW w:type="dxa" w:w="3344"/>
          </w:tcPr>
          <w:p>
            <w:pPr>
              <w:spacing w:after="60" w:before="60"/>
            </w:pPr>
            <w:r>
              <w:rPr>
                <w:b/>
                <w:sz w:val="18"/>
              </w:rPr>
              <w:t>Check before moving on</w:t>
            </w:r>
          </w:p>
        </w:tc>
      </w:tr>
      <w:tr>
        <w:trPr>
          <w:cantSplit/>
        </w:trPr>
        <w:tc>
          <w:tcPr>
            <w:tcW w:type="dxa" w:w="3344"/>
          </w:tcPr>
          <w:p>
            <w:pPr>
              <w:spacing w:after="60" w:before="60"/>
            </w:pPr>
            <w:r>
              <w:rPr>
                <w:sz w:val="18"/>
              </w:rPr>
              <w:t>1</w:t>
            </w:r>
          </w:p>
        </w:tc>
        <w:tc>
          <w:tcPr>
            <w:tcW w:type="dxa" w:w="3344"/>
          </w:tcPr>
          <w:p>
            <w:pPr>
              <w:spacing w:after="60" w:before="60"/>
            </w:pPr>
            <w:r>
              <w:rPr>
                <w:sz w:val="18"/>
              </w:rPr>
              <w:t>Define a race and TOCTOU</w:t>
            </w:r>
          </w:p>
        </w:tc>
        <w:tc>
          <w:tcPr>
            <w:tcW w:type="dxa" w:w="3344"/>
          </w:tcPr>
          <w:p>
            <w:pPr>
              <w:spacing w:after="60" w:before="60"/>
            </w:pPr>
            <w:r>
              <w:rPr>
                <w:sz w:val="18"/>
              </w:rPr>
              <w:t>Audience understands timing-dependent ordering</w:t>
            </w:r>
          </w:p>
        </w:tc>
      </w:tr>
      <w:tr>
        <w:trPr>
          <w:cantSplit/>
        </w:trPr>
        <w:tc>
          <w:tcPr>
            <w:tcW w:type="dxa" w:w="3344"/>
          </w:tcPr>
          <w:p>
            <w:pPr>
              <w:spacing w:after="60" w:before="60"/>
            </w:pPr>
            <w:r>
              <w:rPr>
                <w:sz w:val="18"/>
              </w:rPr>
              <w:t>2</w:t>
            </w:r>
          </w:p>
        </w:tc>
        <w:tc>
          <w:tcPr>
            <w:tcW w:type="dxa" w:w="3344"/>
          </w:tcPr>
          <w:p>
            <w:pPr>
              <w:spacing w:after="60" w:before="60"/>
            </w:pPr>
            <w:r>
              <w:rPr>
                <w:sz w:val="18"/>
              </w:rPr>
              <w:t>Show access/fopen; distinguish real UID 1000 and effective UID 0</w:t>
            </w:r>
          </w:p>
        </w:tc>
        <w:tc>
          <w:tcPr>
            <w:tcW w:type="dxa" w:w="3344"/>
          </w:tcPr>
          <w:p>
            <w:pPr>
              <w:spacing w:after="60" w:before="60"/>
            </w:pPr>
            <w:r>
              <w:rPr>
                <w:sz w:val="18"/>
              </w:rPr>
              <w:t>Explain why the link grants no privilege by itself</w:t>
            </w:r>
          </w:p>
        </w:tc>
      </w:tr>
      <w:tr>
        <w:trPr>
          <w:cantSplit/>
        </w:trPr>
        <w:tc>
          <w:tcPr>
            <w:tcW w:type="dxa" w:w="3344"/>
          </w:tcPr>
          <w:p>
            <w:pPr>
              <w:spacing w:after="60" w:before="60"/>
            </w:pPr>
            <w:r>
              <w:rPr>
                <w:sz w:val="18"/>
              </w:rPr>
              <w:t>3</w:t>
            </w:r>
          </w:p>
        </w:tc>
        <w:tc>
          <w:tcPr>
            <w:tcW w:type="dxa" w:w="3344"/>
          </w:tcPr>
          <w:p>
            <w:pPr>
              <w:spacing w:after="60" w:before="60"/>
            </w:pPr>
            <w:r>
              <w:rPr>
                <w:sz w:val="18"/>
              </w:rPr>
              <w:t>LIVE_DEMO Part 1: explicit 10-second teaching window</w:t>
            </w:r>
          </w:p>
        </w:tc>
        <w:tc>
          <w:tcPr>
            <w:tcW w:type="dxa" w:w="3344"/>
          </w:tcPr>
          <w:p>
            <w:pPr>
              <w:spacing w:after="60" w:before="60"/>
            </w:pPr>
            <w:r>
              <w:rPr>
                <w:sz w:val="18"/>
              </w:rPr>
              <w:t>Link switched after check; complete record; actual non-sudo login/id</w:t>
            </w:r>
          </w:p>
        </w:tc>
      </w:tr>
      <w:tr>
        <w:trPr>
          <w:cantSplit/>
        </w:trPr>
        <w:tc>
          <w:tcPr>
            <w:tcW w:type="dxa" w:w="3344"/>
          </w:tcPr>
          <w:p>
            <w:pPr>
              <w:spacing w:after="60" w:before="60"/>
            </w:pPr>
            <w:r>
              <w:rPr>
                <w:sz w:val="18"/>
              </w:rPr>
              <w:t>4</w:t>
            </w:r>
          </w:p>
        </w:tc>
        <w:tc>
          <w:tcPr>
            <w:tcW w:type="dxa" w:w="3344"/>
          </w:tcPr>
          <w:p>
            <w:pPr>
              <w:spacing w:after="60" w:before="60"/>
            </w:pPr>
            <w:r>
              <w:rPr>
                <w:sz w:val="18"/>
              </w:rPr>
              <w:t>Interpret the result; distinguish Task 1 manual insertion</w:t>
            </w:r>
          </w:p>
        </w:tc>
        <w:tc>
          <w:tcPr>
            <w:tcW w:type="dxa" w:w="3344"/>
          </w:tcPr>
          <w:p>
            <w:pPr>
              <w:spacing w:after="60" w:before="60"/>
            </w:pPr>
            <w:r>
              <w:rPr>
                <w:sz w:val="18"/>
              </w:rPr>
              <w:t>Exit root and reset before another run</w:t>
            </w:r>
          </w:p>
        </w:tc>
      </w:tr>
      <w:tr>
        <w:trPr>
          <w:cantSplit/>
        </w:trPr>
        <w:tc>
          <w:tcPr>
            <w:tcW w:type="dxa" w:w="3344"/>
          </w:tcPr>
          <w:p>
            <w:pPr>
              <w:spacing w:after="60" w:before="60"/>
            </w:pPr>
            <w:r>
              <w:rPr>
                <w:sz w:val="18"/>
              </w:rPr>
              <w:t>5</w:t>
            </w:r>
          </w:p>
        </w:tc>
        <w:tc>
          <w:tcPr>
            <w:tcW w:type="dxa" w:w="3344"/>
          </w:tcPr>
          <w:p>
            <w:pPr>
              <w:spacing w:after="60" w:before="60"/>
            </w:pPr>
            <w:r>
              <w:rPr>
                <w:sz w:val="18"/>
              </w:rPr>
              <w:t>Explain recorded measurements; LIVE_DEMO Part 2 if time permits</w:t>
            </w:r>
          </w:p>
        </w:tc>
        <w:tc>
          <w:tcPr>
            <w:tcW w:type="dxa" w:w="3344"/>
          </w:tcPr>
          <w:p>
            <w:pPr>
              <w:spacing w:after="60" w:before="60"/>
            </w:pPr>
            <w:r>
              <w:rPr>
                <w:sz w:val="18"/>
              </w:rPr>
              <w:t>Original no-delay vulp; unique label; attacker ready before monitor</w:t>
            </w:r>
          </w:p>
        </w:tc>
      </w:tr>
      <w:tr>
        <w:trPr>
          <w:cantSplit/>
        </w:trPr>
        <w:tc>
          <w:tcPr>
            <w:tcW w:type="dxa" w:w="3344"/>
          </w:tcPr>
          <w:p>
            <w:pPr>
              <w:spacing w:after="60" w:before="60"/>
            </w:pPr>
            <w:r>
              <w:rPr>
                <w:sz w:val="18"/>
              </w:rPr>
              <w:t>6</w:t>
            </w:r>
          </w:p>
        </w:tc>
        <w:tc>
          <w:tcPr>
            <w:tcW w:type="dxa" w:w="3344"/>
          </w:tcPr>
          <w:p>
            <w:pPr>
              <w:spacing w:after="60" w:before="60"/>
            </w:pPr>
            <w:r>
              <w:rPr>
                <w:sz w:val="18"/>
              </w:rPr>
              <w:t>Explain naive missing-name gap and atomic exchange</w:t>
            </w:r>
          </w:p>
        </w:tc>
        <w:tc>
          <w:tcPr>
            <w:tcW w:type="dxa" w:w="3344"/>
          </w:tcPr>
          <w:p>
            <w:pPr>
              <w:spacing w:after="60" w:before="60"/>
            </w:pPr>
            <w:r>
              <w:rPr>
                <w:sz w:val="18"/>
              </w:rPr>
              <w:t>Atomic exchange repairs the attacker, not the victim</w:t>
            </w:r>
          </w:p>
        </w:tc>
      </w:tr>
      <w:tr>
        <w:trPr>
          <w:cantSplit/>
        </w:trPr>
        <w:tc>
          <w:tcPr>
            <w:tcW w:type="dxa" w:w="3344"/>
          </w:tcPr>
          <w:p>
            <w:pPr>
              <w:spacing w:after="60" w:before="60"/>
            </w:pPr>
            <w:r>
              <w:rPr>
                <w:sz w:val="18"/>
              </w:rPr>
              <w:t>7</w:t>
            </w:r>
          </w:p>
        </w:tc>
        <w:tc>
          <w:tcPr>
            <w:tcW w:type="dxa" w:w="3344"/>
          </w:tcPr>
          <w:p>
            <w:pPr>
              <w:spacing w:after="60" w:before="60"/>
            </w:pPr>
            <w:r>
              <w:rPr>
                <w:sz w:val="18"/>
              </w:rPr>
              <w:t>Explain both independent defence trials; LIVE_DEMO Part 3 if time permits</w:t>
            </w:r>
          </w:p>
        </w:tc>
        <w:tc>
          <w:tcPr>
            <w:tcW w:type="dxa" w:w="3344"/>
          </w:tcPr>
          <w:p>
            <w:pPr>
              <w:spacing w:after="60" w:before="60"/>
            </w:pPr>
            <w:r>
              <w:rPr>
                <w:sz w:val="18"/>
              </w:rPr>
              <w:t>Original victim with controls 1/0 for OS control</w:t>
            </w:r>
          </w:p>
        </w:tc>
      </w:tr>
      <w:tr>
        <w:trPr>
          <w:cantSplit/>
        </w:trPr>
        <w:tc>
          <w:tcPr>
            <w:tcW w:type="dxa" w:w="3344"/>
          </w:tcPr>
          <w:p>
            <w:pPr>
              <w:spacing w:after="60" w:before="60"/>
            </w:pPr>
            <w:r>
              <w:rPr>
                <w:sz w:val="18"/>
              </w:rPr>
              <w:t>8</w:t>
            </w:r>
          </w:p>
        </w:tc>
        <w:tc>
          <w:tcPr>
            <w:tcW w:type="dxa" w:w="3344"/>
          </w:tcPr>
          <w:p>
            <w:pPr>
              <w:spacing w:after="60" w:before="60"/>
            </w:pPr>
            <w:r>
              <w:rPr>
                <w:sz w:val="18"/>
              </w:rPr>
              <w:t>Explain impact, secure file handling, permissions and safe creation</w:t>
            </w:r>
          </w:p>
        </w:tc>
        <w:tc>
          <w:tcPr>
            <w:tcW w:type="dxa" w:w="3344"/>
          </w:tcPr>
          <w:p>
            <w:pPr>
              <w:spacing w:after="60" w:before="60"/>
            </w:pPr>
            <w:r>
              <w:rPr>
                <w:sz w:val="18"/>
              </w:rPr>
              <w:t>Finish with the key lesson and cleanup</w:t>
            </w:r>
          </w:p>
        </w:tc>
      </w:tr>
    </w:tbl>
    <w:p>
      <w:pPr>
        <w:spacing w:after="40"/>
      </w:pPr>
    </w:p>
    <w:p>
      <w:r>
        <w:t xml:space="preserve">Run LIVE_DEMO Part 4 after </w:t>
      </w:r>
      <w:r>
        <w:rPr>
          <w:b/>
        </w:rPr>
        <w:t>every</w:t>
      </w:r>
      <w:r>
        <w:t xml:space="preserve"> rehearsal and after the class demonstration. Record whether cleanup actually passed. A rehearsal is complete only after the explanations, terminal switching, login handling and cleanup have been practised together.</w:t>
      </w:r>
    </w:p>
    <w:p>
      <w:pPr>
        <w:pStyle w:val="Heading2"/>
      </w:pPr>
      <w:r>
        <w:t>Keep the demonstration short</w:t>
      </w:r>
    </w:p>
    <w:p>
      <w:r>
        <w:t>The lecturer asks for a short demonstration but supplies no exact time limit. Time your rehearsal against the group's actual allowance.</w:t>
      </w:r>
    </w:p>
    <w:p>
      <w:r>
        <w:t>The core live segment is Part 1, followed by explanation of recorded no-delay and defence findings. If time permits, add the bounded Part 2 and the one-call Part 3 control. When skipping a live segment, state that slides 5 and 7 contain recorded results. All six tasks remain covered in the written report. The two 300-second trials do not need to be repeated during a short talk.</w:t>
      </w:r>
    </w:p>
    <w:p>
      <w:r>
        <w:t>Do not interpret the 30-second monitor limit as the duration of the entire presentation: setup, explanation, authentication, resets and display switching also take time. After the atomic attacker announces readiness, start B promptly; A has a separate 90-second lifetime. If it expires first, stop/reset and start a new labelled trial.</w:t>
      </w:r>
    </w:p>
    <w:p>
      <w:pPr>
        <w:pStyle w:val="Heading1"/>
      </w:pPr>
      <w:r>
        <w:t>5. Open the right fallback evidence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44"/>
        <w:gridCol w:w="3344"/>
        <w:gridCol w:w="3344"/>
      </w:tblGrid>
      <w:tr>
        <w:trPr>
          <w:tblHeader/>
          <w:cantSplit/>
        </w:trPr>
        <w:tc>
          <w:tcPr>
            <w:tcW w:type="dxa" w:w="3344"/>
          </w:tcPr>
          <w:p>
            <w:pPr>
              <w:spacing w:after="60" w:before="60"/>
            </w:pPr>
            <w:r>
              <w:rPr>
                <w:b/>
                <w:sz w:val="18"/>
              </w:rPr>
              <w:t>Live situation</w:t>
            </w:r>
          </w:p>
        </w:tc>
        <w:tc>
          <w:tcPr>
            <w:tcW w:type="dxa" w:w="3344"/>
          </w:tcPr>
          <w:p>
            <w:pPr>
              <w:spacing w:after="60" w:before="60"/>
            </w:pPr>
            <w:r>
              <w:rPr>
                <w:b/>
                <w:sz w:val="18"/>
              </w:rPr>
              <w:t>Recorded evidence to open</w:t>
            </w:r>
          </w:p>
        </w:tc>
        <w:tc>
          <w:tcPr>
            <w:tcW w:type="dxa" w:w="3344"/>
          </w:tcPr>
          <w:p>
            <w:pPr>
              <w:spacing w:after="60" w:before="60"/>
            </w:pPr>
            <w:r>
              <w:rPr>
                <w:b/>
                <w:sz w:val="18"/>
              </w:rPr>
              <w:t>What to say</w:t>
            </w:r>
          </w:p>
        </w:tc>
      </w:tr>
      <w:tr>
        <w:trPr>
          <w:cantSplit/>
        </w:trPr>
        <w:tc>
          <w:tcPr>
            <w:tcW w:type="dxa" w:w="3344"/>
          </w:tcPr>
          <w:p>
            <w:pPr>
              <w:spacing w:after="60" w:before="60"/>
            </w:pPr>
            <w:r>
              <w:rPr>
                <w:sz w:val="18"/>
              </w:rPr>
              <w:t>Slow timing window missed</w:t>
            </w:r>
          </w:p>
        </w:tc>
        <w:tc>
          <w:tcPr>
            <w:tcW w:type="dxa" w:w="3344"/>
          </w:tcPr>
          <w:p>
            <w:pPr>
              <w:spacing w:after="60" w:before="60"/>
            </w:pPr>
            <w:r>
              <w:rPr>
                <w:sz w:val="18"/>
              </w:rPr>
              <w:t>S06-task2a-timing.png and S07-task2a-result.png</w:t>
            </w:r>
          </w:p>
        </w:tc>
        <w:tc>
          <w:tcPr>
            <w:tcW w:type="dxa" w:w="3344"/>
          </w:tcPr>
          <w:p>
            <w:pPr>
              <w:spacing w:after="60" w:before="60"/>
            </w:pPr>
            <w:r>
              <w:rPr>
                <w:sz w:val="18"/>
              </w:rPr>
              <w:t>This attempt missed; these are the earlier delayed demonstration and login result</w:t>
            </w:r>
          </w:p>
        </w:tc>
      </w:tr>
      <w:tr>
        <w:trPr>
          <w:cantSplit/>
        </w:trPr>
        <w:tc>
          <w:tcPr>
            <w:tcW w:type="dxa" w:w="3344"/>
          </w:tcPr>
          <w:p>
            <w:pPr>
              <w:spacing w:after="60" w:before="60"/>
            </w:pPr>
            <w:r>
              <w:rPr>
                <w:sz w:val="18"/>
              </w:rPr>
              <w:t>No-delay run times out</w:t>
            </w:r>
          </w:p>
        </w:tc>
        <w:tc>
          <w:tcPr>
            <w:tcW w:type="dxa" w:w="3344"/>
          </w:tcPr>
          <w:p>
            <w:pPr>
              <w:spacing w:after="60" w:before="60"/>
            </w:pPr>
            <w:r>
              <w:rPr>
                <w:sz w:val="18"/>
              </w:rPr>
              <w:t>S11-task2c-atomic-result.png; S09-task2b-result.png for the naive method</w:t>
            </w:r>
          </w:p>
        </w:tc>
        <w:tc>
          <w:tcPr>
            <w:tcW w:type="dxa" w:w="3344"/>
          </w:tcPr>
          <w:p>
            <w:pPr>
              <w:spacing w:after="60" w:before="60"/>
            </w:pPr>
            <w:r>
              <w:rPr>
                <w:sz w:val="18"/>
              </w:rPr>
              <w:t>The new bounded attempt did not win; these labelled earlier runs did</w:t>
            </w:r>
          </w:p>
        </w:tc>
      </w:tr>
      <w:tr>
        <w:trPr>
          <w:cantSplit/>
        </w:trPr>
        <w:tc>
          <w:tcPr>
            <w:tcW w:type="dxa" w:w="3344"/>
          </w:tcPr>
          <w:p>
            <w:pPr>
              <w:spacing w:after="60" w:before="60"/>
            </w:pPr>
            <w:r>
              <w:rPr>
                <w:sz w:val="18"/>
              </w:rPr>
              <w:t>Explain the sticky-file failure</w:t>
            </w:r>
          </w:p>
        </w:tc>
        <w:tc>
          <w:tcPr>
            <w:tcW w:type="dxa" w:w="3344"/>
          </w:tcPr>
          <w:p>
            <w:pPr>
              <w:spacing w:after="60" w:before="60"/>
            </w:pPr>
            <w:r>
              <w:rPr>
                <w:sz w:val="18"/>
              </w:rPr>
              <w:t>S10a-task2b-sticky-bit.png and S10b-task2b-file-exists.png</w:t>
            </w:r>
          </w:p>
        </w:tc>
        <w:tc>
          <w:tcPr>
            <w:tcW w:type="dxa" w:w="3344"/>
          </w:tcPr>
          <w:p>
            <w:pPr>
              <w:spacing w:after="60" w:before="60"/>
            </w:pPr>
            <w:r>
              <w:rPr>
                <w:sz w:val="18"/>
              </w:rPr>
              <w:t>Actual unlink denial and a distinct File-exists trial were preserved</w:t>
            </w:r>
          </w:p>
        </w:tc>
      </w:tr>
      <w:tr>
        <w:trPr>
          <w:cantSplit/>
        </w:trPr>
        <w:tc>
          <w:tcPr>
            <w:tcW w:type="dxa" w:w="3344"/>
          </w:tcPr>
          <w:p>
            <w:pPr>
              <w:spacing w:after="60" w:before="60"/>
            </w:pPr>
            <w:r>
              <w:rPr>
                <w:sz w:val="18"/>
              </w:rPr>
              <w:t>Explain defences</w:t>
            </w:r>
          </w:p>
        </w:tc>
        <w:tc>
          <w:tcPr>
            <w:tcW w:type="dxa" w:w="3344"/>
          </w:tcPr>
          <w:p>
            <w:pPr>
              <w:spacing w:after="60" w:before="60"/>
            </w:pPr>
            <w:r>
              <w:rPr>
                <w:sz w:val="18"/>
              </w:rPr>
              <w:t>S12a/S12b and S13a/S13b images</w:t>
            </w:r>
          </w:p>
        </w:tc>
        <w:tc>
          <w:tcPr>
            <w:tcW w:type="dxa" w:w="3344"/>
          </w:tcPr>
          <w:p>
            <w:pPr>
              <w:spacing w:after="60" w:before="60"/>
            </w:pPr>
            <w:r>
              <w:rPr>
                <w:sz w:val="18"/>
              </w:rPr>
              <w:t>No change in the recorded finite trials, plus denied-operation and allowed-file controls</w:t>
            </w:r>
          </w:p>
        </w:tc>
      </w:tr>
    </w:tbl>
    <w:p>
      <w:pPr>
        <w:spacing w:after="40"/>
      </w:pPr>
    </w:p>
    <w:p>
      <w:r>
        <w:t>Use the report's enlarged figures or zoom the original image to the relevant terminal. The whole-desktop screenshots are evidence archives, not all suitable for projection at fit-to-screen size. Slide 9 already supplies enlarged S09 proof excerpts. S15 is optional inventory evidence, not a final-report or live-success screenshot.</w:t>
      </w:r>
    </w:p>
    <w:p>
      <w:pPr>
        <w:pStyle w:val="Heading1"/>
      </w:pPr>
      <w:r>
        <w:t>6. Be ready to answer these questions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16"/>
        <w:gridCol w:w="5016"/>
      </w:tblGrid>
      <w:tr>
        <w:trPr>
          <w:tblHeader/>
          <w:cantSplit/>
        </w:trPr>
        <w:tc>
          <w:tcPr>
            <w:tcW w:type="dxa" w:w="5016"/>
          </w:tcPr>
          <w:p>
            <w:pPr>
              <w:spacing w:after="60" w:before="60"/>
            </w:pPr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5016"/>
          </w:tcPr>
          <w:p>
            <w:pPr>
              <w:spacing w:after="60" w:before="60"/>
            </w:pPr>
            <w:r>
              <w:rPr>
                <w:b/>
                <w:sz w:val="18"/>
              </w:rPr>
              <w:t>Short answer</w:t>
            </w:r>
          </w:p>
        </w:tc>
      </w:tr>
      <w:tr>
        <w:trPr>
          <w:cantSplit/>
        </w:trPr>
        <w:tc>
          <w:tcPr>
            <w:tcW w:type="dxa" w:w="5016"/>
          </w:tcPr>
          <w:p>
            <w:pPr>
              <w:spacing w:after="60" w:before="60"/>
            </w:pPr>
            <w:r>
              <w:rPr>
                <w:sz w:val="18"/>
              </w:rPr>
              <w:t>Why can seed change the link but not /etc/passwd?</w:t>
            </w:r>
          </w:p>
        </w:tc>
        <w:tc>
          <w:tcPr>
            <w:tcW w:type="dxa" w:w="5016"/>
          </w:tcPr>
          <w:p>
            <w:pPr>
              <w:spacing w:after="60" w:before="60"/>
            </w:pPr>
            <w:r>
              <w:rPr>
                <w:sz w:val="18"/>
              </w:rPr>
              <w:t>The link is seed-controlled in /tmp. The privileged victim supplies authority to open the protected target.</w:t>
            </w:r>
          </w:p>
        </w:tc>
      </w:tr>
      <w:tr>
        <w:trPr>
          <w:cantSplit/>
        </w:trPr>
        <w:tc>
          <w:tcPr>
            <w:tcW w:type="dxa" w:w="5016"/>
          </w:tcPr>
          <w:p>
            <w:pPr>
              <w:spacing w:after="60" w:before="60"/>
            </w:pPr>
            <w:r>
              <w:rPr>
                <w:sz w:val="18"/>
              </w:rPr>
              <w:t>Why is access() insufficient?</w:t>
            </w:r>
          </w:p>
        </w:tc>
        <w:tc>
          <w:tcPr>
            <w:tcW w:type="dxa" w:w="5016"/>
          </w:tcPr>
          <w:p>
            <w:pPr>
              <w:spacing w:after="60" w:before="60"/>
            </w:pPr>
            <w:r>
              <w:rPr>
                <w:sz w:val="18"/>
              </w:rPr>
              <w:t>It checks with the real identity, then a separate lookup/open uses the effective identity; the pathname can resolve to a different object.</w:t>
            </w:r>
          </w:p>
        </w:tc>
      </w:tr>
      <w:tr>
        <w:trPr>
          <w:cantSplit/>
        </w:trPr>
        <w:tc>
          <w:tcPr>
            <w:tcW w:type="dxa" w:w="5016"/>
          </w:tcPr>
          <w:p>
            <w:pPr>
              <w:spacing w:after="60" w:before="60"/>
            </w:pPr>
            <w:r>
              <w:rPr>
                <w:sz w:val="18"/>
              </w:rPr>
              <w:t>Why /dev/null first?</w:t>
            </w:r>
          </w:p>
        </w:tc>
        <w:tc>
          <w:tcPr>
            <w:tcW w:type="dxa" w:w="5016"/>
          </w:tcPr>
          <w:p>
            <w:pPr>
              <w:spacing w:after="60" w:before="60"/>
            </w:pPr>
            <w:r>
              <w:rPr>
                <w:sz w:val="18"/>
              </w:rPr>
              <w:t>It is writable by seed, so the check can pass.</w:t>
            </w:r>
          </w:p>
        </w:tc>
      </w:tr>
      <w:tr>
        <w:trPr>
          <w:cantSplit/>
        </w:trPr>
        <w:tc>
          <w:tcPr>
            <w:tcW w:type="dxa" w:w="5016"/>
          </w:tcPr>
          <w:p>
            <w:pPr>
              <w:spacing w:after="60" w:before="60"/>
            </w:pPr>
            <w:r>
              <w:rPr>
                <w:sz w:val="18"/>
              </w:rPr>
              <w:t>Why is test a root account?</w:t>
            </w:r>
          </w:p>
        </w:tc>
        <w:tc>
          <w:tcPr>
            <w:tcW w:type="dxa" w:w="5016"/>
          </w:tcPr>
          <w:p>
            <w:pPr>
              <w:spacing w:after="60" w:before="60"/>
            </w:pPr>
            <w:r>
              <w:rPr>
                <w:sz w:val="18"/>
              </w:rPr>
              <w:t>Its UID is zero. The account name itself is not the privilege.</w:t>
            </w:r>
          </w:p>
        </w:tc>
      </w:tr>
      <w:tr>
        <w:trPr>
          <w:cantSplit/>
        </w:trPr>
        <w:tc>
          <w:tcPr>
            <w:tcW w:type="dxa" w:w="5016"/>
          </w:tcPr>
          <w:p>
            <w:pPr>
              <w:spacing w:after="60" w:before="60"/>
            </w:pPr>
            <w:r>
              <w:rPr>
                <w:sz w:val="18"/>
              </w:rPr>
              <w:t>Was Task 1 an attack?</w:t>
            </w:r>
          </w:p>
        </w:tc>
        <w:tc>
          <w:tcPr>
            <w:tcW w:type="dxa" w:w="5016"/>
          </w:tcPr>
          <w:p>
            <w:pPr>
              <w:spacing w:after="60" w:before="60"/>
            </w:pPr>
            <w:r>
              <w:rPr>
                <w:sz w:val="18"/>
              </w:rPr>
              <w:t>No. Administrator insertion validates the record; independent attacks follow a clean reset.</w:t>
            </w:r>
          </w:p>
        </w:tc>
      </w:tr>
      <w:tr>
        <w:trPr>
          <w:cantSplit/>
        </w:trPr>
        <w:tc>
          <w:tcPr>
            <w:tcW w:type="dxa" w:w="5016"/>
          </w:tcPr>
          <w:p>
            <w:pPr>
              <w:spacing w:after="60" w:before="60"/>
            </w:pPr>
            <w:r>
              <w:rPr>
                <w:sz w:val="18"/>
              </w:rPr>
              <w:t>Is the ten-second run a real no-delay race?</w:t>
            </w:r>
          </w:p>
        </w:tc>
        <w:tc>
          <w:tcPr>
            <w:tcW w:type="dxa" w:w="5016"/>
          </w:tcPr>
          <w:p>
            <w:pPr>
              <w:spacing w:after="60" w:before="60"/>
            </w:pPr>
            <w:r>
              <w:rPr>
                <w:sz w:val="18"/>
              </w:rPr>
              <w:t>No. It is the official teaching simulation. Tasks 2.B and 2.C use the separate no-delay binary.</w:t>
            </w:r>
          </w:p>
        </w:tc>
      </w:tr>
      <w:tr>
        <w:trPr>
          <w:cantSplit/>
        </w:trPr>
        <w:tc>
          <w:tcPr>
            <w:tcW w:type="dxa" w:w="5016"/>
          </w:tcPr>
          <w:p>
            <w:pPr>
              <w:spacing w:after="60" w:before="60"/>
            </w:pPr>
            <w:r>
              <w:rPr>
                <w:sz w:val="18"/>
              </w:rPr>
              <w:t>Why did the naive attacker stop?</w:t>
            </w:r>
          </w:p>
        </w:tc>
        <w:tc>
          <w:tcPr>
            <w:tcW w:type="dxa" w:w="5016"/>
          </w:tcPr>
          <w:p>
            <w:pPr>
              <w:spacing w:after="60" w:before="60"/>
            </w:pPr>
            <w:r>
              <w:rPr>
                <w:sz w:val="18"/>
              </w:rPr>
              <w:t>The unlink/create gap let the victim create a root-owned regular file; sticky /tmp prevented seed from deleting it.</w:t>
            </w:r>
          </w:p>
        </w:tc>
      </w:tr>
      <w:tr>
        <w:trPr>
          <w:cantSplit/>
        </w:trPr>
        <w:tc>
          <w:tcPr>
            <w:tcW w:type="dxa" w:w="5016"/>
          </w:tcPr>
          <w:p>
            <w:pPr>
              <w:spacing w:after="60" w:before="60"/>
            </w:pPr>
            <w:r>
              <w:rPr>
                <w:sz w:val="18"/>
              </w:rPr>
              <w:t>Why use atomic exchange?</w:t>
            </w:r>
          </w:p>
        </w:tc>
        <w:tc>
          <w:tcPr>
            <w:tcW w:type="dxa" w:w="5016"/>
          </w:tcPr>
          <w:p>
            <w:pPr>
              <w:spacing w:after="60" w:before="60"/>
            </w:pPr>
            <w:r>
              <w:rPr>
                <w:sz w:val="18"/>
              </w:rPr>
              <w:t>It swaps initialized links without leaving XYZ absent during switching. The victim still has separate check/use operations.</w:t>
            </w:r>
          </w:p>
        </w:tc>
      </w:tr>
      <w:tr>
        <w:trPr>
          <w:cantSplit/>
        </w:trPr>
        <w:tc>
          <w:tcPr>
            <w:tcW w:type="dxa" w:w="5016"/>
          </w:tcPr>
          <w:p>
            <w:pPr>
              <w:spacing w:after="60" w:before="60"/>
            </w:pPr>
            <w:r>
              <w:rPr>
                <w:sz w:val="18"/>
              </w:rPr>
              <w:t>What does 0 seconds mean?</w:t>
            </w:r>
          </w:p>
        </w:tc>
        <w:tc>
          <w:tcPr>
            <w:tcW w:type="dxa" w:w="5016"/>
          </w:tcPr>
          <w:p>
            <w:pPr>
              <w:spacing w:after="60" w:before="60"/>
            </w:pPr>
            <w:r>
              <w:rPr>
                <w:sz w:val="18"/>
              </w:rPr>
              <w:t>The Bash counter has whole-second granularity. The recorded runner wall time is nonzero and includes orchestration.</w:t>
            </w:r>
          </w:p>
        </w:tc>
      </w:tr>
      <w:tr>
        <w:trPr>
          <w:cantSplit/>
        </w:trPr>
        <w:tc>
          <w:tcPr>
            <w:tcW w:type="dxa" w:w="5016"/>
          </w:tcPr>
          <w:p>
            <w:pPr>
              <w:spacing w:after="60" w:before="60"/>
            </w:pPr>
            <w:r>
              <w:rPr>
                <w:sz w:val="18"/>
              </w:rPr>
              <w:t>Why not claim atomic is always faster?</w:t>
            </w:r>
          </w:p>
        </w:tc>
        <w:tc>
          <w:tcPr>
            <w:tcW w:type="dxa" w:w="5016"/>
          </w:tcPr>
          <w:p>
            <w:pPr>
              <w:spacing w:after="60" w:before="60"/>
            </w:pPr>
            <w:r>
              <w:rPr>
                <w:sz w:val="18"/>
              </w:rPr>
              <w:t>A few scheduling-dependent outcomes do not establish a general performance or success-rate comparison.</w:t>
            </w:r>
          </w:p>
        </w:tc>
      </w:tr>
      <w:tr>
        <w:trPr>
          <w:cantSplit/>
        </w:trPr>
        <w:tc>
          <w:tcPr>
            <w:tcW w:type="dxa" w:w="5016"/>
          </w:tcPr>
          <w:p>
            <w:pPr>
              <w:spacing w:after="60" w:before="60"/>
            </w:pPr>
            <w:r>
              <w:rPr>
                <w:sz w:val="18"/>
              </w:rPr>
              <w:t>How do the defences differ?</w:t>
            </w:r>
          </w:p>
        </w:tc>
        <w:tc>
          <w:tcPr>
            <w:tcW w:type="dxa" w:w="5016"/>
          </w:tcPr>
          <w:p>
            <w:pPr>
              <w:spacing w:after="60" w:before="60"/>
            </w:pPr>
            <w:r>
              <w:rPr>
                <w:sz w:val="18"/>
              </w:rPr>
              <w:t>Least privilege removes root authority during file work. Symlink protection denies this ownership/context-specific privileged traversal.</w:t>
            </w:r>
          </w:p>
        </w:tc>
      </w:tr>
      <w:tr>
        <w:trPr>
          <w:cantSplit/>
        </w:trPr>
        <w:tc>
          <w:tcPr>
            <w:tcW w:type="dxa" w:w="5016"/>
          </w:tcPr>
          <w:p>
            <w:pPr>
              <w:spacing w:after="60" w:before="60"/>
            </w:pPr>
            <w:r>
              <w:rPr>
                <w:sz w:val="18"/>
              </w:rPr>
              <w:t>Do five minutes without success prove every race is fixed?</w:t>
            </w:r>
          </w:p>
        </w:tc>
        <w:tc>
          <w:tcPr>
            <w:tcW w:type="dxa" w:w="5016"/>
          </w:tcPr>
          <w:p>
            <w:pPr>
              <w:spacing w:after="60" w:before="60"/>
            </w:pPr>
            <w:r>
              <w:rPr>
                <w:sz w:val="18"/>
              </w:rPr>
              <w:t>No. State the observed counts/time and explain the credential or pathname rule supporting the result.</w:t>
            </w:r>
          </w:p>
        </w:tc>
      </w:tr>
      <w:tr>
        <w:trPr>
          <w:cantSplit/>
        </w:trPr>
        <w:tc>
          <w:tcPr>
            <w:tcW w:type="dxa" w:w="5016"/>
          </w:tcPr>
          <w:p>
            <w:pPr>
              <w:spacing w:after="60" w:before="60"/>
            </w:pPr>
            <w:r>
              <w:rPr>
                <w:sz w:val="18"/>
              </w:rPr>
              <w:t>What would you use in real code?</w:t>
            </w:r>
          </w:p>
        </w:tc>
        <w:tc>
          <w:tcPr>
            <w:tcW w:type="dxa" w:w="5016"/>
          </w:tcPr>
          <w:p>
            <w:pPr>
              <w:spacing w:after="60" w:before="60"/>
            </w:pPr>
            <w:r>
              <w:rPr>
                <w:sz w:val="18"/>
              </w:rPr>
              <w:t>Appropriate privilege, trusted directories, secure exclusive temporary creation and descriptor-based operations on the opened object.</w:t>
            </w:r>
          </w:p>
        </w:tc>
      </w:tr>
    </w:tbl>
    <w:p>
      <w:pPr>
        <w:spacing w:after="40"/>
      </w:pPr>
    </w:p>
    <w:p>
      <w:pPr>
        <w:pStyle w:val="Heading1"/>
      </w:pPr>
      <w:r>
        <w:t>7. Final readiness record</w:t>
      </w:r>
    </w:p>
    <w:p>
      <w:r>
        <w:t>The repository review is separate from a live rehearsal. Complete these yourself in the actual presentation environment:</w:t>
      </w:r>
    </w:p>
    <w:p>
      <w:pPr>
        <w:pStyle w:val="ListBullet"/>
      </w:pPr>
      <w:r>
        <w:t>VM starts and the prerequisites above pass.</w:t>
      </w:r>
    </w:p>
    <w:p>
      <w:pPr>
        <w:pStyle w:val="ListBullet"/>
      </w:pPr>
      <w:r>
        <w:t>Part 0 re-enables the demonstration after the previous cleanup.</w:t>
      </w:r>
    </w:p>
    <w:p>
      <w:pPr>
        <w:pStyle w:val="ListBullet"/>
      </w:pPr>
      <w:r>
        <w:t>A/B timing, interactive login and return to seed are practised.</w:t>
      </w:r>
    </w:p>
    <w:p>
      <w:pPr>
        <w:pStyle w:val="ListBullet"/>
      </w:pPr>
      <w:r>
        <w:t>Both the successful and missed/timeout explanation paths are familiar.</w:t>
      </w:r>
    </w:p>
    <w:p>
      <w:pPr>
        <w:pStyle w:val="ListBullet"/>
      </w:pPr>
      <w:r>
        <w:t>Saved evidence and the PDF slide backup open without relying on a network connection.</w:t>
      </w:r>
    </w:p>
    <w:p>
      <w:pPr>
        <w:pStyle w:val="ListBullet"/>
      </w:pPr>
      <w:r>
        <w:t>The segment fits the group's agreed time.</w:t>
      </w:r>
    </w:p>
    <w:p>
      <w:pPr>
        <w:pStyle w:val="ListBullet"/>
      </w:pPr>
      <w:r>
        <w:t>Part 4 cleanup passes.</w:t>
      </w:r>
    </w:p>
    <w:p>
      <w:pPr>
        <w:pStyle w:val="ListBullet"/>
      </w:pPr>
      <w:r>
        <w:t>The group confirms the deadline, final filename and upload format.</w:t>
      </w:r>
    </w:p>
    <w:sectPr w:rsidR="00FC693F" w:rsidRPr="0006063C" w:rsidSect="00034616">
      <w:headerReference w:type="default" r:id="rId9"/>
      <w:footerReference w:type="default" r:id="rId10"/>
      <w:pgSz w:w="11905" w:h="16838"/>
      <w:pgMar w:top="893" w:right="936" w:bottom="893" w:left="936" w:header="389" w:footer="38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Member 5 — ISSD   |   </w:t>
    </w:r>
    <w:fldSimple w:instr="PAGE" w:dirty="true">
      <w:r>
        <w:rPr>
          <w:sz w:val="16"/>
        </w:rPr>
        <w:t>1</w:t>
      </w:r>
    </w:fldSimple>
    <w:r>
      <w:rPr>
        <w:sz w:val="16"/>
      </w:rPr>
      <w:t xml:space="preserve"> / </w:t>
    </w:r>
    <w:fldSimple w:instr="NUMPAGES" w:dirty="true">
      <w:r>
        <w:rPr>
          <w:sz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26175"/>
        <w:sz w:val="16"/>
      </w:rPr>
      <w:t>ISSD  /  MEMBER 5                                      SEED RACE-CONDITION LAB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4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42A4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87E8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87E8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42A43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4" w:lineRule="auto"/>
    </w:pPr>
    <w:rPr>
      <w:rFonts w:ascii="Arial" w:hAnsi="Arial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4" w:lineRule="auto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54" w:lineRule="auto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Live Preparation</dc:title>
  <dc:subject>Completed findings and live-demo support; actual SEED VM evidence</dc:subject>
  <dc:creator>Member 5 — ISSD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