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registration responses</w:t>
      </w:r>
    </w:p>
    <w:p>
      <w:pPr>
        <w:pStyle w:val="Subtitle"/>
      </w:pPr>
      <w:r>
        <w:t>Proposed direction for lecturer feedback | 8 September 2026</w:t>
      </w:r>
    </w:p>
    <w:p>
      <w:pPr>
        <w:pStyle w:val="SmallNote"/>
      </w:pPr>
      <w:r>
        <w:t>Pages 1–2 contain the form answers. Pages 3–5 provide supporting detail. Complete the two bracketed administrative fields before submitting.</w:t>
      </w:r>
    </w:p>
    <w:p>
      <w:pPr>
        <w:pStyle w:val="Metadata"/>
      </w:pPr>
      <w:r>
        <w:rPr>
          <w:b/>
        </w:rPr>
        <w:t xml:space="preserve">Email: </w:t>
      </w:r>
      <w:r>
        <w:t>eeshan.vaghjiani@strathmore.edu</w:t>
      </w:r>
    </w:p>
    <w:p>
      <w:pPr>
        <w:pStyle w:val="Metadata"/>
      </w:pPr>
      <w:r>
        <w:rPr>
          <w:b/>
        </w:rPr>
        <w:t xml:space="preserve">Class group: </w:t>
      </w:r>
      <w:r>
        <w:t>[Enter your class group]</w:t>
      </w:r>
    </w:p>
    <w:p>
      <w:pPr>
        <w:pStyle w:val="Metadata"/>
      </w:pPr>
      <w:r>
        <w:rPr>
          <w:b/>
        </w:rPr>
        <w:t xml:space="preserve">Group number: </w:t>
      </w:r>
      <w:r>
        <w:t>[Enter your official D1/E1-style group number]</w:t>
      </w:r>
    </w:p>
    <w:p>
      <w:pPr>
        <w:pStyle w:val="Heading2"/>
      </w:pPr>
      <w:r>
        <w:t>Project title — provisional</w:t>
      </w:r>
    </w:p>
    <w:p>
      <w:pPr/>
      <w:r>
        <w:t xml:space="preserve">Temporal Genomic Analysis of the </w:t>
      </w:r>
      <w:r>
        <w:rPr>
          <w:i/>
        </w:rPr>
        <w:t>pfcrt</w:t>
      </w:r>
      <w:r>
        <w:t xml:space="preserve"> K76T Chloroquine-Resistance Marker in </w:t>
      </w:r>
      <w:r>
        <w:rPr>
          <w:i/>
        </w:rPr>
        <w:t>Plasmodium falciparum</w:t>
      </w:r>
      <w:r>
        <w:t xml:space="preserve"> from Kilifi, Kenya, 1994–2020</w:t>
      </w:r>
    </w:p>
    <w:p>
      <w:pPr>
        <w:pStyle w:val="Heading2"/>
      </w:pPr>
      <w:r>
        <w:t>Preferred track</w:t>
      </w:r>
    </w:p>
    <w:p>
      <w:pPr/>
      <w:r>
        <w:t>Track 1: Genomics. The project analyses an established genetic variant in a parasite gene using sequence-derived genotype data and sample metadata.</w:t>
      </w:r>
    </w:p>
    <w:p>
      <w:pPr>
        <w:pStyle w:val="Heading2"/>
      </w:pPr>
      <w:r>
        <w:t>Biological problem / phenomenon</w:t>
      </w:r>
    </w:p>
    <w:p>
      <w:pPr/>
      <w:r>
        <w:rPr>
          <w:i/>
        </w:rPr>
        <w:t>Plasmodium falciparum</w:t>
      </w:r>
      <w:r>
        <w:t xml:space="preserve"> can carry genetic variants associated with reduced susceptibility to antimalarial drugs. The </w:t>
      </w:r>
      <w:r>
        <w:rPr>
          <w:i/>
        </w:rPr>
        <w:t>pfcrt</w:t>
      </w:r>
      <w:r>
        <w:t xml:space="preserve"> gene encodes the chloroquine resistance transporter, PfCRT. K76T describes a change from lysine (K) to threonine (T) at amino-acid position 76 and is an established chloroquine-resistance-associated marker. Tracking this marker provides a focused way to investigate historical changes in parasite genetic composition. [3]</w:t>
      </w:r>
    </w:p>
    <w:p>
      <w:pPr/>
      <w:r>
        <w:t>Kilifi has archived parasite data across several decades, but a sample may contain both K and T calls, and the number and source of samples vary between years. These features can affect how a temporal summary is interpreted. Building on earlier Kilifi research, we will examine the historical K76T pattern and test how the treatment of mixed calls and changing sampling composition influences the estimates. [1, 2, 4]</w:t>
      </w:r>
    </w:p>
    <w:p>
      <w:pPr>
        <w:pStyle w:val="Heading2"/>
      </w:pPr>
      <w:r>
        <w:t>Research question</w:t>
      </w:r>
    </w:p>
    <w:p>
      <w:pPr/>
      <w:r>
        <w:t xml:space="preserve">How did the sample-level prevalence of the </w:t>
      </w:r>
      <w:r>
        <w:rPr>
          <w:i/>
        </w:rPr>
        <w:t>pfcrt</w:t>
      </w:r>
      <w:r>
        <w:t xml:space="preserve"> 76T resistance-associated variant change among archived </w:t>
      </w:r>
      <w:r>
        <w:rPr>
          <w:i/>
        </w:rPr>
        <w:t>Plasmodium falciparum</w:t>
      </w:r>
      <w:r>
        <w:t xml:space="preserve"> samples from Kilifi, Kenya, between 1994 and 2020, and how sensitive are the estimated temporal patterns to the inclusion of mixed K/T calls, unequal sampling across years and changes in contributing studies?</w:t>
      </w:r>
    </w:p>
    <w:p>
      <w:pPr>
        <w:pStyle w:val="Heading1"/>
        <w:pageBreakBefore/>
        <w:spacing w:before="0"/>
      </w:pPr>
      <w:r>
        <w:t>Form responses — continued</w:t>
      </w:r>
    </w:p>
    <w:p>
      <w:pPr>
        <w:pStyle w:val="Heading2"/>
      </w:pPr>
      <w:r>
        <w:t>Target beneficiaries / stakeholders</w:t>
      </w:r>
    </w:p>
    <w:p>
      <w:pPr/>
      <w:r>
        <w:t>Potential beneficiaries include malaria genomic-surveillance researchers, bioinformatics students and research teams in coastal Kenya. National and county malaria programmes may find the historical summary useful. Academic supervisors and future student groups would benefit from the reproducible workflow and its explicit handling of mixed infections.</w:t>
      </w:r>
    </w:p>
    <w:p>
      <w:pPr>
        <w:pStyle w:val="Heading2"/>
      </w:pPr>
      <w:r>
        <w:t>Scope</w:t>
      </w:r>
    </w:p>
    <w:p>
      <w:pPr/>
      <w:r>
        <w:rPr>
          <w:b/>
        </w:rPr>
        <w:t xml:space="preserve">Organism, gene and biological condition: </w:t>
      </w:r>
      <w:r>
        <w:t xml:space="preserve">We will study the </w:t>
      </w:r>
      <w:r>
        <w:rPr>
          <w:i/>
        </w:rPr>
        <w:t>Plasmodium falciparum</w:t>
      </w:r>
      <w:r>
        <w:t xml:space="preserve"> </w:t>
      </w:r>
      <w:r>
        <w:rPr>
          <w:i/>
        </w:rPr>
        <w:t>pfcrt</w:t>
      </w:r>
      <w:r>
        <w:t xml:space="preserve"> codon-76 marker associated with chloroquine resistance, distinguishing K76-only, 76T-only and mixed K/T calls. This marker alone does not provide a complete measurement of drug susceptibility.</w:t>
      </w:r>
    </w:p>
    <w:p>
      <w:pPr/>
      <w:r>
        <w:rPr>
          <w:b/>
        </w:rPr>
        <w:t xml:space="preserve">Dataset, location and period: </w:t>
      </w:r>
      <w:r>
        <w:t>We will use public MalariaGEN Pf8 metadata and resistance-marker genotypes, retaining quality-passing Kenya/Kilifi records with a known collection year within 1994–2020. A preliminary check identified 1,872 eligible records across 25 observed years; 2001 and 2002 have no samples. [1, 2]</w:t>
      </w:r>
    </w:p>
    <w:p>
      <w:pPr/>
      <w:r>
        <w:rPr>
          <w:b/>
        </w:rPr>
        <w:t xml:space="preserve">Analytical focus: </w:t>
      </w:r>
      <w:r>
        <w:t>We will estimate annual and period-specific marker prevalence, mixed-call proportions and uncertainty, then repeat summaries under alternative mixed-call and sampling rules. The unit is the retained infection-sample record. Findings describe this archive, whose sampling may not represent all Kilifi infections.</w:t>
      </w:r>
    </w:p>
    <w:p>
      <w:pPr/>
      <w:r>
        <w:rPr>
          <w:b/>
        </w:rPr>
        <w:t xml:space="preserve">Boundaries: </w:t>
      </w:r>
      <w:r>
        <w:t>Work is limited to existing processed genotype data. New sample collection, laboratory experiments, clinical prediction, analysis of all resistance genes and claims about present-day prevalence are outside the scope.</w:t>
      </w:r>
    </w:p>
    <w:p>
      <w:pPr>
        <w:pStyle w:val="Heading2"/>
      </w:pPr>
      <w:r>
        <w:t>Objectives — four specific objectives</w:t>
      </w:r>
    </w:p>
    <w:p>
      <w:pPr>
        <w:pStyle w:val="PlanList"/>
        <w:numPr>
          <w:ilvl w:val="0"/>
          <w:numId w:val="10"/>
        </w:numPr>
        <w:ind w:left="720" w:hanging="360"/>
      </w:pPr>
      <w:r>
        <w:t xml:space="preserve">Curate and validate the eligible Kilifi Pf8 records, linking sample metadata to </w:t>
      </w:r>
      <w:r>
        <w:rPr>
          <w:i/>
        </w:rPr>
        <w:t>pfcrt</w:t>
      </w:r>
      <w:r>
        <w:t xml:space="preserve"> codon-76 calls and documenting quality filters, duplicate checks and missing data.</w:t>
      </w:r>
    </w:p>
    <w:p>
      <w:pPr>
        <w:pStyle w:val="PlanList"/>
        <w:numPr>
          <w:ilvl w:val="0"/>
          <w:numId w:val="10"/>
        </w:numPr>
        <w:ind w:left="720" w:hanging="360"/>
      </w:pPr>
      <w:r>
        <w:t>Estimate the annual and period-specific proportions of K76-only, 76T-only and mixed K/T calls, with sample counts and 95% confidence intervals.</w:t>
      </w:r>
    </w:p>
    <w:p>
      <w:pPr>
        <w:pStyle w:val="PlanList"/>
        <w:numPr>
          <w:ilvl w:val="0"/>
          <w:numId w:val="10"/>
        </w:numPr>
        <w:ind w:left="720" w:hanging="360"/>
      </w:pPr>
      <w:r>
        <w:t>Compare the sample-level prevalence of 76T across predefined time periods and describe the magnitude and uncertainty of temporal differences.</w:t>
      </w:r>
    </w:p>
    <w:p>
      <w:pPr>
        <w:pStyle w:val="PlanList"/>
        <w:numPr>
          <w:ilvl w:val="0"/>
          <w:numId w:val="10"/>
        </w:numPr>
        <w:ind w:left="720" w:hanging="360"/>
      </w:pPr>
      <w:r>
        <w:t>Evaluate sensitivity to mixed-call inclusion, unequal yearly sampling and study composition, then interpret the temporal findings biologically using published research.</w:t>
      </w:r>
    </w:p>
    <w:p>
      <w:pPr>
        <w:pStyle w:val="Heading2"/>
      </w:pPr>
      <w:r>
        <w:t>Keywords — five</w:t>
      </w:r>
    </w:p>
    <w:p>
      <w:pPr/>
      <w:r>
        <w:rPr>
          <w:i/>
        </w:rPr>
        <w:t>Plasmodium falciparum</w:t>
      </w:r>
      <w:r>
        <w:t xml:space="preserve">; </w:t>
      </w:r>
      <w:r>
        <w:rPr>
          <w:i/>
        </w:rPr>
        <w:t>pfcrt</w:t>
      </w:r>
      <w:r>
        <w:t xml:space="preserve"> K76T; chloroquine resistance; temporal genomics; Kilifi</w:t>
      </w:r>
    </w:p>
    <w:p>
      <w:pPr>
        <w:pStyle w:val="Heading1"/>
        <w:pageBreakBefore/>
        <w:spacing w:before="0"/>
      </w:pPr>
      <w:r>
        <w:t>Supporting detail — feasibility and distinctness</w:t>
      </w:r>
    </w:p>
    <w:p>
      <w:pPr>
        <w:pStyle w:val="SmallNote"/>
      </w:pPr>
      <w:r>
        <w:t>The checks below establish data availability. They are not a completed temporal analysis.</w:t>
      </w:r>
    </w:p>
    <w:p>
      <w:pPr>
        <w:pStyle w:val="Heading2"/>
      </w:pPr>
      <w:r>
        <w:t>Verified data inventory</w:t>
      </w:r>
    </w:p>
    <w:p>
      <w:pPr/>
      <w:r>
        <w:t>The inspected Pf8 metadata contain 2,078 Kilifi records. Applying the supplied QC-pass filter retains 1,872 and excludes 206. All retained records join to a codon-76 call. Their normalized “All samples same case” identifiers are unique within this subset, providing an initial check against repeated inclusion of the same recorded case. [1, 2]</w:t>
      </w:r>
    </w:p>
    <w:tbl>
      <w:tblPr>
        <w:tblW w:type="dxa" w:w="9360"/>
        <w:jc w:val="left"/>
        <w:tblLayout w:type="fixed"/>
        <w:tblLook w:firstColumn="1" w:firstRow="1" w:lastColumn="0" w:lastRow="0" w:noHBand="0" w:noVBand="1" w:val="04A0"/>
        <w:tblInd w:type="dxa" w:w="120"/>
        <w:tblBorders>
          <w:top w:val="single" w:sz="4" w:color="CCCCCC"/>
          <w:bottom w:val="single" w:sz="4" w:color="CCCCCC"/>
          <w:left w:val="single" w:sz="4" w:color="CCCCCC"/>
          <w:right w:val="single" w:sz="4" w:color="CCCCCC"/>
          <w:insideH w:val="single" w:sz="4" w:color="CCCCCC"/>
          <w:insideV w:val="single" w:sz="4" w:color="CCCCCC"/>
        </w:tblBorders>
      </w:tblPr>
      <w:tblGrid>
        <w:gridCol w:w="2600"/>
        <w:gridCol w:w="4760"/>
        <w:gridCol w:w="2000"/>
      </w:tblGrid>
      <w:tr>
        <w:trPr>
          <w:cantSplit/>
          <w:tblHeader/>
        </w:trPr>
        <w:tc>
          <w:tcPr>
            <w:tcW w:type="dxa" w:w="2600"/>
            <w:tcMar>
              <w:top w:w="80" w:type="dxa"/>
              <w:bottom w:w="80" w:type="dxa"/>
              <w:start w:w="120" w:type="dxa"/>
              <w:end w:w="120" w:type="dxa"/>
            </w:tcMar>
            <w:vAlign w:val="center"/>
            <w:shd w:fill="F2F4F7"/>
          </w:tcPr>
          <w:p>
            <w:pPr>
              <w:pStyle w:val="TableHeader"/>
            </w:pPr>
            <w:r>
              <w:t>Raw codon-76 call</w:t>
            </w:r>
          </w:p>
        </w:tc>
        <w:tc>
          <w:tcPr>
            <w:tcW w:type="dxa" w:w="4760"/>
            <w:tcMar>
              <w:top w:w="80" w:type="dxa"/>
              <w:bottom w:w="80" w:type="dxa"/>
              <w:start w:w="120" w:type="dxa"/>
              <w:end w:w="120" w:type="dxa"/>
            </w:tcMar>
            <w:vAlign w:val="center"/>
            <w:shd w:fill="F2F4F7"/>
          </w:tcPr>
          <w:p>
            <w:pPr>
              <w:pStyle w:val="TableHeader"/>
            </w:pPr>
            <w:r>
              <w:t>Analysis category</w:t>
            </w:r>
          </w:p>
        </w:tc>
        <w:tc>
          <w:tcPr>
            <w:tcW w:type="dxa" w:w="2000"/>
            <w:tcMar>
              <w:top w:w="80" w:type="dxa"/>
              <w:bottom w:w="80" w:type="dxa"/>
              <w:start w:w="120" w:type="dxa"/>
              <w:end w:w="120" w:type="dxa"/>
            </w:tcMar>
            <w:vAlign w:val="center"/>
            <w:shd w:fill="F2F4F7"/>
          </w:tcPr>
          <w:p>
            <w:pPr>
              <w:pStyle w:val="TableHeader"/>
              <w:jc w:val="center"/>
            </w:pPr>
            <w:r>
              <w:t>Records</w:t>
            </w:r>
          </w:p>
        </w:tc>
      </w:tr>
      <w:tr>
        <w:trPr>
          <w:cantSplit/>
        </w:trPr>
        <w:tc>
          <w:tcPr>
            <w:tcW w:type="dxa" w:w="2600"/>
            <w:tcMar>
              <w:top w:w="80" w:type="dxa"/>
              <w:bottom w:w="80" w:type="dxa"/>
              <w:start w:w="120" w:type="dxa"/>
              <w:end w:w="120" w:type="dxa"/>
            </w:tcMar>
            <w:vAlign w:val="center"/>
            <w:shd w:fill="FFFFFF"/>
          </w:tcPr>
          <w:p>
            <w:pPr>
              <w:pStyle w:val="TableBody"/>
            </w:pPr>
            <w:r>
              <w:t>K</w:t>
            </w:r>
          </w:p>
        </w:tc>
        <w:tc>
          <w:tcPr>
            <w:tcW w:type="dxa" w:w="4760"/>
            <w:tcMar>
              <w:top w:w="80" w:type="dxa"/>
              <w:bottom w:w="80" w:type="dxa"/>
              <w:start w:w="120" w:type="dxa"/>
              <w:end w:w="120" w:type="dxa"/>
            </w:tcMar>
            <w:vAlign w:val="center"/>
            <w:shd w:fill="FFFFFF"/>
          </w:tcPr>
          <w:p>
            <w:pPr>
              <w:pStyle w:val="TableBody"/>
            </w:pPr>
            <w:r>
              <w:t>K76-only</w:t>
            </w:r>
          </w:p>
        </w:tc>
        <w:tc>
          <w:tcPr>
            <w:tcW w:type="dxa" w:w="2000"/>
            <w:tcMar>
              <w:top w:w="80" w:type="dxa"/>
              <w:bottom w:w="80" w:type="dxa"/>
              <w:start w:w="120" w:type="dxa"/>
              <w:end w:w="120" w:type="dxa"/>
            </w:tcMar>
            <w:vAlign w:val="center"/>
            <w:shd w:fill="FFFFFF"/>
          </w:tcPr>
          <w:p>
            <w:pPr>
              <w:pStyle w:val="TableBody"/>
              <w:jc w:val="center"/>
            </w:pPr>
            <w:r>
              <w:t>1,236</w:t>
            </w:r>
          </w:p>
        </w:tc>
      </w:tr>
      <w:tr>
        <w:trPr>
          <w:cantSplit/>
        </w:trPr>
        <w:tc>
          <w:tcPr>
            <w:tcW w:type="dxa" w:w="2600"/>
            <w:tcMar>
              <w:top w:w="80" w:type="dxa"/>
              <w:bottom w:w="80" w:type="dxa"/>
              <w:start w:w="120" w:type="dxa"/>
              <w:end w:w="120" w:type="dxa"/>
            </w:tcMar>
            <w:vAlign w:val="center"/>
            <w:shd w:fill="FFFFFF"/>
          </w:tcPr>
          <w:p>
            <w:pPr>
              <w:pStyle w:val="TableBody"/>
            </w:pPr>
            <w:r>
              <w:t>T</w:t>
            </w:r>
          </w:p>
        </w:tc>
        <w:tc>
          <w:tcPr>
            <w:tcW w:type="dxa" w:w="4760"/>
            <w:tcMar>
              <w:top w:w="80" w:type="dxa"/>
              <w:bottom w:w="80" w:type="dxa"/>
              <w:start w:w="120" w:type="dxa"/>
              <w:end w:w="120" w:type="dxa"/>
            </w:tcMar>
            <w:vAlign w:val="center"/>
            <w:shd w:fill="FFFFFF"/>
          </w:tcPr>
          <w:p>
            <w:pPr>
              <w:pStyle w:val="TableBody"/>
            </w:pPr>
            <w:r>
              <w:t>76T-only</w:t>
            </w:r>
          </w:p>
        </w:tc>
        <w:tc>
          <w:tcPr>
            <w:tcW w:type="dxa" w:w="2000"/>
            <w:tcMar>
              <w:top w:w="80" w:type="dxa"/>
              <w:bottom w:w="80" w:type="dxa"/>
              <w:start w:w="120" w:type="dxa"/>
              <w:end w:w="120" w:type="dxa"/>
            </w:tcMar>
            <w:vAlign w:val="center"/>
            <w:shd w:fill="FFFFFF"/>
          </w:tcPr>
          <w:p>
            <w:pPr>
              <w:pStyle w:val="TableBody"/>
              <w:jc w:val="center"/>
            </w:pPr>
            <w:r>
              <w:t>467</w:t>
            </w:r>
          </w:p>
        </w:tc>
      </w:tr>
      <w:tr>
        <w:trPr>
          <w:cantSplit/>
        </w:trPr>
        <w:tc>
          <w:tcPr>
            <w:tcW w:type="dxa" w:w="2600"/>
            <w:tcMar>
              <w:top w:w="80" w:type="dxa"/>
              <w:bottom w:w="80" w:type="dxa"/>
              <w:start w:w="120" w:type="dxa"/>
              <w:end w:w="120" w:type="dxa"/>
            </w:tcMar>
            <w:vAlign w:val="center"/>
            <w:shd w:fill="FFFFFF"/>
          </w:tcPr>
          <w:p>
            <w:pPr>
              <w:pStyle w:val="TableBody"/>
            </w:pPr>
            <w:r>
              <w:t>K,T or T,K</w:t>
            </w:r>
          </w:p>
        </w:tc>
        <w:tc>
          <w:tcPr>
            <w:tcW w:type="dxa" w:w="4760"/>
            <w:tcMar>
              <w:top w:w="80" w:type="dxa"/>
              <w:bottom w:w="80" w:type="dxa"/>
              <w:start w:w="120" w:type="dxa"/>
              <w:end w:w="120" w:type="dxa"/>
            </w:tcMar>
            <w:vAlign w:val="center"/>
            <w:shd w:fill="FFFFFF"/>
          </w:tcPr>
          <w:p>
            <w:pPr>
              <w:pStyle w:val="TableBody"/>
            </w:pPr>
            <w:r>
              <w:t>Mixed K/T</w:t>
            </w:r>
          </w:p>
        </w:tc>
        <w:tc>
          <w:tcPr>
            <w:tcW w:type="dxa" w:w="2000"/>
            <w:tcMar>
              <w:top w:w="80" w:type="dxa"/>
              <w:bottom w:w="80" w:type="dxa"/>
              <w:start w:w="120" w:type="dxa"/>
              <w:end w:w="120" w:type="dxa"/>
            </w:tcMar>
            <w:vAlign w:val="center"/>
            <w:shd w:fill="FFFFFF"/>
          </w:tcPr>
          <w:p>
            <w:pPr>
              <w:pStyle w:val="TableBody"/>
              <w:jc w:val="center"/>
            </w:pPr>
            <w:r>
              <w:t>169</w:t>
            </w:r>
          </w:p>
        </w:tc>
      </w:tr>
      <w:tr>
        <w:trPr>
          <w:cantSplit/>
        </w:trPr>
        <w:tc>
          <w:tcPr>
            <w:tcW w:type="dxa" w:w="2600"/>
            <w:tcMar>
              <w:top w:w="80" w:type="dxa"/>
              <w:bottom w:w="80" w:type="dxa"/>
              <w:start w:w="120" w:type="dxa"/>
              <w:end w:w="120" w:type="dxa"/>
            </w:tcMar>
            <w:vAlign w:val="center"/>
            <w:shd w:fill="FFFFFF"/>
          </w:tcPr>
          <w:p>
            <w:pPr>
              <w:pStyle w:val="TableBody"/>
            </w:pPr>
            <w:r>
              <w:t>All three categories</w:t>
            </w:r>
          </w:p>
        </w:tc>
        <w:tc>
          <w:tcPr>
            <w:tcW w:type="dxa" w:w="4760"/>
            <w:tcMar>
              <w:top w:w="80" w:type="dxa"/>
              <w:bottom w:w="80" w:type="dxa"/>
              <w:start w:w="120" w:type="dxa"/>
              <w:end w:w="120" w:type="dxa"/>
            </w:tcMar>
            <w:vAlign w:val="center"/>
            <w:shd w:fill="FFFFFF"/>
          </w:tcPr>
          <w:p>
            <w:pPr>
              <w:pStyle w:val="TableBody"/>
            </w:pPr>
            <w:r>
              <w:t>Eligible total</w:t>
            </w:r>
          </w:p>
        </w:tc>
        <w:tc>
          <w:tcPr>
            <w:tcW w:type="dxa" w:w="2000"/>
            <w:tcMar>
              <w:top w:w="80" w:type="dxa"/>
              <w:bottom w:w="80" w:type="dxa"/>
              <w:start w:w="120" w:type="dxa"/>
              <w:end w:w="120" w:type="dxa"/>
            </w:tcMar>
            <w:vAlign w:val="center"/>
            <w:shd w:fill="FFFFFF"/>
          </w:tcPr>
          <w:p>
            <w:pPr>
              <w:pStyle w:val="TableBody"/>
              <w:jc w:val="center"/>
            </w:pPr>
            <w:r>
              <w:t>1,872</w:t>
            </w:r>
          </w:p>
        </w:tc>
      </w:tr>
    </w:tbl>
    <w:p>
      <w:pPr>
        <w:pStyle w:val="TableCitation"/>
      </w:pPr>
      <w:r>
        <w:t>Computed directly from the inspected Pf8 files on 8 September 2026. Excluding mixed calls leaves 1,703 unambiguous K/T records. Counts should be reproduced from the frozen input files when the analysis begins.</w:t>
      </w:r>
    </w:p>
    <w:p>
      <w:pPr>
        <w:pStyle w:val="Heading2"/>
      </w:pPr>
      <w:r>
        <w:t>Why the sampling checks matter</w:t>
      </w:r>
    </w:p>
    <w:p>
      <w:pPr/>
      <w:r>
        <w:t>Yearly sample sizes range from 12 in 1999 to 261 in 2018; 2019 contributes another 244 records. Four studies contribute data. The largest, 1132-PF-K1000G-DBS-KE-BEJON, contributes 1,608 records and covers every observed year. Other studies add records in 2007, 2018 and 2019. Repeating the analysis within the largest study offers a practical check on changes in study composition.</w:t>
      </w:r>
    </w:p>
    <w:p>
      <w:pPr/>
      <w:r>
        <w:t>The period 1994–2020 is therefore supported as the archive’s time span, but it does not mean uninterrupted annual coverage. Missing years will remain explicit gaps, and years with small samples will retain their wider uncertainty intervals.</w:t>
      </w:r>
    </w:p>
    <w:p>
      <w:pPr>
        <w:pStyle w:val="Heading2"/>
      </w:pPr>
      <w:r>
        <w:t>What makes the proposed question more specific</w:t>
      </w:r>
    </w:p>
    <w:p>
      <w:pPr/>
      <w:r>
        <w:t>Omedo and colleagues already investigated drug-resistance mutations in Kilifi over 1994–2018. This project should be presented as a focused secondary analysis that builds on existing research, not as the first investigation of chloroquine resistance in Kilifi. [4]</w:t>
      </w:r>
    </w:p>
    <w:p>
      <w:pPr/>
      <w:r>
        <w:t>The proposed contribution combines one codon, one location, a defined Pf8 archive through 2020, explicit comparison of mixed-call rules and an examination of sampling composition. That combination should be stated in the form’s question, scope and objectives. Distinctness from classmates still depends on their actual proposals; changing only the title would not resolve substantial duplication.</w:t>
      </w:r>
    </w:p>
    <w:p>
      <w:pPr>
        <w:pStyle w:val="Heading1"/>
        <w:pageBreakBefore/>
        <w:spacing w:before="0"/>
      </w:pPr>
      <w:r>
        <w:t>Supporting detail — proposed analysis plan</w:t>
      </w:r>
    </w:p>
    <w:p>
      <w:pPr>
        <w:pStyle w:val="SmallNote"/>
      </w:pPr>
      <w:r>
        <w:t>This plan can be refined with lecturer feedback as the relevant methods are introduced.</w:t>
      </w:r>
    </w:p>
    <w:p>
      <w:pPr>
        <w:pStyle w:val="PlanList"/>
        <w:numPr>
          <w:ilvl w:val="0"/>
          <w:numId w:val="11"/>
        </w:numPr>
        <w:ind w:left="720" w:hanging="360"/>
      </w:pPr>
      <w:r>
        <w:rPr>
          <w:b/>
        </w:rPr>
        <w:t xml:space="preserve">Acquire and document the data. </w:t>
      </w:r>
      <w:r>
        <w:t>Record the Pf8 release, file URLs, access date and file hashes. Retain the original files. Use a reproducible Python notebook for processing and figures; pandas, SciPy and a plotting library are sufficient for the core workflow.</w:t>
      </w:r>
    </w:p>
    <w:p>
      <w:pPr>
        <w:pStyle w:val="PlanList"/>
        <w:numPr>
          <w:ilvl w:val="0"/>
          <w:numId w:val="11"/>
        </w:numPr>
        <w:ind w:left="720" w:hanging="360"/>
      </w:pPr>
      <w:r>
        <w:rPr>
          <w:b/>
        </w:rPr>
        <w:t xml:space="preserve">Construct the cohort. </w:t>
      </w:r>
      <w:r>
        <w:t>Join Pf8_samples.txt and Pf8_drug_resistance_marker_genotypes.tsv by Sample. Filter Country = Kenya, Admin level 1 = Kilifi, QC pass = True and Year within the stated range. Check case identifiers, year coverage and join completeness. Preserve an exclusion log.</w:t>
      </w:r>
    </w:p>
    <w:p>
      <w:pPr>
        <w:pStyle w:val="PlanList"/>
        <w:numPr>
          <w:ilvl w:val="0"/>
          <w:numId w:val="11"/>
        </w:numPr>
        <w:ind w:left="720" w:hanging="360"/>
      </w:pPr>
      <w:r>
        <w:rPr>
          <w:b/>
        </w:rPr>
        <w:t xml:space="preserve">Classify the biological marker. </w:t>
      </w:r>
      <w:r>
        <w:t>Use crt_76[K] as the marker field. Map K and T to their single-call categories and both K,T and T,K to mixed K/T. Investigate unexpected values; keep missing or unresolved calls outside callable denominators and report them separately. Do not interpret a mixed call as a 50:50 mixture of parasite clones. [2]</w:t>
      </w:r>
    </w:p>
    <w:p>
      <w:pPr>
        <w:pStyle w:val="PlanList"/>
        <w:numPr>
          <w:ilvl w:val="0"/>
          <w:numId w:val="11"/>
        </w:numPr>
        <w:ind w:left="720" w:hanging="360"/>
      </w:pPr>
      <w:r>
        <w:rPr>
          <w:b/>
        </w:rPr>
        <w:t xml:space="preserve">Estimate the relevant proportions. </w:t>
      </w:r>
      <w:r>
        <w:t>For each observed year and reporting period, count K-only records (K), T-only records (T) and mixed records (M). The primary measure is 76T carriage: (T + M) / (K + T + M). The secondary measure is T-only prevalence among unambiguous calls: T / (K + T). Report category proportions and 95% Wilson intervals.</w:t>
      </w:r>
    </w:p>
    <w:p>
      <w:pPr>
        <w:pStyle w:val="PlanList"/>
        <w:numPr>
          <w:ilvl w:val="0"/>
          <w:numId w:val="11"/>
        </w:numPr>
        <w:ind w:left="720" w:hanging="360"/>
      </w:pPr>
      <w:r>
        <w:rPr>
          <w:b/>
        </w:rPr>
        <w:t xml:space="preserve">Compare the temporal pattern. </w:t>
      </w:r>
      <w:r>
        <w:t>Use the predefined periods 1994–1999, 2000–2004, 2005–2009, 2010–2014 and 2015–2020. Compare period and 76T-carriage status with an appropriate contingency-table test, checking expected counts first. Report proportions, percentage-point differences and uncertainty; do not assume one constant linear trend over the whole archive.</w:t>
      </w:r>
    </w:p>
    <w:p>
      <w:pPr>
        <w:pStyle w:val="PlanList"/>
        <w:numPr>
          <w:ilvl w:val="0"/>
          <w:numId w:val="11"/>
        </w:numPr>
        <w:ind w:left="720" w:hanging="360"/>
      </w:pPr>
      <w:r>
        <w:rPr>
          <w:b/>
        </w:rPr>
        <w:t xml:space="preserve">Assess sensitivity to analysis choices. </w:t>
      </w:r>
      <w:r>
        <w:t>Compare the two mixed-call definitions on the same observed years, then repeat the primary analysis within the 1,608-record contributing study. For each period, compare the pooled sample estimate with an equal-weight average of its observed annual estimates. Label these as different summaries, and assess whether the historical interpretation changes.</w:t>
      </w:r>
    </w:p>
    <w:p>
      <w:pPr>
        <w:pStyle w:val="Heading2"/>
      </w:pPr>
      <w:r>
        <w:t>Interpretation of the two prevalence measures</w:t>
      </w:r>
    </w:p>
    <w:p>
      <w:pPr/>
      <w:r>
        <w:t>The primary measure answers whether a retained sample contains a detected 76T call. The secondary measure describes only samples with unambiguous K or T calls. Their denominators differ, so any difference must be explained. Neither measure directly estimates the proportion of all parasite clones carrying T within mixed infections.</w:t>
      </w:r>
    </w:p>
    <w:p>
      <w:pPr>
        <w:pStyle w:val="SmallNote"/>
      </w:pPr>
      <w:r>
        <w:t>Unequal sample sizes will be shown through annual counts and uncertainty, not hidden by a smooth curve. Equal-year averaging is a sensitivity summary; it cannot make these archived records into a representative population survey.</w:t>
      </w:r>
    </w:p>
    <w:p>
      <w:pPr>
        <w:pStyle w:val="Heading1"/>
        <w:pageBreakBefore/>
        <w:spacing w:before="0"/>
      </w:pPr>
      <w:r>
        <w:t>Supporting detail — outputs and references</w:t>
      </w:r>
    </w:p>
    <w:p>
      <w:pPr>
        <w:pStyle w:val="Heading2"/>
      </w:pPr>
      <w:r>
        <w:t>Expected project outputs</w:t>
      </w:r>
    </w:p>
    <w:p>
      <w:pPr/>
      <w:r>
        <w:t>The final work will include a documented analysis dataset, a reproducible notebook, an annual sample-count figure, a K/T/mixed composition figure, a temporal prevalence figure with confidence intervals, and a comparison of the sensitivity analyses. The report and presentation will explain the biological meaning of the findings, including results that differ from expectations.</w:t>
      </w:r>
    </w:p>
    <w:p>
      <w:pPr>
        <w:pStyle w:val="Heading2"/>
      </w:pPr>
      <w:r>
        <w:t>Interpretation and limitations</w:t>
      </w:r>
    </w:p>
    <w:p>
      <w:pPr/>
      <w:r>
        <w:t>A change in marker prevalence may be consistent with changes in selection pressure, parasite movement or the composition of sampled infections. The archive alone cannot establish which process caused the pattern. The analysis will describe changes in sampled parasite populations, not mutation reversal within individual parasites.</w:t>
      </w:r>
    </w:p>
    <w:p>
      <w:pPr/>
      <w:r>
        <w:t>The main limitations are incomplete annual coverage, small samples in some years, study and sampling differences, possible unrecorded repeat sampling, and the detection limits of the supplied genotype calls. A single codon cannot capture every resistance mechanism. Historical marker patterns do not establish current chloroquine treatment effectiveness or justify a treatment-policy change.</w:t>
      </w:r>
    </w:p>
    <w:p>
      <w:pPr>
        <w:pStyle w:val="Heading2"/>
      </w:pPr>
      <w:r>
        <w:t>How the work fits the course</w:t>
      </w:r>
    </w:p>
    <w:p>
      <w:pPr/>
      <w:r>
        <w:t>The project begins with a biological question, uses parasite genetic data, applies justified computational and statistical methods, and ends with biological interpretation. Its limited scope makes it feasible to explain every filtering and analysis decision. The four objectives map to data preparation, description, comparison and interpretation, as required by the course instructions. [5]</w:t>
      </w:r>
    </w:p>
    <w:p>
      <w:pPr>
        <w:pStyle w:val="Heading2"/>
      </w:pPr>
      <w:r>
        <w:t>Sources</w:t>
      </w:r>
    </w:p>
    <w:p>
      <w:pPr>
        <w:pStyle w:val="Reference"/>
      </w:pPr>
      <w:r>
        <w:t xml:space="preserve">[1] MalariaGEN (2025). Pf8: an open dataset of </w:t>
      </w:r>
      <w:r>
        <w:rPr>
          <w:i/>
        </w:rPr>
        <w:t>Plasmodium falciparum</w:t>
      </w:r>
      <w:r>
        <w:t xml:space="preserve"> genome variation in 33,325 worldwide samples. Wellcome Open Research, 10:325.</w:t>
      </w:r>
      <w:r>
        <w:t xml:space="preserve"> </w:t>
      </w:r>
      <w:hyperlink r:id="rId11">
        <w:r>
          <w:rPr>
            <w:color w:val="333333"/>
            <w:u w:val="single"/>
          </w:rPr>
          <w:t>Pf8 publication</w:t>
        </w:r>
      </w:hyperlink>
      <w:r>
        <w:t xml:space="preserve"> | </w:t>
      </w:r>
      <w:hyperlink r:id="rId12">
        <w:r>
          <w:rPr>
            <w:color w:val="333333"/>
            <w:u w:val="single"/>
          </w:rPr>
          <w:t>Data files and release information</w:t>
        </w:r>
      </w:hyperlink>
    </w:p>
    <w:p>
      <w:pPr>
        <w:pStyle w:val="Reference"/>
      </w:pPr>
      <w:r>
        <w:t>[2] MalariaGEN. Pf8 release README: sample metadata, QC definitions and drug-resistance genotype encoding. Zenodo. Accessed 8 September 2026.</w:t>
      </w:r>
      <w:r>
        <w:t xml:space="preserve"> </w:t>
      </w:r>
      <w:hyperlink r:id="rId13">
        <w:r>
          <w:rPr>
            <w:color w:val="333333"/>
            <w:u w:val="single"/>
          </w:rPr>
          <w:t>Pf8 README</w:t>
        </w:r>
      </w:hyperlink>
    </w:p>
    <w:p>
      <w:pPr>
        <w:pStyle w:val="Reference"/>
      </w:pPr>
      <w:r>
        <w:t xml:space="preserve">[3] Fidock, D. A., et al. (2000). Mutations in the </w:t>
      </w:r>
      <w:r>
        <w:rPr>
          <w:i/>
        </w:rPr>
        <w:t>P. falciparum</w:t>
      </w:r>
      <w:r>
        <w:t xml:space="preserve"> digestive vacuole transmembrane protein PfCRT and evidence for their role in chloroquine resistance. Molecular Cell, 6(4), 861–871.</w:t>
      </w:r>
      <w:r>
        <w:t xml:space="preserve"> </w:t>
      </w:r>
      <w:hyperlink r:id="rId14">
        <w:r>
          <w:rPr>
            <w:color w:val="333333"/>
            <w:u w:val="single"/>
          </w:rPr>
          <w:t>Primary biological study</w:t>
        </w:r>
      </w:hyperlink>
    </w:p>
    <w:p>
      <w:pPr>
        <w:pStyle w:val="Reference"/>
      </w:pPr>
      <w:r>
        <w:t xml:space="preserve">[4] Omedo, I., et al. (2022). Spatio-temporal distribution of antimalarial drug resistant gene mutations in a </w:t>
      </w:r>
      <w:r>
        <w:rPr>
          <w:i/>
        </w:rPr>
        <w:t>Plasmodium falciparum</w:t>
      </w:r>
      <w:r>
        <w:t xml:space="preserve"> parasite population from Kilifi, Kenya: a 25-year retrospective study. Wellcome Open Research, 7:45.</w:t>
      </w:r>
      <w:r>
        <w:t xml:space="preserve"> </w:t>
      </w:r>
      <w:hyperlink r:id="rId15">
        <w:r>
          <w:rPr>
            <w:color w:val="333333"/>
            <w:u w:val="single"/>
          </w:rPr>
          <w:t>Earlier Kilifi study</w:t>
        </w:r>
      </w:hyperlink>
    </w:p>
    <w:p>
      <w:pPr>
        <w:pStyle w:val="Reference"/>
      </w:pPr>
      <w:r>
        <w:t>[5] Strathmore University. Bioinformatics Course Project (Project Instructions.pdf) and the project-registration form instructions supplied for this assignment.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
      <w:jc w:val="right"/>
    </w:pPr>
    <w:r>
      <w:t xml:space="preserve">PROPOSAL DRAFT  |  </w:t>
    </w:r>
    <w:fldSimple w:instr="PAGE">
      <w:r>
        <w:t>1</w:t>
      </w:r>
    </w:fldSimple>
    <w:r>
      <w:t xml:space="preserve"> / </w:t>
    </w:r>
    <w:fldSimple w:instr="NUMPAGES">
      <w:r>
        <w:t>5</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
    </w:pPr>
    <w:r>
      <w:t>BIOINFORMATICS PROJECT  |  KILIFI MALARIA GENOMICS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spacing w:before="0"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before="0"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264" w:lineRule="auto"/>
      <w:ind w:left="0" w:right="0" w:firstLine="0"/>
      <w:jc w:val="left"/>
    </w:pPr>
    <w:rPr>
      <w:rFonts w:ascii="Calibri" w:hAnsi="Calibri" w:eastAsia="Calibri" w:cs="Calibri"/>
      <w:b w:val="0"/>
      <w:i w:val="0"/>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ind w:left="0" w:right="0" w:firstLine="0"/>
      <w:jc w:val="left"/>
      <w:outlineLvl w:val="0"/>
    </w:pPr>
    <w:rPr>
      <w:rFonts w:asciiTheme="majorHAnsi" w:eastAsiaTheme="majorEastAsia" w:hAnsiTheme="majorHAnsi" w:cstheme="majorBidi" w:ascii="Calibri" w:hAnsi="Calibri" w:eastAsia="Calibri" w:cs="Calibri"/>
      <w:b/>
      <w:bCs/>
      <w:i w:val="0"/>
      <w:color w:val="111111"/>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ind w:left="0" w:right="0" w:firstLine="0"/>
      <w:jc w:val="left"/>
      <w:outlineLvl w:val="1"/>
    </w:pPr>
    <w:rPr>
      <w:rFonts w:asciiTheme="majorHAnsi" w:eastAsiaTheme="majorEastAsia" w:hAnsiTheme="majorHAnsi" w:cstheme="majorBidi" w:ascii="Calibri" w:hAnsi="Calibri" w:eastAsia="Calibri" w:cs="Calibri"/>
      <w:b/>
      <w:bCs/>
      <w:i w:val="0"/>
      <w:color w:val="111111"/>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ind w:left="0" w:right="0" w:firstLine="0"/>
      <w:jc w:val="left"/>
      <w:outlineLvl w:val="2"/>
    </w:pPr>
    <w:rPr>
      <w:rFonts w:asciiTheme="majorHAnsi" w:eastAsiaTheme="majorEastAsia" w:hAnsiTheme="majorHAnsi" w:cstheme="majorBidi" w:ascii="Calibri" w:hAnsi="Calibri" w:eastAsia="Calibri" w:cs="Calibri"/>
      <w:b/>
      <w:bCs/>
      <w:i w:val="0"/>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120" w:line="252" w:lineRule="auto" w:before="0"/>
      <w:ind w:left="0" w:right="0" w:firstLine="0"/>
      <w:contextualSpacing/>
      <w:jc w:val="left"/>
    </w:pPr>
    <w:rPr>
      <w:rFonts w:asciiTheme="majorHAnsi" w:eastAsiaTheme="majorEastAsia" w:hAnsiTheme="majorHAnsi" w:cstheme="majorBidi" w:ascii="Calibri" w:hAnsi="Calibri" w:eastAsia="Calibri" w:cs="Calibri"/>
      <w:b/>
      <w:i w:val="0"/>
      <w:color w:val="111111"/>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before="0" w:after="240" w:line="264" w:lineRule="auto"/>
      <w:ind w:left="0" w:right="0" w:firstLine="0"/>
      <w:jc w:val="left"/>
    </w:pPr>
    <w:rPr>
      <w:rFonts w:asciiTheme="majorHAnsi" w:eastAsiaTheme="majorEastAsia" w:hAnsiTheme="majorHAnsi" w:cstheme="majorBidi" w:ascii="Calibri" w:hAnsi="Calibri" w:eastAsia="Calibri" w:cs="Calibri"/>
      <w:b w:val="0"/>
      <w:i w:val="0"/>
      <w:iCs/>
      <w:color w:val="55555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keepNext w:val="0"/>
      <w:widowControl/>
      <w:spacing w:before="0" w:after="60" w:line="264" w:lineRule="auto"/>
      <w:ind w:left="0" w:right="0" w:firstLine="0"/>
      <w:jc w:val="left"/>
    </w:pPr>
    <w:rPr>
      <w:rFonts w:ascii="Calibri" w:hAnsi="Calibri" w:eastAsia="Calibri" w:cs="Calibri"/>
      <w:b w:val="0"/>
      <w:i w:val="0"/>
      <w:color w:val="111111"/>
      <w:sz w:val="20"/>
    </w:rPr>
  </w:style>
  <w:style w:type="paragraph" w:customStyle="1" w:styleId="SmallNote">
    <w:name w:val="SmallNote"/>
    <w:pPr>
      <w:keepNext w:val="0"/>
      <w:widowControl/>
      <w:spacing w:before="0" w:after="100" w:line="264" w:lineRule="auto"/>
      <w:ind w:left="0" w:right="0" w:firstLine="0"/>
      <w:jc w:val="left"/>
    </w:pPr>
    <w:rPr>
      <w:rFonts w:ascii="Calibri" w:hAnsi="Calibri" w:eastAsia="Calibri" w:cs="Calibri"/>
      <w:b w:val="0"/>
      <w:i w:val="0"/>
      <w:color w:val="555555"/>
      <w:sz w:val="19"/>
    </w:rPr>
  </w:style>
  <w:style w:type="paragraph" w:customStyle="1" w:styleId="Reference">
    <w:name w:val="Reference"/>
    <w:pPr>
      <w:keepNext w:val="0"/>
      <w:widowControl/>
      <w:spacing w:before="0" w:after="100" w:line="264" w:lineRule="auto"/>
      <w:ind w:left="0" w:right="0" w:firstLine="0"/>
      <w:jc w:val="left"/>
    </w:pPr>
    <w:rPr>
      <w:rFonts w:ascii="Calibri" w:hAnsi="Calibri" w:eastAsia="Calibri" w:cs="Calibri"/>
      <w:b w:val="0"/>
      <w:i w:val="0"/>
      <w:color w:val="111111"/>
      <w:sz w:val="19"/>
    </w:rPr>
  </w:style>
  <w:style w:type="paragraph" w:customStyle="1" w:styleId="TableBody">
    <w:name w:val="TableBody"/>
    <w:pPr>
      <w:keepNext w:val="0"/>
      <w:widowControl/>
      <w:spacing w:before="0" w:after="0" w:line="264" w:lineRule="auto"/>
      <w:ind w:left="0" w:right="0" w:firstLine="0"/>
      <w:jc w:val="left"/>
    </w:pPr>
    <w:rPr>
      <w:rFonts w:ascii="Calibri" w:hAnsi="Calibri" w:eastAsia="Calibri" w:cs="Calibri"/>
      <w:b w:val="0"/>
      <w:i w:val="0"/>
      <w:color w:val="111111"/>
      <w:sz w:val="20"/>
    </w:rPr>
  </w:style>
  <w:style w:type="paragraph" w:customStyle="1" w:styleId="TableHeader">
    <w:name w:val="TableHeader"/>
    <w:pPr>
      <w:keepNext w:val="0"/>
      <w:widowControl/>
      <w:spacing w:before="0" w:after="0" w:line="264" w:lineRule="auto"/>
      <w:ind w:left="0" w:right="0" w:firstLine="0"/>
      <w:jc w:val="left"/>
    </w:pPr>
    <w:rPr>
      <w:rFonts w:ascii="Calibri" w:hAnsi="Calibri" w:eastAsia="Calibri" w:cs="Calibri"/>
      <w:b/>
      <w:i w:val="0"/>
      <w:color w:val="111111"/>
      <w:sz w:val="20"/>
    </w:rPr>
  </w:style>
  <w:style w:type="paragraph" w:customStyle="1" w:styleId="TableCitation">
    <w:name w:val="TableCitation"/>
    <w:pPr>
      <w:keepNext w:val="0"/>
      <w:widowControl/>
      <w:spacing w:before="80" w:after="80" w:line="264" w:lineRule="auto"/>
      <w:ind w:left="0" w:right="0" w:firstLine="0"/>
      <w:jc w:val="left"/>
    </w:pPr>
    <w:rPr>
      <w:rFonts w:ascii="Calibri" w:hAnsi="Calibri" w:eastAsia="Calibri" w:cs="Calibri"/>
      <w:b w:val="0"/>
      <w:i w:val="0"/>
      <w:color w:val="555555"/>
      <w:sz w:val="19"/>
    </w:rPr>
  </w:style>
  <w:style w:type="paragraph" w:customStyle="1" w:styleId="Running">
    <w:name w:val="Running"/>
    <w:pPr>
      <w:keepNext w:val="0"/>
      <w:widowControl/>
      <w:spacing w:before="0" w:after="0" w:line="240" w:lineRule="auto"/>
      <w:ind w:left="0" w:right="0" w:firstLine="0"/>
      <w:jc w:val="left"/>
    </w:pPr>
    <w:rPr>
      <w:rFonts w:ascii="Calibri" w:hAnsi="Calibri" w:eastAsia="Calibri" w:cs="Calibri"/>
      <w:b w:val="0"/>
      <w:i w:val="0"/>
      <w:color w:val="555555"/>
      <w:sz w:val="16"/>
    </w:rPr>
  </w:style>
  <w:style w:type="paragraph" w:customStyle="1" w:styleId="PlanList">
    <w:name w:val="PlanList"/>
    <w:pPr>
      <w:keepNext w:val="0"/>
      <w:widowControl/>
      <w:spacing w:before="0" w:after="160" w:line="280" w:lineRule="auto"/>
      <w:ind w:left="0" w:right="0" w:firstLine="0"/>
      <w:jc w:val="left"/>
    </w:pPr>
    <w:rPr>
      <w:rFonts w:ascii="Calibri" w:hAnsi="Calibri" w:eastAsia="Calibri" w:cs="Calibri"/>
      <w:b w:val="0"/>
      <w:i w:val="0"/>
      <w:color w:val="111111"/>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2688/wellcomeopenres.24031.1" TargetMode="External"/><Relationship Id="rId12" Type="http://schemas.openxmlformats.org/officeDocument/2006/relationships/hyperlink" Target="https://www.malariagen.net/data_package/open-dataset-plasmodium-falciparum-v80/" TargetMode="External"/><Relationship Id="rId13" Type="http://schemas.openxmlformats.org/officeDocument/2006/relationships/hyperlink" Target="https://zenodo.org/records/18681980/files/Pf8_README.txt?download=1" TargetMode="External"/><Relationship Id="rId14" Type="http://schemas.openxmlformats.org/officeDocument/2006/relationships/hyperlink" Target="https://pmc.ncbi.nlm.nih.gov/articles/PMC2944663/" TargetMode="External"/><Relationship Id="rId15" Type="http://schemas.openxmlformats.org/officeDocument/2006/relationships/hyperlink" Target="https://wellcomeopenresearch.org/articles/7-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Kilifi pfcrt K76T Bioinformatics Project Proposal</dc:title>
  <dc:subject>Detailed project registration responses and supporting analysis plan</dc:subject>
  <dc:creator/>
  <cp:keywords/>
  <dc:description/>
  <cp:lastModifiedBy/>
  <cp:revision>1</cp:revision>
  <dcterms:created xsi:type="dcterms:W3CDTF">2013-12-23T23:15:00Z</dcterms:created>
  <dcterms:modified xsi:type="dcterms:W3CDTF">2013-12-23T23:15:00Z</dcterms:modified>
  <cp:category/>
</cp:coreProperties>
</file>