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Self Storage Tycoon Office Design Brief</w:t>
      </w:r>
    </w:p>
    <w:p>
      <w:pPr>
        <w:pStyle w:val="Subtitle"/>
      </w:pPr>
      <w:r>
        <w:t>October 24 2026  |  Proposal for Eddie  |  No implementation approval</w:t>
      </w:r>
    </w:p>
    <w:p>
      <w:pPr>
        <w:widowControl/>
      </w:pPr>
      <w:r>
        <w:t>Make the Office a compact place to choose the next useful action, understand staff contributions and review delegated financial authority. Retain the four existing rows and direct access to current controls. Prioritize the following presentation changes before adding Office features.</w:t>
      </w:r>
    </w:p>
    <w:p>
      <w:pPr>
        <w:pStyle w:val="Heading1"/>
      </w:pPr>
      <w:r>
        <w:t>1 Put one operating priority first</w:t>
      </w:r>
    </w:p>
    <w:p>
      <w:pPr>
        <w:widowControl/>
      </w:pPr>
      <w:r>
        <w:rPr>
          <w:b/>
        </w:rPr>
        <w:t xml:space="preserve">Player decision </w:t>
      </w:r>
      <w:r>
        <w:t>Handle an Owner request now or review uncovered counter demand before returning to property work.</w:t>
      </w:r>
    </w:p>
    <w:p>
      <w:pPr>
        <w:widowControl/>
      </w:pPr>
      <w:r>
        <w:rPr>
          <w:b/>
        </w:rPr>
        <w:t xml:space="preserve">Presentation </w:t>
      </w:r>
      <w:r>
        <w:t>Show one issue above the four rows: an actionable Owner request first, then an open counter with waiting customers and no available server, then a supported blocked-work condition. Use a neutral summary when none applies. Open the relevant existing control in one tap.</w:t>
      </w:r>
    </w:p>
    <w:p>
      <w:pPr>
        <w:widowControl/>
      </w:pPr>
      <w:r>
        <w:rPr>
          <w:b/>
        </w:rPr>
        <w:t xml:space="preserve">Acceptance </w:t>
      </w:r>
      <w:r>
        <w:t>The issue matches current state and clears when resolved. Customers waiting and being served have separate labels; historical losses never appear as a live queue. Changing coverage updates the summary without recommending a hire from one short queue.</w:t>
      </w:r>
    </w:p>
    <w:p>
      <w:pPr>
        <w:pStyle w:val="Heading1"/>
      </w:pPr>
      <w:r>
        <w:t>2 Show completed delegation outcomes</w:t>
      </w:r>
    </w:p>
    <w:p>
      <w:pPr>
        <w:widowControl/>
      </w:pPr>
      <w:r>
        <w:rPr>
          <w:b/>
        </w:rPr>
        <w:t xml:space="preserve">Player decision </w:t>
      </w:r>
      <w:r>
        <w:t>Keep current staffing or open the existing hire review after comparing actual service, completed work, backlog and payroll.</w:t>
      </w:r>
    </w:p>
    <w:p>
      <w:pPr>
        <w:widowControl/>
      </w:pPr>
      <w:r>
        <w:rPr>
          <w:b/>
        </w:rPr>
        <w:t xml:space="preserve">Presentation </w:t>
      </w:r>
      <w:r>
        <w:t>Show a compact recent-results summary using existing records: staff-handled requests, completed property jobs and recorded financial effects. Identify the worker and reporting period where available; link to Work queue or Manager log for detail.</w:t>
      </w:r>
    </w:p>
    <w:p>
      <w:pPr>
        <w:widowControl/>
      </w:pPr>
      <w:r>
        <w:rPr>
          <w:b/>
        </w:rPr>
        <w:t xml:space="preserve">Acceptance </w:t>
      </w:r>
      <w:r>
        <w:t>Queued work and reserved hours never count as completed jobs. Office capacity charged remains separate from property work. Unrecorded attribution or costs are omitted or marked unavailable, never shown as zero. Counts match their source records and stated period; no unsupported hours-saved or profit claims.</w:t>
      </w:r>
    </w:p>
    <w:p>
      <w:pPr>
        <w:pStyle w:val="Heading1"/>
      </w:pPr>
      <w:r>
        <w:t>3 Explain Manager authority before hiring</w:t>
      </w:r>
    </w:p>
    <w:p>
      <w:pPr>
        <w:widowControl/>
      </w:pPr>
      <w:r>
        <w:rPr>
          <w:b/>
        </w:rPr>
        <w:t xml:space="preserve">Player decision </w:t>
      </w:r>
      <w:r>
        <w:t>Hire a Manager with the existing powers and payroll commitment, or keep the current staffing arrangement.</w:t>
      </w:r>
    </w:p>
    <w:p>
      <w:pPr>
        <w:widowControl/>
      </w:pPr>
      <w:r>
        <w:rPr>
          <w:b/>
        </w:rPr>
        <w:t xml:space="preserve">Presentation </w:t>
      </w:r>
      <w:r>
        <w:t>Add concise authority wording beside the existing Manager hire action and retain the active Office warning. Disclose automatic asking-rent changes, qualifying vendor and cart spending, and lien notices without separate approval. State that the Manager does not serve the counter.</w:t>
      </w:r>
    </w:p>
    <w:p>
      <w:pPr>
        <w:widowControl/>
      </w:pPr>
      <w:r>
        <w:rPr>
          <w:b/>
        </w:rPr>
        <w:t xml:space="preserve">Acceptance </w:t>
      </w:r>
      <w:r>
        <w:t>Before hiring, the player can see the $25 daily wage, ongoing payroll commitment and delegated powers. Explain that manual request review does not stop this automation. Link to existing policies and financial controls without implying separate pricing or spending switches exist.</w:t>
      </w:r>
    </w:p>
    <w:p>
      <w:pPr>
        <w:pStyle w:val="Heading1"/>
      </w:pPr>
      <w:r>
        <w:t>Scope and validation</w:t>
      </w:r>
    </w:p>
    <w:p>
      <w:pPr>
        <w:widowControl/>
      </w:pPr>
      <w:r>
        <w:rPr>
          <w:b/>
        </w:rPr>
        <w:t xml:space="preserve">Separate future scope </w:t>
      </w:r>
      <w:r>
        <w:t>New permissions, spending caps, per-action approvals, pricing rules, staffing behavior, wages, work capacity and persistent activity tracking require separate design and authorization. Reuse existing state; missing records do not authorize new simulation or save fields.</w:t>
      </w:r>
    </w:p>
    <w:p>
      <w:pPr>
        <w:widowControl/>
      </w:pPr>
      <w:r>
        <w:rPr>
          <w:b/>
        </w:rPr>
        <w:t xml:space="preserve">Shared acceptance </w:t>
      </w:r>
      <w:r>
        <w:t>At 375 by 667 and 390 by 844, verify readable rows, reachable actions and usable property and time controls. Opening, navigating and closing the Office must preserve manual Pause and camera position. Preserve economics and saves. These are proposed checks; browser and physical Safari acceptance remain outstanding.</w:t>
      </w:r>
    </w:p>
    <w:p>
      <w:pPr>
        <w:pStyle w:val="Subtitle"/>
        <w:widowControl/>
      </w:pPr>
      <w:r>
        <w:t>Design basis: Office candidate 17f49f9, parent d6abaa3, and the companion Office brainstorming document. Proposal only; no code changes or new game tests performed.</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7" w:lineRule="auto" w:after="10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47"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7" w:lineRule="auto"/>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47" w:lineRule="auto" w:after="100"/>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 Storage Tycoon Office Design Brief</dc:title>
  <dc:subject>Proposed Office player decisions acceptance criteria and scope</dc:subject>
  <dc:creator>Self Storage Tycoon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