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82F2" w14:textId="77777777" w:rsidR="0050458C" w:rsidRDefault="00000000">
      <w:pPr>
        <w:spacing w:before="600" w:after="400"/>
      </w:pPr>
      <w:r>
        <w:rPr>
          <w:noProof/>
        </w:rPr>
        <w:drawing>
          <wp:inline distT="0" distB="0" distL="0" distR="0" wp14:anchorId="7C457AD1" wp14:editId="1085A0E9">
            <wp:extent cx="2857500" cy="466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466725"/>
                    </a:xfrm>
                    <a:prstGeom prst="rect">
                      <a:avLst/>
                    </a:prstGeom>
                  </pic:spPr>
                </pic:pic>
              </a:graphicData>
            </a:graphic>
          </wp:inline>
        </w:drawing>
      </w:r>
    </w:p>
    <w:p>
      <w:pPr>
        <w:spacing w:after="100"/>
      </w:pPr>
      <w:r>
        <w:rPr>
          <w:rFonts w:ascii="Arial" w:cs="Arial" w:eastAsia="Arial" w:hAnsi="Arial"/>
          <w:b/>
          <w:bCs/>
          <w:color w:val="7E1210"/>
          <w:sz w:val="40"/>
          <w:szCs w:val="40"/>
        </w:rPr>
        <w:t xml:space="preserve">GESTIÓN DE PROYECTOS</w:t>
      </w:r>
    </w:p>
    <w:p>
      <w:pPr>
        <w:spacing w:after="80"/>
      </w:pPr>
      <w:r>
        <w:rPr>
          <w:rFonts w:ascii="Arial" w:cs="Arial" w:eastAsia="Arial" w:hAnsi="Arial"/>
          <w:color w:val="2C2E35"/>
          <w:sz w:val="24"/>
          <w:szCs w:val="24"/>
        </w:rPr>
        <w:t xml:space="preserve">Portafolio ejecutable del Plan de Marketing · Versión 2.0</w:t>
      </w:r>
    </w:p>
    <w:p>
      <w:pPr>
        <w:spacing w:after="300"/>
      </w:pPr>
      <w:r>
        <w:rPr>
          <w:rFonts w:ascii="Arial" w:cs="Arial" w:eastAsia="Arial" w:hAnsi="Arial"/>
          <w:color w:val="6B6B6B"/>
          <w:sz w:val="20"/>
          <w:szCs w:val="20"/>
        </w:rPr>
        <w:t xml:space="preserve">Lima, 20 de agosto de 2026 · Elaborado por Santos Lenin Vilcachagua Ayala · Reemplaza a la versión 1.0 del 19 de agosto</w:t>
      </w:r>
    </w:p>
    <w:p>
      <w:pPr>
        <w:spacing w:after="200" w:line="276"/>
      </w:pPr>
      <w:r>
        <w:rPr>
          <w:rFonts w:ascii="Arial" w:cs="Arial" w:eastAsia="Arial" w:hAnsi="Arial"/>
          <w:color w:val="2C2E35"/>
          <w:sz w:val="20"/>
          <w:szCs w:val="20"/>
        </w:rPr>
        <w:t xml:space="preserve">El plan de marketing se rehízo el 20 de agosto tras corregir 268 ventas duplicadas y medir por primera vez el valor de vida del cliente y la trazabilidad real de cada venta. </w:t>
      </w:r>
      <w:r>
        <w:rPr>
          <w:rFonts w:ascii="Arial" w:cs="Arial" w:eastAsia="Arial" w:hAnsi="Arial"/>
          <w:b/>
          <w:bCs/>
          <w:color w:val="2C2E35"/>
          <w:sz w:val="20"/>
          <w:szCs w:val="20"/>
        </w:rPr>
        <w:t xml:space="preserve">Ese replanteo cambia el orden del portafolio</w:t>
      </w:r>
      <w:r>
        <w:rPr>
          <w:rFonts w:ascii="Arial" w:cs="Arial" w:eastAsia="Arial" w:hAnsi="Arial"/>
          <w:color w:val="2C2E35"/>
          <w:sz w:val="20"/>
          <w:szCs w:val="20"/>
        </w:rPr>
        <w:t xml:space="preserve">: entran tres proyectos nuevos que atacan lo que los datos señalan como cuello de botella —medir, cerrar lo ya cotizado y hacer volver al cliente— y se recortan o posponen los que pagan a doce meses. Este documento mantiene el método (fichas de proyecto, paquetes de trabajo, ruta crítica y riesgos) y el límite de tres proyectos activos; lo que cambia es qué se hace primero.</w:t>
      </w:r>
    </w:p>
    <w:p>
      <w:pPr>
        <w:pStyle w:val="Ttulo1"/>
        <w:spacing w:after="160" w:before="380"/>
      </w:pPr>
      <w:r>
        <w:rPr>
          <w:rFonts w:ascii="Arial" w:cs="Arial" w:eastAsia="Arial" w:hAnsi="Arial"/>
          <w:b/>
          <w:bCs/>
          <w:color w:val="7E1210"/>
          <w:sz w:val="26"/>
          <w:szCs w:val="26"/>
        </w:rPr>
        <w:t xml:space="preserve">1. QUÉ CAMBIA EN EL PORTAFOLIO Y POR QUÉ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Decisión</w:t>
            </w:r>
          </w:p>
        </w:tc>
        <w:tc>
          <w:tcPr>
            <w:tcW w:type="pct" w:w="3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El dato que la obliga</w:t>
            </w:r>
          </w:p>
        </w:tc>
        <w:tc>
          <w:tcPr>
            <w:tcW w:type="pct" w:w="3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Efecto práctico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Entra P10 — Circuito de medición cerrado, con prioridad crítica</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626 de 628 ventas entraron importadas de Excel; solo 5 tienen lead asociado; ningún lead de Meta trae identificador de clic</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Sin esto, ningún indicador del portafolio es confiable y la pauta se decide a ciegas. Es el proyecto que habilita a todos los demás</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Entra P11 — Recuperación de cotizaciones sin cierre</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1.419 clientes cotizados en 2026; compraron 143 (10,1 %). Quedan 1.317 con demanda declarada</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 el trabajo con mejor relación entre esfuerzo y retorno del portafolio, y no necesita presupuesto de medios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Entra P12 — Recompra y cuentas clave</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82 % de los clientes compra una sola vez; la segunda compra lleva el valor de US$ 6.425 a US$ 14.156; 50 cuentas valen el 47 % del ingreso</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Convierte la cartera existente en el primer canal de venta, y de paso arregla los datos de contacto que hoy faltan</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P7 (referidos y alianzas) sube de prioridad media a alta y se adelanta cuatro meses</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cliente que llega por relación vale US$ 11.127 y compra 1,73 veces; el de publicidad, US$ 6.359 y 1,12</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programa de referidos pasa de febrero de 2027 a noviembre de 2026, empezando por lo más simple: la regla y su registro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P3 (contenido) baja a media y P4 (video) a baja</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Pagan en 6 a 12 meses y compiten por las mismas 10-12 horas semanales que necesitan P10, P11 y P12</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Contenido pasa de 3 a 2 piezas por semana; el lote de video baja de 8 a 4 títulos y se corre a 2027. Libera unas 60 horas</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P6 (posicionamiento en buscadores) baja a prioridad baja hasta la web nueva</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trabajo que rinde depende del catálogo y del subdominio, ambos bloqueados por gerencia</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 2026 solo se hace la auditoría y el mapa de palabras clave (12 horas)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P8 (correos automáticos) queda condicionado</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Solo 190 de 500 clientes tienen correo cargado (38 %)</w:t>
            </w:r>
          </w:p>
        </w:tc>
        <w:tc>
          <w:tcPr>
            <w:tcW w:type="pct" w:w="3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No arranca hasta que la contactabilidad llegue al 80 %, que es tarea de P12</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P5 (publicidad) se congela en el escenario conservador</w:t>
            </w:r>
          </w:p>
        </w:tc>
        <w:tc>
          <w:tcPr>
            <w:tcW w:type="pct" w:w="3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retorno medido varía entre 2,7× y 17,7× según la atribución que se use</w:t>
            </w:r>
          </w:p>
        </w:tc>
        <w:tc>
          <w:tcPr>
            <w:tcW w:type="pct" w:w="3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 mantiene S/ 1.500 al mes y no sube hasta que P10 cierre y se cumplan las tres condiciones del plan</w:t>
            </w:r>
          </w:p>
        </w:tc>
      </w:tr>
    </w:tbl>
    <w:p>
      <w:pPr>
        <w:spacing w:after="60"/>
      </w:pPr>
    </w:p>
    <w:p>
      <w:pPr>
        <w:pStyle w:val="Ttulo1"/>
        <w:spacing w:after="160" w:before="380"/>
      </w:pPr>
      <w:r>
        <w:rPr>
          <w:rFonts w:ascii="Arial" w:cs="Arial" w:eastAsia="Arial" w:hAnsi="Arial"/>
          <w:b/>
          <w:bCs/>
          <w:color w:val="7E1210"/>
          <w:sz w:val="26"/>
          <w:szCs w:val="26"/>
        </w:rPr>
        <w:t xml:space="preserve">2. MAPA DEL PORTAFOLIO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7%"/>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Cód.</w:t>
            </w:r>
          </w:p>
        </w:tc>
        <w:tc>
          <w:tcPr>
            <w:tcW w:type="pct" w:w="27%"/>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Proyecto</w:t>
            </w:r>
          </w:p>
        </w:tc>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Ventana</w:t>
            </w:r>
          </w:p>
        </w:tc>
        <w:tc>
          <w:tcPr>
            <w:tcW w:type="pct" w:w="1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Horas</w:t>
            </w:r>
          </w:p>
        </w:tc>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Presupuesto</w:t>
            </w:r>
          </w:p>
        </w:tc>
        <w:tc>
          <w:tcPr>
            <w:tcW w:type="pct" w:w="2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Prioridad</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P2</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Expomina 2026 (feria minera)</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ago – 19 sep</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44 h</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1.000-1.600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CRÍTICA — fecha externa fija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P10</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Circuito de medición cerrado</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24 ago – 31 oct</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30 h</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CRÍTICA — habilita todo lo demás</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Fundamentos de marca digital (recortado)</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24 ago – 30 sep</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14 h</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300-600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P11</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Recuperación de cotizaciones sin cierre</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 oct – 15 nov</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22 h + comerciales</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P12</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Recompra y cuentas clave</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 oct – 20 dic</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26 h + comerciales</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0-400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P5</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Publicidad digital (operación conservadora)</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desde 1 sep</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1,5 h/sem</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1.500/mes</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 congelada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P7</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Referidos y alianzas (adelantado)</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17 nov – jun 2027</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30 h</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0-500 por evento</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P8</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Automatización de correos</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 dic – 15 ene</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28 h</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 condicionada a P12.1</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P9</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Arsenal de ventas (parcial)</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oct – dic</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h</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200-400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MEDIA-ALTA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P3</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Fábrica de contenido (2 piezas/semana)</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17 nov – 31 ene</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24 h + 4 h/sem</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300-800/mes</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P6</w:t>
            </w:r>
          </w:p>
        </w:tc>
        <w:tc>
          <w:tcPr>
            <w:tcW w:type="pct" w:w="2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Posicionamiento en buscadores</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nov 2026 – jun 2027</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12 h en 2026</w:t>
            </w:r>
          </w:p>
        </w:tc>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0-800</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BAJA hasta la web nueva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P4</w:t>
            </w:r>
          </w:p>
        </w:tc>
        <w:tc>
          <w:tcPr>
            <w:tcW w:type="pct" w:w="2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Estudio audiovisual (lote recortado)</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ene – mar 2027</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30 h</w:t>
            </w:r>
          </w:p>
        </w:tc>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400-800</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BAJA</w:t>
            </w:r>
          </w:p>
        </w:tc>
      </w:tr>
    </w:tbl>
    <w:p>
      <w:pPr>
        <w:spacing w:after="60"/>
      </w:pPr>
    </w:p>
    <w:p>
      <w:pPr>
        <w:spacing w:after="160" w:line="276"/>
      </w:pPr>
      <w:r>
        <w:rPr>
          <w:rFonts w:ascii="Arial" w:cs="Arial" w:eastAsia="Arial" w:hAnsi="Arial"/>
          <w:i/>
          <w:iCs/>
          <w:color w:val="6B6B6B"/>
          <w:sz w:val="17"/>
          <w:szCs w:val="17"/>
        </w:rPr>
        <w:t xml:space="preserve">Las horas son de Santos, que dispone de 10 a 12 horas por semana para marketing. P11 y P12 suman además esfuerzo del equipo comercial (entre 2 y 3 horas semanales por comercial), que es trabajo de venta, no de marketing: llamar a sus propios clientes.</w:t>
      </w:r>
    </w:p>
    <w:p>
      <w:pPr>
        <w:pStyle w:val="Ttulo1"/>
        <w:spacing w:after="160" w:before="380"/>
      </w:pPr>
      <w:r>
        <w:rPr>
          <w:rFonts w:ascii="Arial" w:cs="Arial" w:eastAsia="Arial" w:hAnsi="Arial"/>
          <w:b/>
          <w:bCs/>
          <w:color w:val="7E1210"/>
          <w:sz w:val="26"/>
          <w:szCs w:val="26"/>
        </w:rPr>
        <w:t xml:space="preserve">3. ORDEN DE ACTIVACIÓN (LÍMITE: TRES PROYECTOS ACTIVOS)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Ola</w:t>
            </w:r>
          </w:p>
        </w:tc>
        <w:tc>
          <w:tcPr>
            <w:tcW w:type="pct" w:w="2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Fechas</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Activos</w:t>
            </w:r>
          </w:p>
        </w:tc>
        <w:tc>
          <w:tcPr>
            <w:tcW w:type="pct" w:w="2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Capacidad comprometida</w:t>
            </w:r>
          </w:p>
        </w:tc>
      </w:tr>
      <w:tr>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Ola 1</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ago – 30 sep</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P2 Expomina · P10 fase 1 (medición) · P1 recortado</w:t>
            </w:r>
          </w:p>
        </w:tc>
        <w:tc>
          <w:tcPr>
            <w:tcW w:type="pct" w:w="2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66 h de 66 disponibles — ajustada; por eso P1 se recorta a lo esencial</w:t>
            </w:r>
          </w:p>
        </w:tc>
      </w:tr>
      <w:tr>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Ola 2</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 oct – 15 nov</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P11 Cotizaciones · P12 fase 1 (datos y cuentas clave) · P10 fase 2</w:t>
            </w:r>
          </w:p>
        </w:tc>
        <w:tc>
          <w:tcPr>
            <w:tcW w:type="pct" w:w="2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64 h de 72 — deja aire para la operación de pauta</w:t>
            </w:r>
          </w:p>
        </w:tc>
      </w:tr>
      <w:tr>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Ola 3</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17 nov – 20 dic</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P7 Referidos · P8 Correos · P3 Contenido</w:t>
            </w:r>
          </w:p>
        </w:tc>
        <w:tc>
          <w:tcPr>
            <w:tcW w:type="pct" w:w="2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55 h de 55 — P8 solo arranca si la contactabilidad llegó al 80 %</w:t>
            </w:r>
          </w:p>
        </w:tc>
      </w:tr>
      <w:tr>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Ola 4</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ene – jun 2027</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P9 completo · P4 lote recortado · P6 con la web nueva</w:t>
            </w:r>
          </w:p>
        </w:tc>
        <w:tc>
          <w:tcPr>
            <w:tcW w:type="pct" w:w="2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 replanifica en enero con los datos del cierre de 2026</w:t>
            </w:r>
          </w:p>
        </w:tc>
      </w:tr>
    </w:tbl>
    <w:p>
      <w:pPr>
        <w:spacing w:after="60"/>
      </w:pPr>
    </w:p>
    <w:p>
      <w:pPr>
        <w:pStyle w:val="Ttulo1"/>
        <w:spacing w:after="160" w:before="380"/>
      </w:pPr>
      <w:r>
        <w:rPr>
          <w:rFonts w:ascii="Arial" w:cs="Arial" w:eastAsia="Arial" w:hAnsi="Arial"/>
          <w:b/>
          <w:bCs/>
          <w:color w:val="7E1210"/>
          <w:sz w:val="26"/>
          <w:szCs w:val="26"/>
        </w:rPr>
        <w:t xml:space="preserve">P10 — CIRCUITO DE MEDICIÓN CERRADO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Campo</w:t>
            </w:r>
          </w:p>
        </w:tc>
        <w:tc>
          <w:tcPr>
            <w:tcW w:type="pct" w:w="7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Definición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Objetivo (por qué existe)</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Que toda venta nazca en el CRM y que todo lead publicitario llegue con identificador de clic, para que las decisiones de inversión dejen de depender de lo que se anotó en un Excel. Hoy el mismo gasto publicitario da un retorno de 2,7× o de 17,7× según qué atribución se use, y no hay forma de saber cuál es la verdadera</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Patrocinador / aprueba</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Gerencia (la política de registro es una decisión de gerencia, no de marketing)</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Responsable de ejecución</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con acompañamiento a los comerciales</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Inicio → fin</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lun 24 ago 2026 → vie 31 oct 2026</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Presupuesto (fuera de horas)</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 — todo está construido; falta usarlo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Criterio de éxito</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 octubre, al menos el 70 % de las ventas del mes registradas en el CRM (90 % en diciembre); el 100 % de los leads de Meta con identificador de clic; las 15 campañas mapeadas y sin duplicados; y el panel de marketing mostrando costo por venta con atribución real</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Tarea (paquete de trabajo)</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Entregable / criterio de aceptación</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Resp.</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Fechas</w:t>
            </w:r>
          </w:p>
        </w:tc>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Horas</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10.1</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Diagnóstico de la fuga de atribución</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Una página: por qué llegan 0 leads de Meta con identificador, dónde se pierde el dato entre el anuncio, el formulario y la ingesta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24-26 ago</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10.2</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Identificador de clic en la ingesta</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formulario web y los anuncios de Meta guardan el identificador y las etiquetas de campaña. Prueba real: un clic propio termina en un lead del CRM con su campaña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27 ago-5 sep</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5</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10.3</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Convención de campañas y limpieza</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Las 15 campañas de Meta mapeadas a la tabla de campañas del CRM, sin duplicados («- Copia», «NUEVO»), con nombres que digan línea, público y mes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1-8 sep</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3</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10.4</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Política «toda venta y toda cotización nace en el CRM»</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Acuerdo escrito de gerencia y comunicación al equipo comercial. Es la tarea de la que dependen las demás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Gerencia + 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24-29 ago</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10.5</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Acompañamiento al equipo comercial</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Dos sesiones de una hora y cuatro semanas de soporte; cada comercial registra su primera venta y su primera cotización en el CRM sin ayuda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1-30 sep</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Rubro y procedencia de las cuentas grandes</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Las 50 cuentas del decil 1 con rubro, departamento y procedencia completos (hoy 448 de 628 ventas no tienen rubro)</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comerciales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6-24 oct</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10.7</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Tablero de adopción</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En el panel de gerencia: porcentaje de ventas nacidas en el CRM, de leads con identificador y de cuentas con rubro. Se revisa en la reunión mensual</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13-24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10.8</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Higiene de datos</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Corregir los leads con fechas imposibles (hay registros en 2027 y 2033) y dejar lista la lista de cuentas duplicadas para su fusión</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27-31 oct</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bl>
    <w:p>
      <w:pPr>
        <w:spacing w:after="60"/>
      </w:pPr>
    </w:p>
    <w:p>
      <w:pPr>
        <w:spacing w:after="120" w:line="276"/>
      </w:pPr>
      <w:r>
        <w:rPr>
          <w:rFonts w:ascii="Arial" w:cs="Arial" w:eastAsia="Arial" w:hAnsi="Arial"/>
          <w:b/>
          <w:bCs/>
          <w:color w:val="2C2E35"/>
          <w:sz w:val="20"/>
          <w:szCs w:val="20"/>
        </w:rPr>
        <w:t xml:space="preserve">Ruta crítica:</w:t>
      </w:r>
      <w:r>
        <w:rPr>
          <w:rFonts w:ascii="Arial" w:cs="Arial" w:eastAsia="Arial" w:hAnsi="Arial"/>
          <w:color w:val="2C2E35"/>
          <w:sz w:val="20"/>
          <w:szCs w:val="20"/>
        </w:rPr>
        <w:t xml:space="preserve"> 10.4 manda sobre todo el proyecto. Si gerencia no fija la política, el acompañamiento (10.5) no tiene autoridad y el tablero (10.7) medirá un cumplimiento voluntario.</w:t>
      </w:r>
    </w:p>
    <w:p>
      <w:pPr>
        <w:spacing w:after="120" w:line="276"/>
      </w:pPr>
      <w:r>
        <w:rPr>
          <w:rFonts w:ascii="Arial" w:cs="Arial" w:eastAsia="Arial" w:hAnsi="Arial"/>
          <w:b/>
          <w:bCs/>
          <w:color w:val="2C2E35"/>
          <w:sz w:val="20"/>
          <w:szCs w:val="20"/>
        </w:rPr>
        <w:t xml:space="preserve">Regla de freno:</w:t>
      </w:r>
      <w:r>
        <w:rPr>
          <w:rFonts w:ascii="Arial" w:cs="Arial" w:eastAsia="Arial" w:hAnsi="Arial"/>
          <w:color w:val="2C2E35"/>
          <w:sz w:val="20"/>
          <w:szCs w:val="20"/>
        </w:rPr>
        <w:t xml:space="preserve"> si al 31 de octubre menos de la mitad de las ventas del mes nacen en el CRM, la inversión publicitaria se congela hasta que se corrija. No es un castigo: es que no se puede administrar lo que no se mide.</w:t>
      </w:r>
    </w:p>
    <w:p>
      <w:pPr>
        <w:pStyle w:val="Ttulo1"/>
        <w:spacing w:after="160" w:before="380"/>
      </w:pPr>
      <w:r>
        <w:rPr>
          <w:rFonts w:ascii="Arial" w:cs="Arial" w:eastAsia="Arial" w:hAnsi="Arial"/>
          <w:b/>
          <w:bCs/>
          <w:color w:val="7E1210"/>
          <w:sz w:val="26"/>
          <w:szCs w:val="26"/>
        </w:rPr>
        <w:t xml:space="preserve">P11 — RECUPERACIÓN DE COTIZACIONES SIN CIERRE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Campo</w:t>
            </w:r>
          </w:p>
        </w:tc>
        <w:tc>
          <w:tcPr>
            <w:tcW w:type="pct" w:w="7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Definición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Objetivo (por qué existe)</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Trabajar de forma sistemática a los 1.317 clientes que pidieron cotización en 2026 y no compraron. No son curiosos: pidieron precio. El cierre por cliente cotizado es hoy del 10,1 % y cada punto porcentual vale unas 14 ventas al año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Patrocinador / aprueba</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Gerencia (aprueba la condición comercial con la que se reactiva)</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Responsable de ejecución</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(segmentación, guion y tablero) + los comerciales (el contacto)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Inicio → fin</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jue 1 oct 2026 → vie 15 nov 2026 (primera vuelta)</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Presupuesto (fuera de horas)</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 en medios; el costo es tiempo comercial</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Criterio de éxito</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400 clientes contactados con resultado registrado en el CRM; al menos 25 oportunidades reabiertas; al menos 8 ventas atribuidas a la campaña (entre US$ 70 mil y US$ 95 mil); y un catálogo de motivos reales de no cierre que hoy no existe</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Tarea (paquete de trabajo)</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Entregable / criterio de aceptación</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Resp.</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Fechas</w:t>
            </w:r>
          </w:p>
        </w:tc>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Horas</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11.1</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Segmentar los 1.317 clientes</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Lista priorizada por monto cotizado, antigüedad y comercial dueño. Los primeros 400 son los de mayor monto y menos de seis meses de antigüedad</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1-6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11.2</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Diagnóstico de por qué no cerraron</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Muestra de 40 casos revisados con los comerciales; catálogo de motivos reales (precio, plazo de entrega, financiamiento, competencia, proyecto postergado)</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comerciales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6-13 oct</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11.3</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Guion y oferta de reactivación</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Tres variantes según motivo, con vigencia nueva y —si gerencia lo aprueba— una condición comercial. Aprobado por Carlos antes de salir</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 Gerencia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13-17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11.4</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Campaña asistida por el CRM</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Tareas de agenda repartidas por comercial (30 contactos por semana cada uno), plantillas de WhatsApp y correo, y registro obligatorio del resultado de cada contacto</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comerciales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20 oct-14 nov</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11.5</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Seguimiento semanal</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Tablero de avance en el panel de supervisión: contactados, respondidos, reabiertos, cerrados. Los casos calientes pasan a oportunidad con próxima acción</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 oct-14 nov</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11.6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Informe y decisión</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Qué motivo pesa más y qué hay que cambiar en precio, plazo o catálogo. Alimenta al plan y a la conversación de gerencia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15 nov</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bl>
    <w:p>
      <w:pPr>
        <w:spacing w:after="60"/>
      </w:pPr>
    </w:p>
    <w:p>
      <w:pPr>
        <w:spacing w:after="120" w:line="276"/>
      </w:pPr>
      <w:r>
        <w:rPr>
          <w:rFonts w:ascii="Arial" w:cs="Arial" w:eastAsia="Arial" w:hAnsi="Arial"/>
          <w:b/>
          <w:bCs/>
          <w:color w:val="2C2E35"/>
          <w:sz w:val="20"/>
          <w:szCs w:val="20"/>
        </w:rPr>
        <w:t xml:space="preserve">Dependencias:</w:t>
      </w:r>
      <w:r>
        <w:rPr>
          <w:rFonts w:ascii="Arial" w:cs="Arial" w:eastAsia="Arial" w:hAnsi="Arial"/>
          <w:color w:val="2C2E35"/>
          <w:sz w:val="20"/>
          <w:szCs w:val="20"/>
        </w:rPr>
        <w:t xml:space="preserve"> la decisión 5 de gerencia (condición comercial) y los datos de contacto que completa P12.1. </w:t>
      </w:r>
      <w:r>
        <w:rPr>
          <w:rFonts w:ascii="Arial" w:cs="Arial" w:eastAsia="Arial" w:hAnsi="Arial"/>
          <w:b/>
          <w:bCs/>
          <w:color w:val="2C2E35"/>
          <w:sz w:val="20"/>
          <w:szCs w:val="20"/>
        </w:rPr>
        <w:t xml:space="preserve">Riesgo propio:</w:t>
      </w:r>
      <w:r>
        <w:rPr>
          <w:rFonts w:ascii="Arial" w:cs="Arial" w:eastAsia="Arial" w:hAnsi="Arial"/>
          <w:color w:val="2C2E35"/>
          <w:sz w:val="20"/>
          <w:szCs w:val="20"/>
        </w:rPr>
        <w:t xml:space="preserve"> que la insistencia moleste al cliente; se mitiga con un guion que ofrece algo —vigencia nueva, novedad de línea, revisión técnica— y no solo pregunta si ya decidió.</w:t>
      </w:r>
    </w:p>
    <w:p>
      <w:pPr>
        <w:pStyle w:val="Ttulo1"/>
        <w:spacing w:after="160" w:before="380"/>
      </w:pPr>
      <w:r>
        <w:rPr>
          <w:rFonts w:ascii="Arial" w:cs="Arial" w:eastAsia="Arial" w:hAnsi="Arial"/>
          <w:b/>
          <w:bCs/>
          <w:color w:val="7E1210"/>
          <w:sz w:val="26"/>
          <w:szCs w:val="26"/>
        </w:rPr>
        <w:t xml:space="preserve">P12 — RECOMPRA Y CUENTAS CLAVE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Campo</w:t>
            </w:r>
          </w:p>
        </w:tc>
        <w:tc>
          <w:tcPr>
            <w:tcW w:type="pct" w:w="7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Definición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Objetivo (por qué existe)</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Que el 82 % de clientes que compró una sola vez deje de ser el caso normal, y que las 50 cuentas que generan el 47 % del ingreso tengan dueño, ficha y contacto periódico. Convertir al 10 % de los 409 clientes de una sola compra vale unos US$ 310 mil: más que todo lo que la publicidad trajo en su historia</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Patrocinador / aprueba</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Gerencia (precios de servicio, mantenimiento y repuestos)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Responsable de ejecución</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(organización y medición) + los comerciales (el contacto con su propia cartera)</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Inicio → fin</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jue 1 oct 2026 → vie 20 dic 2026</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Presupuesto (fuera de horas)</w:t>
            </w:r>
          </w:p>
        </w:tc>
        <w:tc>
          <w:tcPr>
            <w:tcW w:type="pct" w:w="7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0-400 (impresión de la ficha de mantenimiento)</w:t>
            </w:r>
          </w:p>
        </w:tc>
      </w:tr>
      <w:tr>
        <w:tc>
          <w:tcPr>
            <w:tcW w:type="pct" w:w="2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Criterio de éxito</w:t>
            </w:r>
          </w:p>
        </w:tc>
        <w:tc>
          <w:tcPr>
            <w:tcW w:type="pct" w:w="7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400 de los 500 clientes con correo y teléfono verificados; las 50 cuentas clave con ficha y plan de contacto trimestral; al menos 15 segundas compras en el período; y ninguna cuenta del decil 1 sin contacto en 90 días</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Tarea (paquete de trabajo)</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Entregable / criterio de aceptación</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Resp.</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Fechas</w:t>
            </w:r>
          </w:p>
        </w:tc>
        <w:tc>
          <w:tcPr>
            <w:tcW w:type="pct" w:w="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Horas</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12.1</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Completar los datos de contacto</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De 190 a 400 clientes con correo y de 278 a 450 con teléfono verificado. Cada comercial completa su propia cartera; el CRM marca lo que falta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Comerciales + 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1-31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8</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12.2</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Ficha de cuenta clave</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Las 50 cuentas del decil 1 con equipos comprados, fecha de la última compra, responsable y próxima acción. Se arma desde el historial que ya está en el CRM</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comerciales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6-24 oct</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12.3</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Plan de contacto trimestral</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Calendario por comercial en la agenda del CRM: cada cuenta clave tiene contacto asegurado cada 90 días, con motivo (revisión, repuesto, novedad)</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20-31 oct</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12.4</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Oferta de recompra por antigüedad del equipo</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Tres ofertas simples: mantenimiento preventivo al año, repuestos críticos, y actualización de equipo entre los 3 y 5 años. Requiere la lista de precios de servicio</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 + Gerencia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3-21 nov</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r>
      <w:tr>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12.5</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Campaña a los clientes fríos</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Los 268 clientes que no compran hace más de 18 meses, en lotes semanales, con la oferta de revisión técnica como excusa de contacto</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Comerciales</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17 nov-19 dic</w:t>
            </w:r>
          </w:p>
        </w:tc>
        <w:tc>
          <w:tcPr>
            <w:tcW w:type="pct" w:w="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r>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12.6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Medición de la recurrencia</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porcentaje de clientes con dos o más compras se revisa mensualmente en el panel de gerencia, junto con el valor de vida del cliente</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Santos</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mensual</w:t>
            </w:r>
          </w:p>
        </w:tc>
        <w:tc>
          <w:tcPr>
            <w:tcW w:type="pct" w:w="6%"/>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r>
    </w:tbl>
    <w:p>
      <w:pPr>
        <w:spacing w:after="60"/>
      </w:pPr>
    </w:p>
    <w:p>
      <w:pPr>
        <w:spacing w:after="120" w:line="276"/>
      </w:pPr>
      <w:r>
        <w:rPr>
          <w:rFonts w:ascii="Arial" w:cs="Arial" w:eastAsia="Arial" w:hAnsi="Arial"/>
          <w:b/>
          <w:bCs/>
          <w:color w:val="2C2E35"/>
          <w:sz w:val="20"/>
          <w:szCs w:val="20"/>
        </w:rPr>
        <w:t xml:space="preserve">Por qué este proyecto va antes que la publicidad:</w:t>
      </w:r>
      <w:r>
        <w:rPr>
          <w:rFonts w:ascii="Arial" w:cs="Arial" w:eastAsia="Arial" w:hAnsi="Arial"/>
          <w:color w:val="2C2E35"/>
          <w:sz w:val="20"/>
          <w:szCs w:val="20"/>
        </w:rPr>
        <w:t xml:space="preserve"> un cliente que ya compró conoce la empresa, tiene el equipo instalado y necesita repuestos y mantenimiento. Cuesta una llamada. Un cliente nuevo cuesta hoy alrededor de S/ 1.318 y compra 1,12 veces.</w:t>
      </w:r>
    </w:p>
    <w:p>
      <w:pPr>
        <w:pStyle w:val="Ttulo1"/>
        <w:spacing w:after="160" w:before="380"/>
      </w:pPr>
      <w:r>
        <w:rPr>
          <w:rFonts w:ascii="Arial" w:cs="Arial" w:eastAsia="Arial" w:hAnsi="Arial"/>
          <w:b/>
          <w:bCs/>
          <w:color w:val="7E1210"/>
          <w:sz w:val="26"/>
          <w:szCs w:val="26"/>
        </w:rPr>
        <w:t xml:space="preserve">4. QUÉ CAMBIA EN LOS PROYECTOS QUE YA EXISTÍAN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Cód.</w:t>
            </w:r>
          </w:p>
        </w:tc>
        <w:tc>
          <w:tcPr>
            <w:tcW w:type="pct" w:w="2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Proyecto</w:t>
            </w:r>
          </w:p>
        </w:tc>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Qué cambia</w:t>
            </w:r>
          </w:p>
        </w:tc>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Por qué</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Fundamentos de marca digital</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De 32 a 14 horas: quedan perfiles, ficha de Google Business y kit de plantillas. La sesión de fotos se une al primer caso de éxito</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 ola 1 está copada por Expomina y la medición; la marca se puede armar con las fotos que ya existen</w:t>
            </w:r>
          </w:p>
        </w:tc>
      </w:tr>
      <w:tr>
        <w:tc>
          <w:tcPr>
            <w:tcW w:type="pct" w:w="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P2</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Expomina 2026</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Sin cambios en tareas ni fechas. Se agrega un objetivo: mapear operadores del sur andino</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Cusco, Puno, Arequipa y Moquegua ya representan US$ 901 mil de la cartera</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P3</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Fábrica de contenido</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De 3 a 2 piezas por semana; arranca el 17 de noviembre (era el 8 de septiembre); nuevo reparto de pilares (más prueba social y postventa, menos emprendedor)</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contenido paga a mediano plazo y hoy compite con trabajo que paga este trimestre. El nuevo reparto apoya al cierre y a la recompra</w:t>
            </w:r>
          </w:p>
        </w:tc>
      </w:tr>
      <w:tr>
        <w:tc>
          <w:tcPr>
            <w:tcW w:type="pct" w:w="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P4</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Estudio audiovisual</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lote 1 baja de 8 a 4 videos y se corre a enero-marzo de 2027. Se quedan los que ayudan a vender: rentabilidad, dimensionamiento, cuándo dar el salto y señales de mantenimiento</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Es el proyecto más caro en horas (60 h) del portafolio original y el de retorno más lento</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P5</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Publicidad digital</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 mantiene el montaje, pero congelada en S/ 1.500 al mes; el foco pasa a los grupos institucionales de ticket alto. La tarea del identificador de clic se muda a P10</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retorno declarado y el estricto difieren seis veces; primero se mide, después se escala</w:t>
            </w:r>
          </w:p>
        </w:tc>
      </w:tr>
      <w:tr>
        <w:tc>
          <w:tcPr>
            <w:tcW w:type="pct" w:w="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P6</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Posicionamiento en buscadores</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 2026 solo la auditoría técnica y el mapa de palabras clave (12 h). El resto espera a la web nueva</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Las fichas indexables dependen del catálogo y del subdominio, ambos bloqueados</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P7</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Referidos y alianzas</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Sube a prioridad alta y se adelanta a noviembre. Se invierte el orden: primero el programa de referidos (era la última tarea), después el mapa de aliados</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cliente que llega por relación vale 75 % más y compra 55 % más seguido; es el mejor canal del negocio y nadie lo gestiona</w:t>
            </w:r>
          </w:p>
        </w:tc>
      </w:tr>
      <w:tr>
        <w:tc>
          <w:tcPr>
            <w:tcW w:type="pct" w:w="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P8</w:t>
            </w:r>
          </w:p>
        </w:tc>
        <w:tc>
          <w:tcPr>
            <w:tcW w:type="pct" w:w="2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Automatización de correos</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 mantiene completo pero arranca el 1 de diciembre y solo si la contactabilidad llegó al 80 %</w:t>
            </w:r>
          </w:p>
        </w:tc>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Con 38 % de correos cargados, las secuencias alcanzarían a menos de la mitad de la cartera</w:t>
            </w:r>
          </w:p>
        </w:tc>
      </w:tr>
      <w:tr>
        <w:tc>
          <w:tcPr>
            <w:tcW w:type="pct" w:w="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P9</w:t>
            </w:r>
          </w:p>
        </w:tc>
        <w:tc>
          <w:tcPr>
            <w:tcW w:type="pct" w:w="2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Arsenal de ventas</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 prioriza la calculadora de rentabilidad y los casos de éxito; el catálogo maestro sigue bloqueado y los one-pagers se reducen a dos (minero y hotelero)</w:t>
            </w:r>
          </w:p>
        </w:tc>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 calculadora y los casos son las piezas que usan P11 y P7; los demás materiales esperan al catálogo</w:t>
            </w:r>
          </w:p>
        </w:tc>
      </w:tr>
    </w:tbl>
    <w:p>
      <w:pPr>
        <w:spacing w:after="60"/>
      </w:pPr>
    </w:p>
    <w:p>
      <w:pPr>
        <w:pStyle w:val="Ttulo1"/>
        <w:spacing w:after="160" w:before="380"/>
      </w:pPr>
      <w:r>
        <w:rPr>
          <w:rFonts w:ascii="Arial" w:cs="Arial" w:eastAsia="Arial" w:hAnsi="Arial"/>
          <w:b/>
          <w:bCs/>
          <w:color w:val="7E1210"/>
          <w:sz w:val="26"/>
          <w:szCs w:val="26"/>
        </w:rPr>
        <w:t xml:space="preserve">5. CRONOGRAMA MAESTRO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Mes</w:t>
            </w:r>
          </w:p>
        </w:tc>
        <w:tc>
          <w:tcPr>
            <w:tcW w:type="pct" w:w="8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Hitos comprometidos</w:t>
            </w:r>
          </w:p>
        </w:tc>
      </w:tr>
      <w:tr>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Agosto (queda ½ mes)</w:t>
            </w:r>
          </w:p>
        </w:tc>
        <w:tc>
          <w:tcPr>
            <w:tcW w:type="pct" w:w="8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GO/NO-GO de Expomina el 22 · política de registro acordada con gerencia el 29 · diagnóstico de atribución listo · one-pager minero y captura por QR en curso</w:t>
            </w:r>
          </w:p>
        </w:tc>
      </w:tr>
      <w:tr>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Septiembre</w:t>
            </w:r>
          </w:p>
        </w:tc>
        <w:tc>
          <w:tcPr>
            <w:tcW w:type="pct" w:w="8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 EXPOMINA del 9 al 11, con arte en imprenta el 3 · identificador de clic funcionando el 30 · campañas de Meta limpias y mapeadas · P1 cerrado el 30 · informe de feria el 19</w:t>
            </w:r>
          </w:p>
        </w:tc>
      </w:tr>
      <w:tr>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Octubre</w:t>
            </w:r>
          </w:p>
        </w:tc>
        <w:tc>
          <w:tcPr>
            <w:tcW w:type="pct" w:w="8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Campaña de recuperación de cotizaciones en marcha desde el 20 · 300 clientes con correo cargado · fichas de las 50 cuentas clave · tablero de adopción publicado · primera medición de la regla de inversión</w:t>
            </w:r>
          </w:p>
        </w:tc>
      </w:tr>
      <w:tr>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Noviembre</w:t>
            </w:r>
          </w:p>
        </w:tc>
        <w:tc>
          <w:tcPr>
            <w:tcW w:type="pct" w:w="8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Informe de motivos de no cierre el 15 · programa de referidos comunicado · campaña a los 268 clientes fríos · contenido a dos piezas semanales desde el 17 · decisión: ¿se sube la pauta a S/ 3.000?</w:t>
            </w:r>
          </w:p>
        </w:tc>
      </w:tr>
      <w:tr>
        <w:tc>
          <w:tcPr>
            <w:tcW w:type="pct" w:w="1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Diciembre</w:t>
            </w:r>
          </w:p>
        </w:tc>
        <w:tc>
          <w:tcPr>
            <w:tcW w:type="pct" w:w="8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P12 cerrado el 20 con la recurrencia medida · correos automáticos en pruebas · cierre de año con el panel del CRM: ventas, valor de vida del cliente y adopción</w:t>
            </w:r>
          </w:p>
        </w:tc>
      </w:tr>
      <w:tr>
        <w:tc>
          <w:tcPr>
            <w:tcW w:type="pct" w:w="1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Enero-marzo 2027</w:t>
            </w:r>
          </w:p>
        </w:tc>
        <w:tc>
          <w:tcPr>
            <w:tcW w:type="pct" w:w="8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P9 completo · lote recortado de video · posicionamiento en buscadores si la web nueva salió · decisión sobre Gastromaq y Perumin</w:t>
            </w:r>
          </w:p>
        </w:tc>
      </w:tr>
    </w:tbl>
    <w:p>
      <w:pPr>
        <w:spacing w:after="60"/>
      </w:pPr>
    </w:p>
    <w:p>
      <w:pPr>
        <w:spacing w:after="160" w:line="276"/>
      </w:pPr>
      <w:r>
        <w:rPr>
          <w:rFonts w:ascii="Arial" w:cs="Arial" w:eastAsia="Arial" w:hAnsi="Arial"/>
          <w:i/>
          <w:iCs/>
          <w:color w:val="6B6B6B"/>
          <w:sz w:val="17"/>
          <w:szCs w:val="17"/>
        </w:rPr>
        <w:t xml:space="preserve">★ = hito inamovible por fecha externa. Todo lo demás se replanifica en la reunión mensual: replanificar es gestión, no fracaso; lo que no se permite es replanificar sin avisar.</w:t>
      </w:r>
    </w:p>
    <w:p>
      <w:pPr>
        <w:pStyle w:val="Ttulo1"/>
        <w:spacing w:after="160" w:before="380"/>
      </w:pPr>
      <w:r>
        <w:rPr>
          <w:rFonts w:ascii="Arial" w:cs="Arial" w:eastAsia="Arial" w:hAnsi="Arial"/>
          <w:b/>
          <w:bCs/>
          <w:color w:val="7E1210"/>
          <w:sz w:val="26"/>
          <w:szCs w:val="26"/>
        </w:rPr>
        <w:t xml:space="preserve">6. RIESGOS DEL PORTAFOLIO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Riesgo</w:t>
            </w:r>
          </w:p>
        </w:tc>
        <w:tc>
          <w:tcPr>
            <w:tcW w:type="pct" w:w="1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Prob.</w:t>
            </w:r>
          </w:p>
        </w:tc>
        <w:tc>
          <w:tcPr>
            <w:tcW w:type="pct" w:w="1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Impacto</w:t>
            </w:r>
          </w:p>
        </w:tc>
        <w:tc>
          <w:tcPr>
            <w:tcW w:type="pct" w:w="4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Respuesta planificada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Las ventas siguen naciendo en Excel y no en el CRM</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Crítico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Política de gerencia (decisión 2) + acompañamiento semanal + tablero de adopción. Si en octubre no se llega al 50 %, se congela la inversión publicitaria</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cartera no tiene datos de contacto</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Alto</w:t>
            </w:r>
          </w:p>
        </w:tc>
        <w:tc>
          <w:tcPr>
            <w:tcW w:type="pct" w:w="4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P12.1 con los comerciales sobre su propia cartera; los correos automáticos esperan al 80 %</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El margen bruto real es desconocido</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Crítico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Decisión 1 de gerencia. Mientras tanto se asume 11 %, que es el escenario más exigente: si el margen real es mayor, todo mejora</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Los comerciales no dan abasto (ya tienen 30 seguimientos diarios de meta)</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Alto</w:t>
            </w:r>
          </w:p>
        </w:tc>
        <w:tc>
          <w:tcPr>
            <w:tcW w:type="pct" w:w="4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recuperación se reparte en lotes de 30 contactos semanales y se mide en el panel de supervisión; si compite con la venta corriente, se alarga el plazo, no se aumenta la carga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Santos es el único ejecutor</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Alto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Límite de tres proyectos activos · recorte de contenido y video (libera unas 60 horas) · diseño y edición tercerizados por pieza</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catálogo con precios sigue sin llegar</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Alta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Medio</w:t>
            </w:r>
          </w:p>
        </w:tc>
        <w:tc>
          <w:tcPr>
            <w:tcW w:type="pct" w:w="4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Ya está aislado: no bloquea nada de las olas 1 a 3, solo el catálogo maestro y los videos de producto</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Imprenta y logística de Expomina</w:t>
            </w:r>
          </w:p>
        </w:tc>
        <w:tc>
          <w:tcPr>
            <w:tcW w:type="pct" w:w="1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Media</w:t>
            </w:r>
          </w:p>
        </w:tc>
        <w:tc>
          <w:tcPr>
            <w:tcW w:type="pct" w:w="1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Medio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Arte cerrado el 3 de septiembre con proveedor confirmado; plan B digital (código QR en pantalla y PDF por WhatsApp)</w:t>
            </w:r>
          </w:p>
        </w:tc>
      </w:tr>
      <w:tr>
        <w:tc>
          <w:tcPr>
            <w:tcW w:type="pct" w:w="3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La reactivación de cotizaciones incomoda al cliente</w:t>
            </w:r>
          </w:p>
        </w:tc>
        <w:tc>
          <w:tcPr>
            <w:tcW w:type="pct" w:w="1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Baja</w:t>
            </w:r>
          </w:p>
        </w:tc>
        <w:tc>
          <w:tcPr>
            <w:tcW w:type="pct" w:w="1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Medio</w:t>
            </w:r>
          </w:p>
        </w:tc>
        <w:tc>
          <w:tcPr>
            <w:tcW w:type="pct" w:w="48%"/>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El guion ofrece algo concreto (vigencia nueva, revisión técnica, novedad) en lugar de preguntar si ya decidió; se corta al segundo «no»</w:t>
            </w:r>
          </w:p>
        </w:tc>
      </w:tr>
    </w:tbl>
    <w:p>
      <w:pPr>
        <w:spacing w:after="60"/>
      </w:pPr>
    </w:p>
    <w:p>
      <w:pPr>
        <w:pStyle w:val="Ttulo1"/>
        <w:spacing w:after="160" w:before="380"/>
      </w:pPr>
      <w:r>
        <w:rPr>
          <w:rFonts w:ascii="Arial" w:cs="Arial" w:eastAsia="Arial" w:hAnsi="Arial"/>
          <w:b/>
          <w:bCs/>
          <w:color w:val="7E1210"/>
          <w:sz w:val="26"/>
          <w:szCs w:val="26"/>
        </w:rPr>
        <w:t xml:space="preserve">7. PRESUPUESTO CONSOLIDADO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Concepto</w:t>
            </w:r>
          </w:p>
        </w:tc>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Una vez</w:t>
            </w:r>
          </w:p>
        </w:tc>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Mensual</w:t>
            </w:r>
          </w:p>
        </w:tc>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Nota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Pauta digital (P5)</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1.500</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Congelada en conservador hasta que P10 cierre</w:t>
            </w:r>
          </w:p>
        </w:tc>
      </w:tr>
      <w:tr>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Expomina 2026 (P2)</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1.000-1.600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Impresos, gafetes, merchandising y movilidad</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Fotos y plantillas de marca (P1)</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300-600</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Recortado respecto de la v1.0</w:t>
            </w:r>
          </w:p>
        </w:tc>
      </w:tr>
      <w:tr>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Diseño y edición por pieza (P3)</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300-800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Baja al pasar de 3 a 2 piezas por semana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Impresión del kit de ventas (P9)</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 200-400</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Dos one-pagers y casos de éxito</w:t>
            </w:r>
          </w:p>
        </w:tc>
      </w:tr>
      <w:tr>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Ficha de mantenimiento (P12)</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0-400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Solo si se imprime para entregar con el equipo</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Kit audiovisual (P4)</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w:t>
            </w:r>
          </w:p>
        </w:tc>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Se posterga a 2027 junto con los videos</w:t>
            </w:r>
          </w:p>
        </w:tc>
      </w:tr>
      <w:tr>
        <w:tc>
          <w:tcPr>
            <w:tcW w:type="pct" w:w="34%"/>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TOTAL comprometido ahora</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1.500-3.000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 1.800-2.300</w:t>
            </w:r>
          </w:p>
        </w:tc>
        <w:tc>
          <w:tcPr>
            <w:tcW w:type="pct" w:w="22%"/>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Menos que la v1.0 (S/ 2.000-3.400 y S/ 2.000-3.000) con más retorno esperado</w:t>
            </w:r>
          </w:p>
        </w:tc>
      </w:tr>
    </w:tbl>
    <w:p>
      <w:pPr>
        <w:spacing w:after="60"/>
      </w:pPr>
    </w:p>
    <w:p>
      <w:pPr>
        <w:pStyle w:val="Ttulo1"/>
        <w:spacing w:after="160" w:before="380"/>
      </w:pPr>
      <w:r>
        <w:rPr>
          <w:rFonts w:ascii="Arial" w:cs="Arial" w:eastAsia="Arial" w:hAnsi="Arial"/>
          <w:b/>
          <w:bCs/>
          <w:color w:val="7E1210"/>
          <w:sz w:val="26"/>
          <w:szCs w:val="26"/>
        </w:rPr>
        <w:t xml:space="preserve">8. GOBIERNO DEL PORTAFOLIO</w:t>
      </w:r>
    </w:p>
    <w:p>
      <w:pPr>
        <w:pStyle w:val="Prrafodelista"/>
        <w:numPr>
          <w:ilvl w:val="0"/>
          <w:numId w:val="1"/>
        </w:numPr>
        <w:spacing w:after="60" w:line="276"/>
      </w:pPr>
      <w:r>
        <w:rPr>
          <w:rFonts w:ascii="Arial" w:cs="Arial" w:eastAsia="Arial" w:hAnsi="Arial"/>
          <w:b/>
          <w:bCs/>
          <w:color w:val="2C2E35"/>
          <w:sz w:val="20"/>
          <w:szCs w:val="20"/>
        </w:rPr>
        <w:t xml:space="preserve">Reunión mensual de 30 minutos con gerencia:</w:t>
      </w:r>
      <w:r>
        <w:rPr>
          <w:rFonts w:ascii="Arial" w:cs="Arial" w:eastAsia="Arial" w:hAnsi="Arial"/>
          <w:color w:val="2C2E35"/>
          <w:sz w:val="20"/>
          <w:szCs w:val="20"/>
        </w:rPr>
        <w:t xml:space="preserve"> avance por proyecto en verde, ámbar o rojo; panel de marketing del CRM; decisión sobre la regla de inversión; y los bloqueos que solo gerencia destraba.</w:t>
      </w:r>
    </w:p>
    <w:p>
      <w:pPr>
        <w:pStyle w:val="Prrafodelista"/>
        <w:numPr>
          <w:ilvl w:val="0"/>
          <w:numId w:val="1"/>
        </w:numPr>
        <w:spacing w:after="60" w:line="276"/>
      </w:pPr>
      <w:r>
        <w:rPr>
          <w:rFonts w:ascii="Arial" w:cs="Arial" w:eastAsia="Arial" w:hAnsi="Arial"/>
          <w:b/>
          <w:bCs/>
          <w:color w:val="2C2E35"/>
          <w:sz w:val="20"/>
          <w:szCs w:val="20"/>
        </w:rPr>
        <w:t xml:space="preserve">Límite de tres proyectos activos.</w:t>
      </w:r>
      <w:r>
        <w:rPr>
          <w:rFonts w:ascii="Arial" w:cs="Arial" w:eastAsia="Arial" w:hAnsi="Arial"/>
          <w:color w:val="2C2E35"/>
          <w:sz w:val="20"/>
          <w:szCs w:val="20"/>
        </w:rPr>
        <w:t xml:space="preserve"> Uno nuevo entra solo si otro termina o se pausa formalmente.</w:t>
      </w:r>
    </w:p>
    <w:p>
      <w:pPr>
        <w:pStyle w:val="Prrafodelista"/>
        <w:numPr>
          <w:ilvl w:val="0"/>
          <w:numId w:val="1"/>
        </w:numPr>
        <w:spacing w:after="60" w:line="276"/>
      </w:pPr>
      <w:r>
        <w:rPr>
          <w:rFonts w:ascii="Arial" w:cs="Arial" w:eastAsia="Arial" w:hAnsi="Arial"/>
          <w:b/>
          <w:bCs/>
          <w:color w:val="2C2E35"/>
          <w:sz w:val="20"/>
          <w:szCs w:val="20"/>
        </w:rPr>
        <w:t xml:space="preserve">Control de cambios en simple:</w:t>
      </w:r>
      <w:r>
        <w:rPr>
          <w:rFonts w:ascii="Arial" w:cs="Arial" w:eastAsia="Arial" w:hAnsi="Arial"/>
          <w:color w:val="2C2E35"/>
          <w:sz w:val="20"/>
          <w:szCs w:val="20"/>
        </w:rPr>
        <w:t xml:space="preserve"> todo pedido nuevo se anota, se estima en horas y entra a la cola priorizada; nunca interrumpe lo activo.</w:t>
      </w:r>
    </w:p>
    <w:p>
      <w:pPr>
        <w:pStyle w:val="Prrafodelista"/>
        <w:numPr>
          <w:ilvl w:val="0"/>
          <w:numId w:val="1"/>
        </w:numPr>
        <w:spacing w:after="60" w:line="276"/>
      </w:pPr>
      <w:r>
        <w:rPr>
          <w:rFonts w:ascii="Arial" w:cs="Arial" w:eastAsia="Arial" w:hAnsi="Arial"/>
          <w:b/>
          <w:bCs/>
          <w:color w:val="2C2E35"/>
          <w:sz w:val="20"/>
          <w:szCs w:val="20"/>
        </w:rPr>
        <w:t xml:space="preserve">Una sola fuente de verdad:</w:t>
      </w:r>
      <w:r>
        <w:rPr>
          <w:rFonts w:ascii="Arial" w:cs="Arial" w:eastAsia="Arial" w:hAnsi="Arial"/>
          <w:color w:val="2C2E35"/>
          <w:sz w:val="20"/>
          <w:szCs w:val="20"/>
        </w:rPr>
        <w:t xml:space="preserve"> el panel del CRM. Si un número no está ahí, se agrega al CRM; no se lleva en un Excel paralelo.</w:t>
      </w:r>
    </w:p>
    <w:p>
      <w:pPr>
        <w:pStyle w:val="Prrafodelista"/>
        <w:numPr>
          <w:ilvl w:val="0"/>
          <w:numId w:val="1"/>
        </w:numPr>
        <w:spacing w:after="60" w:line="276"/>
      </w:pPr>
      <w:r>
        <w:rPr>
          <w:rFonts w:ascii="Arial" w:cs="Arial" w:eastAsia="Arial" w:hAnsi="Arial"/>
          <w:b/>
          <w:bCs/>
          <w:color w:val="2C2E35"/>
          <w:sz w:val="20"/>
          <w:szCs w:val="20"/>
        </w:rPr>
        <w:t xml:space="preserve">Regla nueva (v2.0): ningún proyecto arranca sin su indicador en el CRM.</w:t>
      </w:r>
      <w:r>
        <w:rPr>
          <w:rFonts w:ascii="Arial" w:cs="Arial" w:eastAsia="Arial" w:hAnsi="Arial"/>
          <w:color w:val="2C2E35"/>
          <w:sz w:val="20"/>
          <w:szCs w:val="20"/>
        </w:rPr>
        <w:t xml:space="preserve"> Si no se puede medir el resultado con un dato que el sistema ya registra, primero se construye la medición. Es la lección de este replanteo.</w:t>
      </w:r>
    </w:p>
    <w:p>
      <w:pPr>
        <w:pStyle w:val="Ttulo1"/>
        <w:spacing w:after="160" w:before="380"/>
      </w:pPr>
      <w:r>
        <w:rPr>
          <w:rFonts w:ascii="Arial" w:cs="Arial" w:eastAsia="Arial" w:hAnsi="Arial"/>
          <w:b/>
          <w:bCs/>
          <w:color w:val="7E1210"/>
          <w:sz w:val="26"/>
          <w:szCs w:val="26"/>
        </w:rPr>
        <w:t xml:space="preserve">9. DECISIONES QUE ESTE PORTAFOLIO LE PIDE A GERENCIA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7%"/>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w:t>
            </w:r>
          </w:p>
        </w:tc>
        <w:tc>
          <w:tcPr>
            <w:tcW w:type="pct" w:w="4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Decisión</w:t>
            </w:r>
          </w:p>
        </w:tc>
        <w:tc>
          <w:tcPr>
            <w:tcW w:type="pct" w:w="2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Para cuándo</w:t>
            </w:r>
          </w:p>
        </w:tc>
        <w:tc>
          <w:tcPr>
            <w:tcW w:type="pct" w:w="33%"/>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7"/>
                <w:szCs w:val="17"/>
              </w:rPr>
              <w:t xml:space="preserve">Qué bloquea si no llega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Margen bruto real por línea</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vie 29 de agosto</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Toda la economía del plan: cuánto se puede pagar por una venta</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2</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Política: toda venta y toda cotización nace en el CRM</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vie 29 de agosto</w:t>
            </w:r>
          </w:p>
        </w:tc>
        <w:tc>
          <w:tcPr>
            <w:tcW w:type="pct" w:w="33%"/>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P10 completo y, con él, la confiabilidad de todos los indicadores</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3</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GO/NO-GO de Expomina y asistentes</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vie 22 de agosto</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P2 completo (la feria es el 9 de septiembre)</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4</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Presupuesto: S/ 1.500 al mes más S/ 1.500-3.000 por una vez</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vie 29 de agosto</w:t>
            </w:r>
          </w:p>
        </w:tc>
        <w:tc>
          <w:tcPr>
            <w:tcW w:type="pct" w:w="33%"/>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P5 y P2</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5</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Condición comercial para reactivar cotizaciones</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15 de septiembre</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P11.3 y P11.4: la campaña sobre 1.317 clientes</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6</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Lista de precios de servicio, mantenimiento y repuestos</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septiembre</w:t>
            </w:r>
          </w:p>
        </w:tc>
        <w:tc>
          <w:tcPr>
            <w:tcW w:type="pct" w:w="33%"/>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P12.4: la oferta de recompra</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7</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Catálogo de productos con precios</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cuanto antes</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P9.6 (catálogo maestro), P6.3 y el lote 2 de video</w:t>
            </w:r>
          </w:p>
        </w:tc>
      </w:tr>
      <w:tr>
        <w:tc>
          <w:tcPr>
            <w:tcW w:type="pct" w:w="7%"/>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8</w:t>
            </w:r>
          </w:p>
        </w:tc>
        <w:tc>
          <w:tcPr>
            <w:tcW w:type="pct" w:w="4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Subdominio y web nueva</w:t>
            </w:r>
          </w:p>
        </w:tc>
        <w:tc>
          <w:tcPr>
            <w:tcW w:type="pct" w:w="20%"/>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cuanto antes</w:t>
            </w:r>
          </w:p>
        </w:tc>
        <w:tc>
          <w:tcPr>
            <w:tcW w:type="pct" w:w="33%"/>
            <w:tcBorders>
              <w:top w:val="single" w:color="E5E2E2" w:sz="4"/>
              <w:left w:val="single" w:color="E5E2E2" w:sz="4"/>
              <w:bottom w:val="single" w:color="E5E2E2" w:sz="4"/>
              <w:right w:val="single" w:color="E5E2E2" w:sz="4"/>
            </w:tcBorders>
            <w:shd w:fill="FAF8F8" w:val="clear"/>
            <w:tcMar>
              <w:top w:type="dxa" w:w="60"/>
              <w:left w:type="dxa" w:w="100"/>
              <w:bottom w:type="dxa" w:w="60"/>
              <w:right w:type="dxa" w:w="100"/>
            </w:tcMar>
          </w:tcPr>
          <w:p>
            <w:pPr>
              <w:spacing w:after="0"/>
            </w:pPr>
            <w:r>
              <w:rPr>
                <w:rFonts w:ascii="Arial" w:cs="Arial" w:eastAsia="Arial" w:hAnsi="Arial"/>
                <w:color w:val="2C2E35"/>
                <w:sz w:val="17"/>
                <w:szCs w:val="17"/>
              </w:rPr>
              <w:t xml:space="preserve">P6 y la calculadora como imán de leads</w:t>
            </w:r>
          </w:p>
        </w:tc>
      </w:tr>
      <w:tr>
        <w:tc>
          <w:tcPr>
            <w:tcW w:type="pct" w:w="7%"/>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9</w:t>
            </w:r>
          </w:p>
        </w:tc>
        <w:tc>
          <w:tcPr>
            <w:tcW w:type="pct" w:w="4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Qué se le da a quien refiere</w:t>
            </w:r>
          </w:p>
        </w:tc>
        <w:tc>
          <w:tcPr>
            <w:tcW w:type="pct" w:w="2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octubre 2026</w:t>
            </w:r>
          </w:p>
        </w:tc>
        <w:tc>
          <w:tcPr>
            <w:tcW w:type="pct" w:w="33%"/>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color w:val="2C2E35"/>
                <w:sz w:val="17"/>
                <w:szCs w:val="17"/>
              </w:rPr>
              <w:t xml:space="preserve">P7.5, el programa de referidos</w:t>
            </w:r>
          </w:p>
        </w:tc>
      </w:tr>
    </w:tbl>
    <w:p>
      <w:pPr>
        <w:spacing w:after="60"/>
      </w:pPr>
    </w:p>
    <w:p>
      <w:pPr>
        <w:spacing w:after="120" w:line="276"/>
      </w:pPr>
      <w:r>
        <w:rPr>
          <w:rFonts w:ascii="Arial" w:cs="Arial" w:eastAsia="Arial" w:hAnsi="Arial"/>
          <w:b/>
          <w:bCs/>
          <w:color w:val="2C2E35"/>
          <w:sz w:val="20"/>
          <w:szCs w:val="20"/>
        </w:rPr>
        <w:t xml:space="preserve">Con las decisiones 1, 2 y 3 tomadas esta semana, el portafolio arranca el lunes 24 de agosto sin esperar nada más.</w:t>
      </w:r>
      <w:r>
        <w:rPr>
          <w:rFonts w:ascii="Arial" w:cs="Arial" w:eastAsia="Arial" w:hAnsi="Arial"/>
          <w:color w:val="2C2E35"/>
          <w:sz w:val="20"/>
          <w:szCs w:val="20"/>
        </w:rPr>
        <w:t xml:space="preserve"> Las tres son de conversación, no de presupuesto: cuánto margen deja una venta, dónde se registra el trabajo y quién va a la feria.</w:t>
      </w:r>
    </w:p>
    <w:p>
      <w:pPr>
        <w:spacing w:after="160" w:line="276"/>
      </w:pPr>
      <w:r>
        <w:rPr>
          <w:rFonts w:ascii="Arial" w:cs="Arial" w:eastAsia="Arial" w:hAnsi="Arial"/>
          <w:i/>
          <w:iCs/>
          <w:color w:val="6B6B6B"/>
          <w:sz w:val="17"/>
          <w:szCs w:val="17"/>
        </w:rPr>
        <w:t xml:space="preserve">Documento vivo: se replanifica en la reunión mensual. Versión 2.0 — 20 de agosto de 2026. Complementa al Plan de Marketing 2026-2027 versión 2.0 (estrategia y metas); este archivo es la ejecución.</w:t>
      </w:r>
    </w:p>
    <w:sectPr w:rsidR="0050458C">
      <w:headerReference w:type="default" r:id="rId8"/>
      <w:footerReference w:type="default" r:id="rId9"/>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E5213" w14:textId="77777777" w:rsidR="004C29EE" w:rsidRDefault="004C29EE">
      <w:r>
        <w:separator/>
      </w:r>
    </w:p>
  </w:endnote>
  <w:endnote w:type="continuationSeparator" w:id="0">
    <w:p w14:paraId="03FF5F08" w14:textId="77777777" w:rsidR="004C29EE" w:rsidRDefault="004C2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36C8" w14:textId="77777777" w:rsidR="0050458C" w:rsidRDefault="00000000">
    <w:pPr>
      <w:jc w:val="center"/>
    </w:pPr>
    <w:r>
      <w:rPr>
        <w:color w:val="6B6B6B"/>
        <w:sz w:val="16"/>
        <w:szCs w:val="16"/>
      </w:rPr>
      <w:t xml:space="preserve">Elaborado por Santos Lenin </w:t>
    </w:r>
    <w:proofErr w:type="spellStart"/>
    <w:r>
      <w:rPr>
        <w:color w:val="6B6B6B"/>
        <w:sz w:val="16"/>
        <w:szCs w:val="16"/>
      </w:rPr>
      <w:t>Vilcachagua</w:t>
    </w:r>
    <w:proofErr w:type="spellEnd"/>
    <w:r>
      <w:rPr>
        <w:color w:val="6B6B6B"/>
        <w:sz w:val="16"/>
        <w:szCs w:val="16"/>
      </w:rPr>
      <w:t xml:space="preserve"> Ayala · Página </w:t>
    </w:r>
    <w:r>
      <w:rPr>
        <w:color w:val="6B6B6B"/>
        <w:sz w:val="16"/>
        <w:szCs w:val="16"/>
      </w:rPr>
      <w:fldChar w:fldCharType="begin"/>
    </w:r>
    <w:r>
      <w:rPr>
        <w:color w:val="6B6B6B"/>
        <w:sz w:val="16"/>
        <w:szCs w:val="16"/>
      </w:rPr>
      <w:instrText>PAGE</w:instrText>
    </w:r>
    <w:r>
      <w:rPr>
        <w:color w:val="6B6B6B"/>
        <w:sz w:val="16"/>
        <w:szCs w:val="16"/>
      </w:rPr>
      <w:fldChar w:fldCharType="separate"/>
    </w:r>
    <w:r w:rsidR="00CE0356">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25F6" w14:textId="77777777" w:rsidR="004C29EE" w:rsidRDefault="004C29EE">
      <w:r>
        <w:separator/>
      </w:r>
    </w:p>
  </w:footnote>
  <w:footnote w:type="continuationSeparator" w:id="0">
    <w:p w14:paraId="7C441D58" w14:textId="77777777" w:rsidR="004C29EE" w:rsidRDefault="004C2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7D87" w14:textId="77777777" w:rsidR="0050458C" w:rsidRDefault="00000000">
    <w:pPr>
      <w:jc w:val="right"/>
    </w:pPr>
    <w:proofErr w:type="spellStart"/>
    <w:r>
      <w:rPr>
        <w:color w:val="6B6B6B"/>
        <w:sz w:val="16"/>
        <w:szCs w:val="16"/>
      </w:rPr>
      <w:t>Efameinsa</w:t>
    </w:r>
    <w:proofErr w:type="spellEnd"/>
    <w:r>
      <w:rPr>
        <w:color w:val="6B6B6B"/>
        <w:sz w:val="16"/>
        <w:szCs w:val="16"/>
      </w:rPr>
      <w:t xml:space="preserve"> · Portafolio de proyectos de marketing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D4DB5"/>
    <w:multiLevelType w:val="hybridMultilevel"/>
    <w:tmpl w:val="B40CC26E"/>
    <w:lvl w:ilvl="0" w:tplc="A17ED292">
      <w:start w:val="1"/>
      <w:numFmt w:val="bullet"/>
      <w:lvlText w:val="●"/>
      <w:lvlJc w:val="left"/>
      <w:pPr>
        <w:ind w:left="720" w:hanging="360"/>
      </w:pPr>
    </w:lvl>
    <w:lvl w:ilvl="1" w:tplc="E0D03904">
      <w:start w:val="1"/>
      <w:numFmt w:val="bullet"/>
      <w:lvlText w:val="○"/>
      <w:lvlJc w:val="left"/>
      <w:pPr>
        <w:ind w:left="1440" w:hanging="360"/>
      </w:pPr>
    </w:lvl>
    <w:lvl w:ilvl="2" w:tplc="9E72EB10">
      <w:start w:val="1"/>
      <w:numFmt w:val="bullet"/>
      <w:lvlText w:val="■"/>
      <w:lvlJc w:val="left"/>
      <w:pPr>
        <w:ind w:left="2160" w:hanging="360"/>
      </w:pPr>
    </w:lvl>
    <w:lvl w:ilvl="3" w:tplc="772C56A6">
      <w:start w:val="1"/>
      <w:numFmt w:val="bullet"/>
      <w:lvlText w:val="●"/>
      <w:lvlJc w:val="left"/>
      <w:pPr>
        <w:ind w:left="2880" w:hanging="360"/>
      </w:pPr>
    </w:lvl>
    <w:lvl w:ilvl="4" w:tplc="9A6EE5BC">
      <w:start w:val="1"/>
      <w:numFmt w:val="bullet"/>
      <w:lvlText w:val="○"/>
      <w:lvlJc w:val="left"/>
      <w:pPr>
        <w:ind w:left="3600" w:hanging="360"/>
      </w:pPr>
    </w:lvl>
    <w:lvl w:ilvl="5" w:tplc="ECBA28E0">
      <w:start w:val="1"/>
      <w:numFmt w:val="bullet"/>
      <w:lvlText w:val="■"/>
      <w:lvlJc w:val="left"/>
      <w:pPr>
        <w:ind w:left="4320" w:hanging="360"/>
      </w:pPr>
    </w:lvl>
    <w:lvl w:ilvl="6" w:tplc="75804182">
      <w:start w:val="1"/>
      <w:numFmt w:val="bullet"/>
      <w:lvlText w:val="●"/>
      <w:lvlJc w:val="left"/>
      <w:pPr>
        <w:ind w:left="5040" w:hanging="360"/>
      </w:pPr>
    </w:lvl>
    <w:lvl w:ilvl="7" w:tplc="7E5C15F4">
      <w:start w:val="1"/>
      <w:numFmt w:val="bullet"/>
      <w:lvlText w:val="●"/>
      <w:lvlJc w:val="left"/>
      <w:pPr>
        <w:ind w:left="5760" w:hanging="360"/>
      </w:pPr>
    </w:lvl>
    <w:lvl w:ilvl="8" w:tplc="986618B2">
      <w:start w:val="1"/>
      <w:numFmt w:val="bullet"/>
      <w:lvlText w:val="●"/>
      <w:lvlJc w:val="left"/>
      <w:pPr>
        <w:ind w:left="6480" w:hanging="360"/>
      </w:pPr>
    </w:lvl>
  </w:abstractNum>
  <w:num w:numId="1" w16cid:durableId="1315572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58C"/>
    <w:rsid w:val="004C29EE"/>
    <w:rsid w:val="0050458C"/>
    <w:rsid w:val="005D644F"/>
    <w:rsid w:val="00866F72"/>
    <w:rsid w:val="00CE0356"/>
    <w:rsid w:val="00DD71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D4EF"/>
  <w15:docId w15:val="{C9626288-8359-4847-9A86-E15C9F470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E35"/>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21</Pages>
  <Words>5534</Words>
  <Characters>30439</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Gestión de proyectos — Plan de Marketing Efameinsa</vt:lpstr>
    </vt:vector>
  </TitlesOfParts>
  <Company/>
  <LinksUpToDate>false</LinksUpToDate>
  <CharactersWithSpaces>35902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proyectos — Plan de Marketing Efameinsa</dc:title>
  <dc:creator>Santos Lenin Vilcachagua Ayala</dc:creator>
  <cp:lastModifiedBy>diseno</cp:lastModifiedBy>
  <cp:revision>2</cp:revision>
  <dcterms:created xsi:type="dcterms:W3CDTF">2026-08-19T19:47:00Z</dcterms:created>
  <dcterms:modified xsi:type="dcterms:W3CDTF">2026-08-19T22:50:00Z</dcterms:modified>
</cp:coreProperties>
</file>