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pPr>
      <w:r>
        <w:drawing>
          <wp:inline distT="0" distB="0" distL="0" distR="0">
            <wp:extent cx="2857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66725"/>
                    </a:xfrm>
                    <a:prstGeom prst="rect">
                      <a:avLst/>
                    </a:prstGeom>
                  </pic:spPr>
                </pic:pic>
              </a:graphicData>
            </a:graphic>
          </wp:inline>
        </w:drawing>
      </w:r>
    </w:p>
    <w:p>
      <w:pPr>
        <w:spacing w:after="100"/>
      </w:pPr>
      <w:r>
        <w:rPr>
          <w:rFonts w:ascii="Arial" w:cs="Arial" w:eastAsia="Arial" w:hAnsi="Arial"/>
          <w:b/>
          <w:bCs/>
          <w:color w:val="7E1210"/>
          <w:sz w:val="40"/>
          <w:szCs w:val="40"/>
        </w:rPr>
        <w:t xml:space="preserve">PLAN DE MARKETING 2026-2027</w:t>
      </w:r>
    </w:p>
    <w:p>
      <w:pPr>
        <w:spacing w:after="80"/>
      </w:pPr>
      <w:r>
        <w:rPr>
          <w:rFonts w:ascii="Arial" w:cs="Arial" w:eastAsia="Arial" w:hAnsi="Arial"/>
          <w:color w:val="2C2E35"/>
          <w:sz w:val="24"/>
          <w:szCs w:val="24"/>
        </w:rPr>
        <w:t xml:space="preserve">Estrategia, metas y portafolio de proyectos — documento final</w:t>
      </w:r>
    </w:p>
    <w:p>
      <w:pPr>
        <w:spacing w:after="300"/>
      </w:pPr>
      <w:r>
        <w:rPr>
          <w:rFonts w:ascii="Arial" w:cs="Arial" w:eastAsia="Arial" w:hAnsi="Arial"/>
          <w:color w:val="6B6B6B"/>
          <w:sz w:val="20"/>
          <w:szCs w:val="20"/>
        </w:rPr>
        <w:t xml:space="preserve">Lima, 20 de agosto de 2026 · Elaborado por Santos Lenin Vilcachagua Ayala · Unifica y reemplaza a los dos documentos del 19 de agosto</w:t>
      </w:r>
    </w:p>
    <w:p>
      <w:pPr>
        <w:spacing w:after="200" w:line="276"/>
      </w:pPr>
      <w:r>
        <w:rPr>
          <w:rFonts w:ascii="Arial" w:cs="Arial" w:eastAsia="Arial" w:hAnsi="Arial"/>
          <w:color w:val="2C2E35"/>
          <w:sz w:val="20"/>
          <w:szCs w:val="20"/>
        </w:rPr>
        <w:t xml:space="preserve">Este documento reemplaza a los dos que se entregaron el 19 de agosto —el plan de marketing y el portafolio de proyectos— y los unifica en uno solo. </w:t>
      </w:r>
      <w:r>
        <w:rPr>
          <w:rFonts w:ascii="Arial" w:cs="Arial" w:eastAsia="Arial" w:hAnsi="Arial"/>
          <w:b/>
          <w:bCs/>
          <w:color w:val="2C2E35"/>
          <w:sz w:val="20"/>
          <w:szCs w:val="20"/>
        </w:rPr>
        <w:t xml:space="preserve">No es un refrito: las cifras cambiaron.</w:t>
      </w:r>
      <w:r>
        <w:rPr>
          <w:rFonts w:ascii="Arial" w:cs="Arial" w:eastAsia="Arial" w:hAnsi="Arial"/>
          <w:color w:val="2C2E35"/>
          <w:sz w:val="20"/>
          <w:szCs w:val="20"/>
        </w:rPr>
        <w:t xml:space="preserve"> El 20 de agosto se corrigieron </w:t>
      </w:r>
      <w:r>
        <w:rPr>
          <w:rFonts w:ascii="Arial" w:cs="Arial" w:eastAsia="Arial" w:hAnsi="Arial"/>
          <w:b/>
          <w:bCs/>
          <w:color w:val="2C2E35"/>
          <w:sz w:val="20"/>
          <w:szCs w:val="20"/>
        </w:rPr>
        <w:t xml:space="preserve">268 ventas duplicadas que inflaban el histórico en US$ 1,97 millones</w:t>
      </w:r>
      <w:r>
        <w:rPr>
          <w:rFonts w:ascii="Arial" w:cs="Arial" w:eastAsia="Arial" w:hAnsi="Arial"/>
          <w:color w:val="2C2E35"/>
          <w:sz w:val="20"/>
          <w:szCs w:val="20"/>
        </w:rPr>
        <w:t xml:space="preserve">, se midió por primera vez el valor de vida del cliente y se revisó de dónde viene realmente cada venta. Con la base corregida cambian los números, el orden de prioridades y las metas. </w:t>
      </w:r>
      <w:r>
        <w:rPr>
          <w:rFonts w:ascii="Arial" w:cs="Arial" w:eastAsia="Arial" w:hAnsi="Arial"/>
          <w:b/>
          <w:bCs/>
          <w:color w:val="2C2E35"/>
          <w:sz w:val="20"/>
          <w:szCs w:val="20"/>
        </w:rPr>
        <w:t xml:space="preserve">La Parte I dice qué hacer y por qué; la Parte II, quién lo hace, cuándo y con cuánto.</w:t>
      </w:r>
    </w:p>
    <w:p>
      <w:pPr>
        <w:pStyle w:val="Heading1"/>
        <w:spacing w:after="160" w:before="380"/>
      </w:pPr>
      <w:r>
        <w:rPr>
          <w:rFonts w:ascii="Arial" w:cs="Arial" w:eastAsia="Arial" w:hAnsi="Arial"/>
          <w:b/>
          <w:bCs/>
          <w:color w:val="7E1210"/>
          <w:sz w:val="26"/>
          <w:szCs w:val="26"/>
        </w:rPr>
        <w:t xml:space="preserve">PARTE I — LA ESTRATEGIA</w:t>
      </w:r>
    </w:p>
    <w:p>
      <w:pPr>
        <w:pStyle w:val="Heading1"/>
        <w:spacing w:after="160" w:before="380"/>
      </w:pPr>
      <w:r>
        <w:rPr>
          <w:rFonts w:ascii="Arial" w:cs="Arial" w:eastAsia="Arial" w:hAnsi="Arial"/>
          <w:b/>
          <w:bCs/>
          <w:color w:val="7E1210"/>
          <w:sz w:val="26"/>
          <w:szCs w:val="26"/>
        </w:rPr>
        <w:t xml:space="preserve">1. RESUMEN EJECUTIVO</w:t>
      </w:r>
    </w:p>
    <w:p>
      <w:pPr>
        <w:pStyle w:val="ListParagraph"/>
        <w:numPr>
          <w:ilvl w:val="0"/>
          <w:numId w:val="1"/>
        </w:numPr>
        <w:spacing w:after="60" w:line="276"/>
      </w:pPr>
      <w:r>
        <w:rPr>
          <w:rFonts w:ascii="Arial" w:cs="Arial" w:eastAsia="Arial" w:hAnsi="Arial"/>
          <w:b/>
          <w:bCs/>
          <w:color w:val="2C2E35"/>
          <w:sz w:val="20"/>
          <w:szCs w:val="20"/>
        </w:rPr>
        <w:t xml:space="preserve">La empresa está vendiendo mejor que nunca.</w:t>
      </w:r>
      <w:r>
        <w:rPr>
          <w:rFonts w:ascii="Arial" w:cs="Arial" w:eastAsia="Arial" w:hAnsi="Arial"/>
          <w:color w:val="2C2E35"/>
          <w:sz w:val="20"/>
          <w:szCs w:val="20"/>
        </w:rPr>
        <w:t xml:space="preserve"> 2026 lleva US$ 1,39 millones en 161 ventas en ocho meses, con un ticket promedio de US$ 8.617: es el mejor año de la serie y ya superó en 56 % a todo 2025. El ticket viene subiendo solo, de US$ 4.013 en 2021 a US$ 8.617 hoy — el negocio se está moviendo hacia el equipo grande sin que nadie lo empuje.</w:t>
      </w:r>
    </w:p>
    <w:p>
      <w:pPr>
        <w:pStyle w:val="ListParagraph"/>
        <w:numPr>
          <w:ilvl w:val="0"/>
          <w:numId w:val="1"/>
        </w:numPr>
        <w:spacing w:after="60" w:line="276"/>
      </w:pPr>
      <w:r>
        <w:rPr>
          <w:rFonts w:ascii="Arial" w:cs="Arial" w:eastAsia="Arial" w:hAnsi="Arial"/>
          <w:b/>
          <w:bCs/>
          <w:color w:val="2C2E35"/>
          <w:sz w:val="20"/>
          <w:szCs w:val="20"/>
        </w:rPr>
        <w:t xml:space="preserve">Ese crecimiento no vino de la publicidad.</w:t>
      </w:r>
      <w:r>
        <w:rPr>
          <w:rFonts w:ascii="Arial" w:cs="Arial" w:eastAsia="Arial" w:hAnsi="Arial"/>
          <w:color w:val="2C2E35"/>
          <w:sz w:val="20"/>
          <w:szCs w:val="20"/>
        </w:rPr>
        <w:t xml:space="preserve"> La publicidad explica el 5 % del ingreso histórico (US$ 216 mil de US$ 4,21 millones). Lo que vende es la procedencia declarada como web (81 %) y el referido (8 %). Conviene decirlo sin adornos: la publicidad todavía no es el motor, es un complemento que recién ahora se puede medir.</w:t>
      </w:r>
    </w:p>
    <w:p>
      <w:pPr>
        <w:pStyle w:val="ListParagraph"/>
        <w:numPr>
          <w:ilvl w:val="0"/>
          <w:numId w:val="1"/>
        </w:numPr>
        <w:spacing w:after="60" w:line="276"/>
      </w:pPr>
      <w:r>
        <w:rPr>
          <w:rFonts w:ascii="Arial" w:cs="Arial" w:eastAsia="Arial" w:hAnsi="Arial"/>
          <w:b/>
          <w:bCs/>
          <w:color w:val="2C2E35"/>
          <w:sz w:val="20"/>
          <w:szCs w:val="20"/>
        </w:rPr>
        <w:t xml:space="preserve">Hay tres bolsas de valor que no cuestan un sol de pauta.</w:t>
      </w:r>
      <w:r>
        <w:rPr>
          <w:rFonts w:ascii="Arial" w:cs="Arial" w:eastAsia="Arial" w:hAnsi="Arial"/>
          <w:color w:val="2C2E35"/>
          <w:sz w:val="20"/>
          <w:szCs w:val="20"/>
        </w:rPr>
        <w:t xml:space="preserve"> (1) 1.317 clientes que pidieron cotización en 2026 y no compraron. (2) 409 clientes que compraron una sola vez, cuando la segunda compra duplica el valor del cliente. (3) 50 cuentas que valen el 47 % del ingreso y no tienen plan de cuidado. Cualquiera de las tres rinde más, y antes, que subir el presupuesto de anuncios.</w:t>
      </w:r>
    </w:p>
    <w:p>
      <w:pPr>
        <w:pStyle w:val="ListParagraph"/>
        <w:numPr>
          <w:ilvl w:val="0"/>
          <w:numId w:val="1"/>
        </w:numPr>
        <w:spacing w:after="60" w:line="276"/>
      </w:pPr>
      <w:r>
        <w:rPr>
          <w:rFonts w:ascii="Arial" w:cs="Arial" w:eastAsia="Arial" w:hAnsi="Arial"/>
          <w:b/>
          <w:bCs/>
          <w:color w:val="2C2E35"/>
          <w:sz w:val="20"/>
          <w:szCs w:val="20"/>
        </w:rPr>
        <w:t xml:space="preserve">El mejor cliente llega por relación, no por anuncio.</w:t>
      </w:r>
      <w:r>
        <w:rPr>
          <w:rFonts w:ascii="Arial" w:cs="Arial" w:eastAsia="Arial" w:hAnsi="Arial"/>
          <w:color w:val="2C2E35"/>
          <w:sz w:val="20"/>
          <w:szCs w:val="20"/>
        </w:rPr>
        <w:t xml:space="preserve"> Los clientes que entraron por referido o visita valen en promedio US$ 11.127 y compran 1,73 veces; los que entraron por publicidad valen US$ 6.359 y compran 1,12 veces. Entre los clientes grandes, los de relación promedian 3,44 compras. Y no existe un programa de referidos.</w:t>
      </w:r>
    </w:p>
    <w:p>
      <w:pPr>
        <w:pStyle w:val="ListParagraph"/>
        <w:numPr>
          <w:ilvl w:val="0"/>
          <w:numId w:val="1"/>
        </w:numPr>
        <w:spacing w:after="60" w:line="276"/>
      </w:pPr>
      <w:r>
        <w:rPr>
          <w:rFonts w:ascii="Arial" w:cs="Arial" w:eastAsia="Arial" w:hAnsi="Arial"/>
          <w:b/>
          <w:bCs/>
          <w:color w:val="2C2E35"/>
          <w:sz w:val="20"/>
          <w:szCs w:val="20"/>
        </w:rPr>
        <w:t xml:space="preserve">Antes de escalar un sol de pauta hay que poder medirla.</w:t>
      </w:r>
      <w:r>
        <w:rPr>
          <w:rFonts w:ascii="Arial" w:cs="Arial" w:eastAsia="Arial" w:hAnsi="Arial"/>
          <w:color w:val="2C2E35"/>
          <w:sz w:val="20"/>
          <w:szCs w:val="20"/>
        </w:rPr>
        <w:t xml:space="preserve"> Hoy 626 de las 628 ventas entraron importadas de Excel, solo 5 tienen un lead asociado y ningún lead de Meta trae identificador de clic. Por eso el retorno publicitario oscila entre 2,7× y 17,7×. Cerrar ese circuito es la prioridad número uno del año, y es trabajo de semanas, no de meses.</w:t>
      </w:r>
    </w:p>
    <w:p>
      <w:pPr>
        <w:pStyle w:val="ListParagraph"/>
        <w:numPr>
          <w:ilvl w:val="0"/>
          <w:numId w:val="1"/>
        </w:numPr>
        <w:spacing w:after="60" w:line="276"/>
      </w:pPr>
      <w:r>
        <w:rPr>
          <w:rFonts w:ascii="Arial" w:cs="Arial" w:eastAsia="Arial" w:hAnsi="Arial"/>
          <w:b/>
          <w:bCs/>
          <w:color w:val="2C2E35"/>
          <w:sz w:val="20"/>
          <w:szCs w:val="20"/>
        </w:rPr>
        <w:t xml:space="preserve">El margen bruto real decide todo y sigue sin confirmarse.</w:t>
      </w:r>
      <w:r>
        <w:rPr>
          <w:rFonts w:ascii="Arial" w:cs="Arial" w:eastAsia="Arial" w:hAnsi="Arial"/>
          <w:color w:val="2C2E35"/>
          <w:sz w:val="20"/>
          <w:szCs w:val="20"/>
        </w:rPr>
        <w:t xml:space="preserve"> Con el 11 % que hoy tiene cargado el sistema, el retorno de equilibrio es 9,1×; con 15 % baja a 6,7× y con 20 % a 5,0×. Es el dato más barato de conseguir y el que más cambia las decisiones de este plan.</w:t>
      </w:r>
    </w:p>
    <w:p>
      <w:pPr>
        <w:pStyle w:val="ListParagraph"/>
        <w:numPr>
          <w:ilvl w:val="0"/>
          <w:numId w:val="1"/>
        </w:numPr>
        <w:spacing w:after="60" w:line="276"/>
      </w:pPr>
      <w:r>
        <w:rPr>
          <w:rFonts w:ascii="Arial" w:cs="Arial" w:eastAsia="Arial" w:hAnsi="Arial"/>
          <w:b/>
          <w:bCs/>
          <w:color w:val="2C2E35"/>
          <w:sz w:val="20"/>
          <w:szCs w:val="20"/>
        </w:rPr>
        <w:t xml:space="preserve">Inversión propuesta:</w:t>
      </w:r>
      <w:r>
        <w:rPr>
          <w:rFonts w:ascii="Arial" w:cs="Arial" w:eastAsia="Arial" w:hAnsi="Arial"/>
          <w:color w:val="2C2E35"/>
          <w:sz w:val="20"/>
          <w:szCs w:val="20"/>
        </w:rPr>
        <w:t xml:space="preserve"> mantener la pauta en el escenario conservador (S/ 1.500 al mes) hasta que la medición cierre, y mover las horas y el foco a cierre, recompra y referidos. Subir a S/ 3.000 solo cuando se cumplan las tres condiciones de la sección 4.3 — que ya no dependen de una conversión estimada, sino de plata medida.</w:t>
      </w:r>
    </w:p>
    <w:p>
      <w:pPr>
        <w:pStyle w:val="Heading1"/>
        <w:spacing w:after="160" w:before="380"/>
      </w:pPr>
      <w:r>
        <w:rPr>
          <w:rFonts w:ascii="Arial" w:cs="Arial" w:eastAsia="Arial" w:hAnsi="Arial"/>
          <w:b/>
          <w:bCs/>
          <w:color w:val="7E1210"/>
          <w:sz w:val="26"/>
          <w:szCs w:val="26"/>
        </w:rPr>
        <w:t xml:space="preserve">2. LA FOTO REAL DEL NEGOCIO (AL 20 DE AGOSTO DE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Indicador</w:t>
            </w:r>
          </w:p>
        </w:tc>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Valor medido</w:t>
            </w:r>
          </w:p>
        </w:tc>
        <w:tc>
          <w:tcPr>
            <w:tcW w:type="pct" w:w="3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Lectura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Ventas registradas 2021-2026</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628 ventas · US$ 4,21 millones</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Base corregida: sin los 268 duplicados</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Año 2026 (8 meses)</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161 ventas · US$ 1,39 millones · ticket US$ 8.617</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Mejor año de la serie; +56 % sobre todo 2025</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Evolución del ticket</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4.013 (2021) → 7.741 (2024) → 8.617 (2026)</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negocio migra solo hacia el equipo grande</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Clientes con al menos una compra</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500</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Cartera real sobre la que se puede trabajar</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Valor de vida del cliente (CLTV)</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Mediana US$ 3.790 · promedio US$ 8.413</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promedio no representa a nadie: lo estiran los clientes grandes</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Concentración</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50 clientes = 47 % del ingreso · 63 clientes = 52 %</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Perder una cuenta grande cuesta más que ganar veinte chicas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Recurrencia</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409 clientes (82 %) compraron una sola vez</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91 clientes repiten y aportan el 38 % del ingreso</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Valor según cantidad de compras</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 compra: US$ 6.425 · 2: US$ 14.156 · 3 a 5: US$ 27.048</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segunda compra más que duplica el valor del cliente</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Ingreso por procedencia</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Web 81 % · referidos 8 % · publicidad 5 % · otros 6 %</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 publicidad todavía no es el motor del negocio</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Calidad del cliente por origen</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Relación: US$ 11.127 y 1,73 compras · Publicidad: US$ 6.359 y 1,12</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referido no solo vende: vende mejor y vuelve</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Cotizaciones 2026</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2.499 cotizaciones a 1.419 clientes; compraron 143</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Cierre por cliente cotizado: 10,1 %</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Cotizaciones 2025</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3.112 cotizaciones · 124 ventas</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ritmo de cotización es alto; el cierre es lo que falta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Gasto publicitario 2026</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US$ 7.379 (S/ 27.671) en 8 meses</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 S/ 3.460 al mes, ya en el nivel del escenario base</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Ventas 2026 declaradas como publicidad</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21 ventas · US$ 130.855</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Ninguna con trazabilidad real: todas vienen del Excel del comercial</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Tiempo de asignación del lead</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Mediana de 0,2 a 0,5 horas</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Era 36,6 horas: el SLA de 1 hora funciona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Geografía</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59 % del monto identificado está fuera de Lima</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Cusco, Puno, Arequipa y Moquegua suman US$ 901 mil</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Contactabilidad de la cartera</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190 de 500 clientes con correo (38 %) · 278 con teléfono (56 %)</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Cualquier campaña por correo alcanza hoy a menos de la mitad</w:t>
            </w:r>
          </w:p>
        </w:tc>
      </w:tr>
    </w:tbl>
    <w:p>
      <w:pPr>
        <w:spacing w:after="60"/>
      </w:pPr>
    </w:p>
    <w:p>
      <w:pPr>
        <w:spacing w:after="160" w:line="276"/>
      </w:pPr>
      <w:r>
        <w:rPr>
          <w:rFonts w:ascii="Arial" w:cs="Arial" w:eastAsia="Arial" w:hAnsi="Arial"/>
          <w:i/>
          <w:iCs/>
          <w:color w:val="6B6B6B"/>
          <w:sz w:val="17"/>
          <w:szCs w:val="17"/>
        </w:rPr>
        <w:t xml:space="preserve">Fuente: base de datos del CRM (crm-efameinsa.vercel.app), consultada el 20 de agosto de 2026. 2026 va hasta el 20 de agosto. El tipo de cambio usado es 3,75 y el margen bruto, 11 % — ambos son parámetros del sistema pendientes de confirmación por gerencia.</w:t>
      </w:r>
    </w:p>
    <w:p>
      <w:pPr>
        <w:pStyle w:val="Heading1"/>
        <w:spacing w:after="160" w:before="380"/>
      </w:pPr>
      <w:r>
        <w:rPr>
          <w:rFonts w:ascii="Arial" w:cs="Arial" w:eastAsia="Arial" w:hAnsi="Arial"/>
          <w:b/>
          <w:bCs/>
          <w:color w:val="7E1210"/>
          <w:sz w:val="26"/>
          <w:szCs w:val="26"/>
        </w:rPr>
        <w:t xml:space="preserve">3. QUÉ CAMBIA RESPECTO DE LOS DOCUMENTOS DEL 19 DE AGOSTO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Lo que decía la v1.0</w:t>
            </w:r>
          </w:p>
        </w:tc>
        <w:tc>
          <w:tcPr>
            <w:tcW w:type="pct" w:w="35%"/>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Lo que muestran los datos hoy</w:t>
            </w:r>
          </w:p>
        </w:tc>
        <w:tc>
          <w:tcPr>
            <w:tcW w:type="pct" w:w="35%"/>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Consecuencia en el plan</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1.560 ventas históricas por ~US$ 5,5 millones</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628 ventas por US$ 4,21 millones: se eliminaron 268 duplicados que inflaban US$ 1,97 millones</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Todas las cifras, escenarios y metas se recalculan sobre la base corregida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lead publicitario trae tickets de US$ 2.000 a 2.500</w:t>
            </w:r>
          </w:p>
        </w:tc>
        <w:tc>
          <w:tcPr>
            <w:tcW w:type="pct" w:w="35%"/>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ticket promedio del negocio en 2026 es US$ 8.617 y el de las ventas declaradas como publicidad, US$ 6.231</w:t>
            </w:r>
          </w:p>
        </w:tc>
        <w:tc>
          <w:tcPr>
            <w:tcW w:type="pct" w:w="35%"/>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economía unitaria de la pauta cambia de signo: deja de perder plata y pasa a caber en el margen</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ROAS de 2,7×, por debajo del equilibrio</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Entre 2,7× (atribución estricta) y 17,7× (procedencia declarada). Las dos salen del mismo CRM</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No se decide inversión con un número que varía seis veces según cómo se mire: primero se cierra la medición</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mediana de respuesta al lead es de 36,6 horas</w:t>
            </w:r>
          </w:p>
        </w:tc>
        <w:tc>
          <w:tcPr>
            <w:tcW w:type="pct" w:w="35%"/>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 2026 la mediana de asignación es de 0,2 a 0,5 horas</w:t>
            </w:r>
          </w:p>
        </w:tc>
        <w:tc>
          <w:tcPr>
            <w:tcW w:type="pct" w:w="35%"/>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Meta cumplida. El cuello de botella se mudó de la respuesta al CIERRE</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problema es el embudo publicitario (~450 leads al año)</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embudo real es mucho mayor: 1.419 clientes cotizados en 2026, de los que compraron 143</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Hay 1.317 clientes con demanda declarada sin trabajar — más que cualquier campaña que se pueda comprar</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(no se medía)</w:t>
            </w:r>
          </w:p>
        </w:tc>
        <w:tc>
          <w:tcPr>
            <w:tcW w:type="pct" w:w="35%"/>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82 % de los clientes compra una sola vez; la segunda compra lleva el valor del cliente de US$ 6.425 a US$ 14.156</w:t>
            </w:r>
          </w:p>
        </w:tc>
        <w:tc>
          <w:tcPr>
            <w:tcW w:type="pct" w:w="35%"/>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recompra entra al plan como línea de trabajo propia, con proyecto y meta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(no se medía)</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50 clientes (el 10 %) generan el 47 % del ingreso; 63 clientes valen el 52 %</w:t>
            </w:r>
          </w:p>
        </w:tc>
        <w:tc>
          <w:tcPr>
            <w:tcW w:type="pct" w:w="35%"/>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Aparece la gestión de cuentas clave: hoy nadie las cuida de manera formal</w:t>
            </w:r>
          </w:p>
        </w:tc>
      </w:tr>
    </w:tbl>
    <w:p>
      <w:pPr>
        <w:spacing w:after="60"/>
      </w:pPr>
    </w:p>
    <w:p>
      <w:pPr>
        <w:pStyle w:val="Heading1"/>
        <w:spacing w:after="160" w:before="380"/>
      </w:pPr>
      <w:r>
        <w:rPr>
          <w:rFonts w:ascii="Arial" w:cs="Arial" w:eastAsia="Arial" w:hAnsi="Arial"/>
          <w:b/>
          <w:bCs/>
          <w:color w:val="7E1210"/>
          <w:sz w:val="26"/>
          <w:szCs w:val="26"/>
        </w:rPr>
        <w:t xml:space="preserve">4. LA ECONOMÍA DEL NEGOCIO: CUÁNTO SE PUEDE PAGAR POR UNA VENTA</w:t>
      </w:r>
    </w:p>
    <w:p>
      <w:pPr>
        <w:spacing w:after="120" w:line="276"/>
      </w:pPr>
      <w:r>
        <w:rPr>
          <w:rFonts w:ascii="Arial" w:cs="Arial" w:eastAsia="Arial" w:hAnsi="Arial"/>
          <w:color w:val="2C2E35"/>
          <w:sz w:val="20"/>
          <w:szCs w:val="20"/>
        </w:rPr>
        <w:t xml:space="preserve">Esta sección no existía en la versión 1.0 y es la que ordena todo lo demás. La pregunta no es «¿cuánto invierto en publicidad?» sino «¿cuánto vale una venta y cuánto de eso puedo gastar en conseguirla?».</w:t>
      </w:r>
    </w:p>
    <w:p>
      <w:pPr>
        <w:pStyle w:val="Heading2"/>
        <w:spacing w:after="100" w:before="240"/>
      </w:pPr>
      <w:r>
        <w:rPr>
          <w:rFonts w:ascii="Arial" w:cs="Arial" w:eastAsia="Arial" w:hAnsi="Arial"/>
          <w:b/>
          <w:bCs/>
          <w:color w:val="2C2E35"/>
          <w:sz w:val="22"/>
          <w:szCs w:val="22"/>
        </w:rPr>
        <w:t xml:space="preserve">4.1 Sensibilidad al margen bruto</w:t>
      </w:r>
    </w:p>
    <w:p>
      <w:pPr>
        <w:spacing w:after="120" w:line="276"/>
      </w:pPr>
      <w:r>
        <w:rPr>
          <w:rFonts w:ascii="Arial" w:cs="Arial" w:eastAsia="Arial" w:hAnsi="Arial"/>
          <w:color w:val="2C2E35"/>
          <w:sz w:val="20"/>
          <w:szCs w:val="20"/>
        </w:rPr>
        <w:t xml:space="preserve">Sobre el ticket promedio actual de US$ 8.617, así queda el cálculo según el margen real. </w:t>
      </w:r>
      <w:r>
        <w:rPr>
          <w:rFonts w:ascii="Arial" w:cs="Arial" w:eastAsia="Arial" w:hAnsi="Arial"/>
          <w:b/>
          <w:bCs/>
          <w:color w:val="2C2E35"/>
          <w:sz w:val="20"/>
          <w:szCs w:val="20"/>
        </w:rPr>
        <w:t xml:space="preserve">Mientras gerencia no confirme el margen, la primera fila es la que manda, y es la más exigente.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Margen bruto</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Margen por venta</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Retorno de equilibrio</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Costo máximo admisible por venta (50 % del margen)</w:t>
            </w:r>
          </w:p>
        </w:tc>
      </w:tr>
      <w:tr>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11 % (hoy en el sistema)</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US$ 948 · S/ 3.555</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9,1×</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1.777</w:t>
            </w:r>
          </w:p>
        </w:tc>
      </w:tr>
      <w:tr>
        <w:tc>
          <w:tcPr>
            <w:tcW w:type="pct" w:w="1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15 %</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US$ 1.293 · S/ 4.848</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6,7×</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2.424</w:t>
            </w:r>
          </w:p>
        </w:tc>
      </w:tr>
      <w:tr>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US$ 1.723 · S/ 6.463</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5,0×</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3.231</w:t>
            </w:r>
          </w:p>
        </w:tc>
      </w:tr>
      <w:tr>
        <w:tc>
          <w:tcPr>
            <w:tcW w:type="pct" w:w="1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25 %</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US$ 2.154 · S/ 8.079</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4,0×</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4.039</w:t>
            </w:r>
          </w:p>
        </w:tc>
      </w:tr>
    </w:tbl>
    <w:p>
      <w:pPr>
        <w:spacing w:after="60"/>
      </w:pPr>
    </w:p>
    <w:p>
      <w:pPr>
        <w:spacing w:after="120" w:line="276"/>
      </w:pPr>
      <w:r>
        <w:rPr>
          <w:rFonts w:ascii="Arial" w:cs="Arial" w:eastAsia="Arial" w:hAnsi="Arial"/>
          <w:color w:val="2C2E35"/>
          <w:sz w:val="20"/>
          <w:szCs w:val="20"/>
        </w:rPr>
        <w:t xml:space="preserve">Con el gasto real de 2026 (S/ 27.671) y las 21 ventas declaradas como publicidad, </w:t>
      </w:r>
      <w:r>
        <w:rPr>
          <w:rFonts w:ascii="Arial" w:cs="Arial" w:eastAsia="Arial" w:hAnsi="Arial"/>
          <w:b/>
          <w:bCs/>
          <w:color w:val="2C2E35"/>
          <w:sz w:val="20"/>
          <w:szCs w:val="20"/>
        </w:rPr>
        <w:t xml:space="preserve">el costo por venta publicitaria es de S/ 1.318</w:t>
      </w:r>
      <w:r>
        <w:rPr>
          <w:rFonts w:ascii="Arial" w:cs="Arial" w:eastAsia="Arial" w:hAnsi="Arial"/>
          <w:color w:val="2C2E35"/>
          <w:sz w:val="20"/>
          <w:szCs w:val="20"/>
        </w:rPr>
        <w:t xml:space="preserve">, contra un margen bruto de S/ 2.570 por cada una de esas ventas al 11 %. Es decir: </w:t>
      </w:r>
      <w:r>
        <w:rPr>
          <w:rFonts w:ascii="Arial" w:cs="Arial" w:eastAsia="Arial" w:hAnsi="Arial"/>
          <w:b/>
          <w:bCs/>
          <w:color w:val="2C2E35"/>
          <w:sz w:val="20"/>
          <w:szCs w:val="20"/>
        </w:rPr>
        <w:t xml:space="preserve">con la atribución declarada, la pauta hoy es rentable</w:t>
      </w:r>
      <w:r>
        <w:rPr>
          <w:rFonts w:ascii="Arial" w:cs="Arial" w:eastAsia="Arial" w:hAnsi="Arial"/>
          <w:color w:val="2C2E35"/>
          <w:sz w:val="20"/>
          <w:szCs w:val="20"/>
        </w:rPr>
        <w:t xml:space="preserve">. Con la atribución estricta (5 ventas trazadas en 12 meses) el costo por venta sube a S/ 5.554 y es ruinosa. La misma pauta, los mismos soles, dos conclusiones opuestas — y por eso la prioridad número uno del año es medir, no gastar.</w:t>
      </w:r>
    </w:p>
    <w:p>
      <w:pPr>
        <w:pStyle w:val="Heading2"/>
        <w:spacing w:after="100" w:before="240"/>
      </w:pPr>
      <w:r>
        <w:rPr>
          <w:rFonts w:ascii="Arial" w:cs="Arial" w:eastAsia="Arial" w:hAnsi="Arial"/>
          <w:b/>
          <w:bCs/>
          <w:color w:val="2C2E35"/>
          <w:sz w:val="22"/>
          <w:szCs w:val="22"/>
        </w:rPr>
        <w:t xml:space="preserve">4.2 El valor está en la segunda compra</w:t>
      </w:r>
    </w:p>
    <w:p>
      <w:pPr>
        <w:spacing w:after="120" w:line="276"/>
      </w:pPr>
      <w:r>
        <w:rPr>
          <w:rFonts w:ascii="Arial" w:cs="Arial" w:eastAsia="Arial" w:hAnsi="Arial"/>
          <w:color w:val="2C2E35"/>
          <w:sz w:val="20"/>
          <w:szCs w:val="20"/>
        </w:rPr>
        <w:t xml:space="preserve">Un cliente que compra una vez deja US$ 6.425 de por vida. Uno que compra dos veces deja US$ 14.156, y de tres a cinco veces, US$ 27.048. Como hay </w:t>
      </w:r>
      <w:r>
        <w:rPr>
          <w:rFonts w:ascii="Arial" w:cs="Arial" w:eastAsia="Arial" w:hAnsi="Arial"/>
          <w:b/>
          <w:bCs/>
          <w:color w:val="2C2E35"/>
          <w:sz w:val="20"/>
          <w:szCs w:val="20"/>
        </w:rPr>
        <w:t xml:space="preserve">409 clientes con una sola compra</w:t>
      </w:r>
      <w:r>
        <w:rPr>
          <w:rFonts w:ascii="Arial" w:cs="Arial" w:eastAsia="Arial" w:hAnsi="Arial"/>
          <w:color w:val="2C2E35"/>
          <w:sz w:val="20"/>
          <w:szCs w:val="20"/>
        </w:rPr>
        <w:t xml:space="preserve">, convertir apenas al 10 % de ellos en clientes de segunda compra vale alrededor de </w:t>
      </w:r>
      <w:r>
        <w:rPr>
          <w:rFonts w:ascii="Arial" w:cs="Arial" w:eastAsia="Arial" w:hAnsi="Arial"/>
          <w:b/>
          <w:bCs/>
          <w:color w:val="2C2E35"/>
          <w:sz w:val="20"/>
          <w:szCs w:val="20"/>
        </w:rPr>
        <w:t xml:space="preserve">US$ 310 mil</w:t>
      </w:r>
      <w:r>
        <w:rPr>
          <w:rFonts w:ascii="Arial" w:cs="Arial" w:eastAsia="Arial" w:hAnsi="Arial"/>
          <w:color w:val="2C2E35"/>
          <w:sz w:val="20"/>
          <w:szCs w:val="20"/>
        </w:rPr>
        <w:t xml:space="preserve"> — más que todo lo que la publicidad ha traído en su historia (US$ 216 mil). No requiere presupuesto de medios: requiere teléfono, datos de contacto y una razón para llamar.</w:t>
      </w:r>
    </w:p>
    <w:p>
      <w:pPr>
        <w:pStyle w:val="Heading2"/>
        <w:spacing w:after="100" w:before="240"/>
      </w:pPr>
      <w:r>
        <w:rPr>
          <w:rFonts w:ascii="Arial" w:cs="Arial" w:eastAsia="Arial" w:hAnsi="Arial"/>
          <w:b/>
          <w:bCs/>
          <w:color w:val="2C2E35"/>
          <w:sz w:val="22"/>
          <w:szCs w:val="22"/>
        </w:rPr>
        <w:t xml:space="preserve">4.3 La regla de inversión (reemplaza a «subir cuando la conversión llegue al 3 %»)</w:t>
      </w:r>
    </w:p>
    <w:p>
      <w:pPr>
        <w:pStyle w:val="ListParagraph"/>
        <w:numPr>
          <w:ilvl w:val="0"/>
          <w:numId w:val="1"/>
        </w:numPr>
        <w:spacing w:after="60" w:line="276"/>
      </w:pPr>
      <w:r>
        <w:rPr>
          <w:rFonts w:ascii="Arial" w:cs="Arial" w:eastAsia="Arial" w:hAnsi="Arial"/>
          <w:b/>
          <w:bCs/>
          <w:color w:val="2C2E35"/>
          <w:sz w:val="20"/>
          <w:szCs w:val="20"/>
        </w:rPr>
        <w:t xml:space="preserve">Techo por escenario y además techo por resultado:</w:t>
      </w:r>
      <w:r>
        <w:rPr>
          <w:rFonts w:ascii="Arial" w:cs="Arial" w:eastAsia="Arial" w:hAnsi="Arial"/>
          <w:color w:val="2C2E35"/>
          <w:sz w:val="20"/>
          <w:szCs w:val="20"/>
        </w:rPr>
        <w:t xml:space="preserve"> el presupuesto de un mes nunca supera el 40 % del margen bruto que la propia publicidad generó en los 60 días anteriores.</w:t>
      </w:r>
    </w:p>
    <w:p>
      <w:pPr>
        <w:pStyle w:val="ListParagraph"/>
        <w:numPr>
          <w:ilvl w:val="0"/>
          <w:numId w:val="1"/>
        </w:numPr>
        <w:spacing w:after="60" w:line="276"/>
      </w:pPr>
      <w:r>
        <w:rPr>
          <w:rFonts w:ascii="Arial" w:cs="Arial" w:eastAsia="Arial" w:hAnsi="Arial"/>
          <w:b/>
          <w:bCs/>
          <w:color w:val="2C2E35"/>
          <w:sz w:val="20"/>
          <w:szCs w:val="20"/>
        </w:rPr>
        <w:t xml:space="preserve">Para subir de escenario</w:t>
      </w:r>
      <w:r>
        <w:rPr>
          <w:rFonts w:ascii="Arial" w:cs="Arial" w:eastAsia="Arial" w:hAnsi="Arial"/>
          <w:color w:val="2C2E35"/>
          <w:sz w:val="20"/>
          <w:szCs w:val="20"/>
        </w:rPr>
        <w:t xml:space="preserve">, dos meses seguidos cumpliendo las tres: (a) al menos el 70 % de las ventas del mes nacidas en el CRM y no importadas; (b) costo por venta atribuida por debajo del 50 % del margen bruto de esas ventas; (c) ticket promedio de las ventas publicitarias por encima de US$ 4.000.</w:t>
      </w:r>
    </w:p>
    <w:p>
      <w:pPr>
        <w:pStyle w:val="ListParagraph"/>
        <w:numPr>
          <w:ilvl w:val="0"/>
          <w:numId w:val="1"/>
        </w:numPr>
        <w:spacing w:after="60" w:line="276"/>
      </w:pPr>
      <w:r>
        <w:rPr>
          <w:rFonts w:ascii="Arial" w:cs="Arial" w:eastAsia="Arial" w:hAnsi="Arial"/>
          <w:b/>
          <w:bCs/>
          <w:color w:val="2C2E35"/>
          <w:sz w:val="20"/>
          <w:szCs w:val="20"/>
        </w:rPr>
        <w:t xml:space="preserve">Para bajar de escenario:</w:t>
      </w:r>
      <w:r>
        <w:rPr>
          <w:rFonts w:ascii="Arial" w:cs="Arial" w:eastAsia="Arial" w:hAnsi="Arial"/>
          <w:color w:val="2C2E35"/>
          <w:sz w:val="20"/>
          <w:szCs w:val="20"/>
        </w:rPr>
        <w:t xml:space="preserve"> dos meses con el costo por venta por encima del margen bruto de esa venta.</w:t>
      </w:r>
    </w:p>
    <w:p>
      <w:pPr>
        <w:pStyle w:val="ListParagraph"/>
        <w:numPr>
          <w:ilvl w:val="0"/>
          <w:numId w:val="1"/>
        </w:numPr>
        <w:spacing w:after="60" w:line="276"/>
      </w:pPr>
      <w:r>
        <w:rPr>
          <w:rFonts w:ascii="Arial" w:cs="Arial" w:eastAsia="Arial" w:hAnsi="Arial"/>
          <w:b/>
          <w:bCs/>
          <w:color w:val="2C2E35"/>
          <w:sz w:val="20"/>
          <w:szCs w:val="20"/>
        </w:rPr>
        <w:t xml:space="preserve">Mientras la medición no cierre</w:t>
      </w:r>
      <w:r>
        <w:rPr>
          <w:rFonts w:ascii="Arial" w:cs="Arial" w:eastAsia="Arial" w:hAnsi="Arial"/>
          <w:color w:val="2C2E35"/>
          <w:sz w:val="20"/>
          <w:szCs w:val="20"/>
        </w:rPr>
        <w:t xml:space="preserve"> (proyecto P10), el presupuesto se congela en el escenario conservador aunque los números declarados se vean bien. No se escala a ciegas.</w:t>
      </w:r>
    </w:p>
    <w:p>
      <w:pPr>
        <w:pStyle w:val="Heading1"/>
        <w:spacing w:after="160" w:before="380"/>
      </w:pPr>
      <w:r>
        <w:rPr>
          <w:rFonts w:ascii="Arial" w:cs="Arial" w:eastAsia="Arial" w:hAnsi="Arial"/>
          <w:b/>
          <w:bCs/>
          <w:color w:val="7E1210"/>
          <w:sz w:val="26"/>
          <w:szCs w:val="26"/>
        </w:rPr>
        <w:t xml:space="preserve">5. LAS CUATRO PRIORIDADES DEL AÑO</w:t>
      </w:r>
    </w:p>
    <w:p>
      <w:pPr>
        <w:spacing w:after="120" w:line="276"/>
      </w:pPr>
      <w:r>
        <w:rPr>
          <w:rFonts w:ascii="Arial" w:cs="Arial" w:eastAsia="Arial" w:hAnsi="Arial"/>
          <w:color w:val="2C2E35"/>
          <w:sz w:val="20"/>
          <w:szCs w:val="20"/>
        </w:rPr>
        <w:t xml:space="preserve">Este es el cambio de fondo respecto de la versión 1.0, que arrancaba por marca, contenido y pauta. Con los datos a la vista, el orden correcto es de abajo hacia arriba del embudo: primero cobrar lo que ya está sembrado, después sembrar más.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Prioridad</w:t>
            </w:r>
          </w:p>
        </w:tc>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Por qué (el dato que la sostiene)</w:t>
            </w:r>
          </w:p>
        </w:tc>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Meta a 12 meses</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Proyecto</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 Medir de verdad</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626 de 628 ventas entraron importadas de Excel; 0 leads de Meta con identificador de clic; el retorno varía entre 2,7× y 17,7×</w:t>
            </w:r>
          </w:p>
        </w:tc>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90 % de ventas nacidas en el CRM y 100 % de leads con identificador</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P10 · sección 15</w:t>
            </w:r>
          </w:p>
        </w:tc>
      </w:tr>
      <w:tr>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 Cerrar lo ya cotizado</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1.317 clientes cotizados en 2026 que no compraron; el cierre por cliente cotizado es 10,1 %</w:t>
            </w:r>
          </w:p>
        </w:tc>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Cierre de 10,1 % a 13 %: unas 40 ventas más al año</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P11 · sección 16</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 Hacer volver al cliente</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82 % compra una sola vez; la segunda compra duplica el valor; 50 cuentas valen el 47 % del ingreso</w:t>
            </w:r>
          </w:p>
        </w:tc>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25 % de clientes con dos o más compras y ninguna cuenta clave perdida</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P12 · sección 17</w:t>
            </w:r>
          </w:p>
        </w:tc>
      </w:tr>
      <w:tr>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 Sistematizar el referido</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cliente de relación vale 75 % más y compra 55 % más seguido; hoy no hay programa</w:t>
            </w:r>
          </w:p>
        </w:tc>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20 ventas con referido registrado</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P7 · sección 18</w:t>
            </w:r>
          </w:p>
        </w:tc>
      </w:tr>
    </w:tbl>
    <w:p>
      <w:pPr>
        <w:spacing w:after="60"/>
      </w:pPr>
    </w:p>
    <w:p>
      <w:pPr>
        <w:spacing w:after="120" w:line="276"/>
      </w:pPr>
      <w:r>
        <w:rPr>
          <w:rFonts w:ascii="Arial" w:cs="Arial" w:eastAsia="Arial" w:hAnsi="Arial"/>
          <w:b/>
          <w:bCs/>
          <w:color w:val="2C2E35"/>
          <w:sz w:val="20"/>
          <w:szCs w:val="20"/>
        </w:rPr>
        <w:t xml:space="preserve">Lo que baja de prioridad, y por qué.</w:t>
      </w:r>
      <w:r>
        <w:rPr>
          <w:rFonts w:ascii="Arial" w:cs="Arial" w:eastAsia="Arial" w:hAnsi="Arial"/>
          <w:color w:val="2C2E35"/>
          <w:sz w:val="20"/>
          <w:szCs w:val="20"/>
        </w:rPr>
        <w:t xml:space="preserve"> El contenido semanal, la biblioteca de videos y el posicionamiento en buscadores siguen en el plan, pero pagan en seis a doce meses y compiten por las mismas 10 a 12 horas semanales. Con 1.317 clientes cotizados enfriándose y 409 clientes sin segunda compra, dedicar esas horas a producir ocho videos antes que a llamar a esa gente sería un error de asignación. El contenido baja de tres a dos piezas por semana y se reorienta a lo que empuja el cierre y la recompra: prueba social y postventa.</w:t>
      </w:r>
    </w:p>
    <w:p>
      <w:pPr>
        <w:pStyle w:val="Heading1"/>
        <w:spacing w:after="160" w:before="380"/>
      </w:pPr>
      <w:r>
        <w:rPr>
          <w:rFonts w:ascii="Arial" w:cs="Arial" w:eastAsia="Arial" w:hAnsi="Arial"/>
          <w:b/>
          <w:bCs/>
          <w:color w:val="7E1210"/>
          <w:sz w:val="26"/>
          <w:szCs w:val="26"/>
        </w:rPr>
        <w:t xml:space="preserve">6. SEGMENTOS Y MERCADO, CON LA EVIDENCIA DISPONIBLE</w:t>
      </w:r>
    </w:p>
    <w:p>
      <w:pPr>
        <w:pStyle w:val="ListParagraph"/>
        <w:numPr>
          <w:ilvl w:val="0"/>
          <w:numId w:val="1"/>
        </w:numPr>
        <w:spacing w:after="60" w:line="276"/>
      </w:pPr>
      <w:r>
        <w:rPr>
          <w:rFonts w:ascii="Arial" w:cs="Arial" w:eastAsia="Arial" w:hAnsi="Arial"/>
          <w:b/>
          <w:bCs/>
          <w:color w:val="2C2E35"/>
          <w:sz w:val="20"/>
          <w:szCs w:val="20"/>
        </w:rPr>
        <w:t xml:space="preserve">Hotelería es el único rubro con masa medida:</w:t>
      </w:r>
      <w:r>
        <w:rPr>
          <w:rFonts w:ascii="Arial" w:cs="Arial" w:eastAsia="Arial" w:hAnsi="Arial"/>
          <w:color w:val="2C2E35"/>
          <w:sz w:val="20"/>
          <w:szCs w:val="20"/>
        </w:rPr>
        <w:t xml:space="preserve"> 157 ventas por US$ 832 mil, ticket de US$ 5.301. Es donde el CRM tiene datos suficientes para hablar con propiedad, y donde conviene concentrar casos de éxito y material.</w:t>
      </w:r>
    </w:p>
    <w:p>
      <w:pPr>
        <w:pStyle w:val="ListParagraph"/>
        <w:numPr>
          <w:ilvl w:val="0"/>
          <w:numId w:val="1"/>
        </w:numPr>
        <w:spacing w:after="60" w:line="276"/>
      </w:pPr>
      <w:r>
        <w:rPr>
          <w:rFonts w:ascii="Arial" w:cs="Arial" w:eastAsia="Arial" w:hAnsi="Arial"/>
          <w:b/>
          <w:bCs/>
          <w:color w:val="2C2E35"/>
          <w:sz w:val="20"/>
          <w:szCs w:val="20"/>
        </w:rPr>
        <w:t xml:space="preserve">El sur andino pesa más de lo que el plan suponía:</w:t>
      </w:r>
      <w:r>
        <w:rPr>
          <w:rFonts w:ascii="Arial" w:cs="Arial" w:eastAsia="Arial" w:hAnsi="Arial"/>
          <w:color w:val="2C2E35"/>
          <w:sz w:val="20"/>
          <w:szCs w:val="20"/>
        </w:rPr>
        <w:t xml:space="preserve"> de las ventas con departamento registrado, el 59 % del monto está fuera de Lima. Cusco (US$ 375 mil), Puno (US$ 213 mil), Arequipa (US$ 202 mil) y Moquegua (US$ 110 mil) suman US$ 901 mil — turismo y minería del sur. La versión 1.0 era un plan limeño; este no.</w:t>
      </w:r>
    </w:p>
    <w:p>
      <w:pPr>
        <w:pStyle w:val="ListParagraph"/>
        <w:numPr>
          <w:ilvl w:val="0"/>
          <w:numId w:val="1"/>
        </w:numPr>
        <w:spacing w:after="60" w:line="276"/>
      </w:pPr>
      <w:r>
        <w:rPr>
          <w:rFonts w:ascii="Arial" w:cs="Arial" w:eastAsia="Arial" w:hAnsi="Arial"/>
          <w:b/>
          <w:bCs/>
          <w:color w:val="2C2E35"/>
          <w:sz w:val="20"/>
          <w:szCs w:val="20"/>
        </w:rPr>
        <w:t xml:space="preserve">Minería se mantiene como apuesta de ticket alto</w:t>
      </w:r>
      <w:r>
        <w:rPr>
          <w:rFonts w:ascii="Arial" w:cs="Arial" w:eastAsia="Arial" w:hAnsi="Arial"/>
          <w:color w:val="2C2E35"/>
          <w:sz w:val="20"/>
          <w:szCs w:val="20"/>
        </w:rPr>
        <w:t xml:space="preserve"> y Expomina (9 al 11 de septiembre) sigue siendo el hito inamovible del trimestre, ahora con un argumento adicional: los departamentos mineros ya aparecen en la cartera.</w:t>
      </w:r>
    </w:p>
    <w:p>
      <w:pPr>
        <w:pStyle w:val="ListParagraph"/>
        <w:numPr>
          <w:ilvl w:val="0"/>
          <w:numId w:val="1"/>
        </w:numPr>
        <w:spacing w:after="60" w:line="276"/>
      </w:pPr>
      <w:r>
        <w:rPr>
          <w:rFonts w:ascii="Arial" w:cs="Arial" w:eastAsia="Arial" w:hAnsi="Arial"/>
          <w:b/>
          <w:bCs/>
          <w:color w:val="2C2E35"/>
          <w:sz w:val="20"/>
          <w:szCs w:val="20"/>
        </w:rPr>
        <w:t xml:space="preserve">El emprendedor de lavandería sigue en el plan, pero pierde peso relativo.</w:t>
      </w:r>
      <w:r>
        <w:rPr>
          <w:rFonts w:ascii="Arial" w:cs="Arial" w:eastAsia="Arial" w:hAnsi="Arial"/>
          <w:color w:val="2C2E35"/>
          <w:sz w:val="20"/>
          <w:szCs w:val="20"/>
        </w:rPr>
        <w:t xml:space="preserve"> No hay dato que respalde que el volumen de ticket bajo sea el motor: el ticket promedio subió a US$ 8.617 y hasta las ventas atribuidas a publicidad promedian US$ 6.231. Su pilar de contenido baja del 30 % al 20 % hasta que se pueda medir su aporte real.</w:t>
      </w:r>
    </w:p>
    <w:p>
      <w:pPr>
        <w:spacing w:after="160" w:line="276"/>
      </w:pPr>
      <w:r>
        <w:rPr>
          <w:rFonts w:ascii="Arial" w:cs="Arial" w:eastAsia="Arial" w:hAnsi="Arial"/>
          <w:i/>
          <w:iCs/>
          <w:color w:val="6B6B6B"/>
          <w:sz w:val="17"/>
          <w:szCs w:val="17"/>
        </w:rPr>
        <w:t xml:space="preserve">Advertencia honesta: 448 de las 628 ventas no tienen rubro registrado en el CRM. Completar el rubro de las cuentas —empezando por las 50 más grandes— es parte del proyecto P10; hasta entonces, cualquier meta por segmento es una estimación, no una medición.</w:t>
      </w:r>
    </w:p>
    <w:p>
      <w:pPr>
        <w:pStyle w:val="Heading1"/>
        <w:spacing w:after="160" w:before="380"/>
      </w:pPr>
      <w:r>
        <w:rPr>
          <w:rFonts w:ascii="Arial" w:cs="Arial" w:eastAsia="Arial" w:hAnsi="Arial"/>
          <w:b/>
          <w:bCs/>
          <w:color w:val="7E1210"/>
          <w:sz w:val="26"/>
          <w:szCs w:val="26"/>
        </w:rPr>
        <w:t xml:space="preserve">7. ESTRATEGIA POR CANAL, REORDENADA POR EVIDENCIA</w:t>
      </w:r>
    </w:p>
    <w:p>
      <w:pPr>
        <w:pStyle w:val="Heading2"/>
        <w:spacing w:after="100" w:before="240"/>
      </w:pPr>
      <w:r>
        <w:rPr>
          <w:rFonts w:ascii="Arial" w:cs="Arial" w:eastAsia="Arial" w:hAnsi="Arial"/>
          <w:b/>
          <w:bCs/>
          <w:color w:val="2C2E35"/>
          <w:sz w:val="22"/>
          <w:szCs w:val="22"/>
        </w:rPr>
        <w:t xml:space="preserve">7.1 Cartera propia y recompra — el canal más barato que existe</w:t>
      </w:r>
    </w:p>
    <w:p>
      <w:pPr>
        <w:spacing w:after="120" w:line="276"/>
      </w:pPr>
      <w:r>
        <w:rPr>
          <w:rFonts w:ascii="Arial" w:cs="Arial" w:eastAsia="Arial" w:hAnsi="Arial"/>
          <w:color w:val="2C2E35"/>
          <w:sz w:val="20"/>
          <w:szCs w:val="20"/>
        </w:rPr>
        <w:t xml:space="preserve">500 clientes con compra, 409 con una sola, 268 sin comprar hace más de 18 meses. El equipo ya tiene sus teléfonos en el CRM y la agenda para trabajarlos. Contenido de apoyo: mantenimiento preventivo, señales de falla, repuestos y actualización de equipo. Primer paso obligatorio: completar los datos de contacto, hoy incompletos en más de la mitad de la cartera.</w:t>
      </w:r>
    </w:p>
    <w:p>
      <w:pPr>
        <w:pStyle w:val="Heading2"/>
        <w:spacing w:after="100" w:before="240"/>
      </w:pPr>
      <w:r>
        <w:rPr>
          <w:rFonts w:ascii="Arial" w:cs="Arial" w:eastAsia="Arial" w:hAnsi="Arial"/>
          <w:b/>
          <w:bCs/>
          <w:color w:val="2C2E35"/>
          <w:sz w:val="22"/>
          <w:szCs w:val="22"/>
        </w:rPr>
        <w:t xml:space="preserve">7.2 Cotizaciones abiertas — demanda que ya levantó la mano</w:t>
      </w:r>
    </w:p>
    <w:p>
      <w:pPr>
        <w:spacing w:after="120" w:line="276"/>
      </w:pPr>
      <w:r>
        <w:rPr>
          <w:rFonts w:ascii="Arial" w:cs="Arial" w:eastAsia="Arial" w:hAnsi="Arial"/>
          <w:color w:val="2C2E35"/>
          <w:sz w:val="20"/>
          <w:szCs w:val="20"/>
        </w:rPr>
        <w:t xml:space="preserve">1.317 clientes cotizados en 2026 sin cierre. No son curiosos: pidieron precio. Se trabajan por lotes con guion y oferta según el motivo real por el que no cerraron, que hoy nadie ha catalogado. Es el proyecto con mejor relación entre esfuerzo y retorno de todo el plan.</w:t>
      </w:r>
    </w:p>
    <w:p>
      <w:pPr>
        <w:pStyle w:val="Heading2"/>
        <w:spacing w:after="100" w:before="240"/>
      </w:pPr>
      <w:r>
        <w:rPr>
          <w:rFonts w:ascii="Arial" w:cs="Arial" w:eastAsia="Arial" w:hAnsi="Arial"/>
          <w:b/>
          <w:bCs/>
          <w:color w:val="2C2E35"/>
          <w:sz w:val="22"/>
          <w:szCs w:val="22"/>
        </w:rPr>
        <w:t xml:space="preserve">7.3 Referidos y relación — el canal que produce los mejores clientes</w:t>
      </w:r>
    </w:p>
    <w:p>
      <w:pPr>
        <w:spacing w:after="120" w:line="276"/>
      </w:pPr>
      <w:r>
        <w:rPr>
          <w:rFonts w:ascii="Arial" w:cs="Arial" w:eastAsia="Arial" w:hAnsi="Arial"/>
          <w:color w:val="2C2E35"/>
          <w:sz w:val="20"/>
          <w:szCs w:val="20"/>
        </w:rPr>
        <w:t xml:space="preserve">Los 49 ventas por referido histórico (US$ 338 mil) ocurrieron sin que nadie las gestionara. El programa formal —qué gana quien refiere, cómo se registra, cómo se paga— pasa de febrero de 2027 a octubre de 2026.</w:t>
      </w:r>
    </w:p>
    <w:p>
      <w:pPr>
        <w:pStyle w:val="Heading2"/>
        <w:spacing w:after="100" w:before="240"/>
      </w:pPr>
      <w:r>
        <w:rPr>
          <w:rFonts w:ascii="Arial" w:cs="Arial" w:eastAsia="Arial" w:hAnsi="Arial"/>
          <w:b/>
          <w:bCs/>
          <w:color w:val="2C2E35"/>
          <w:sz w:val="22"/>
          <w:szCs w:val="22"/>
        </w:rPr>
        <w:t xml:space="preserve">7.4 Web y buscadores — la procedencia declarada número uno, todavía sin medir</w:t>
      </w:r>
    </w:p>
    <w:p>
      <w:pPr>
        <w:spacing w:after="120" w:line="276"/>
      </w:pPr>
      <w:r>
        <w:rPr>
          <w:rFonts w:ascii="Arial" w:cs="Arial" w:eastAsia="Arial" w:hAnsi="Arial"/>
          <w:color w:val="2C2E35"/>
          <w:sz w:val="20"/>
          <w:szCs w:val="20"/>
        </w:rPr>
        <w:t xml:space="preserve">El 81 % del ingreso histórico figura como «web», pero esa etiqueta viene de los archivos de Central y no distingue entre un formulario, una llamada del que vio la página y un contacto que ya nos conocía. Se mantiene la inversión en posicionamiento y catálogo indexable, con una condición: cada página nueva debe crear el lead en el CRM con su origen. El trabajo grande depende de la web nueva y del subdominio, que siguen bloqueados.</w:t>
      </w:r>
    </w:p>
    <w:p>
      <w:pPr>
        <w:pStyle w:val="Heading2"/>
        <w:spacing w:after="100" w:before="240"/>
      </w:pPr>
      <w:r>
        <w:rPr>
          <w:rFonts w:ascii="Arial" w:cs="Arial" w:eastAsia="Arial" w:hAnsi="Arial"/>
          <w:b/>
          <w:bCs/>
          <w:color w:val="2C2E35"/>
          <w:sz w:val="22"/>
          <w:szCs w:val="22"/>
        </w:rPr>
        <w:t xml:space="preserve">7.5 Google — primero lo institucional</w:t>
      </w:r>
    </w:p>
    <w:p>
      <w:pPr>
        <w:spacing w:after="120" w:line="276"/>
      </w:pPr>
      <w:r>
        <w:rPr>
          <w:rFonts w:ascii="Arial" w:cs="Arial" w:eastAsia="Arial" w:hAnsi="Arial"/>
          <w:color w:val="2C2E35"/>
          <w:sz w:val="20"/>
          <w:szCs w:val="20"/>
        </w:rPr>
        <w:t xml:space="preserve">Es el único canal con trazabilidad real hoy (467 leads con identificador de clic). Se mantiene la campaña de marca y se prioriza el grupo institucional de ticket alto —lavandería hospitalaria, barrera sanitaria, campamento— antes que el volumen semi-industrial.</w:t>
      </w:r>
    </w:p>
    <w:p>
      <w:pPr>
        <w:pStyle w:val="Heading2"/>
        <w:spacing w:after="100" w:before="240"/>
      </w:pPr>
      <w:r>
        <w:rPr>
          <w:rFonts w:ascii="Arial" w:cs="Arial" w:eastAsia="Arial" w:hAnsi="Arial"/>
          <w:b/>
          <w:bCs/>
          <w:color w:val="2C2E35"/>
          <w:sz w:val="22"/>
          <w:szCs w:val="22"/>
        </w:rPr>
        <w:t xml:space="preserve">7.6 Meta — arreglar la trazabilidad antes de escalar</w:t>
      </w:r>
    </w:p>
    <w:p>
      <w:pPr>
        <w:spacing w:after="120" w:line="276"/>
      </w:pPr>
      <w:r>
        <w:rPr>
          <w:rFonts w:ascii="Arial" w:cs="Arial" w:eastAsia="Arial" w:hAnsi="Arial"/>
          <w:color w:val="2C2E35"/>
          <w:sz w:val="20"/>
          <w:szCs w:val="20"/>
        </w:rPr>
        <w:t xml:space="preserve">Hay 15 campañas activas (varias duplicadas: «- Copia», «NUEVO») y 203 leads en 12 meses, </w:t>
      </w:r>
      <w:r>
        <w:rPr>
          <w:rFonts w:ascii="Arial" w:cs="Arial" w:eastAsia="Arial" w:hAnsi="Arial"/>
          <w:b/>
          <w:bCs/>
          <w:color w:val="2C2E35"/>
          <w:sz w:val="20"/>
          <w:szCs w:val="20"/>
        </w:rPr>
        <w:t xml:space="preserve">ninguno con identificador de clic</w:t>
      </w:r>
      <w:r>
        <w:rPr>
          <w:rFonts w:ascii="Arial" w:cs="Arial" w:eastAsia="Arial" w:hAnsi="Arial"/>
          <w:color w:val="2C2E35"/>
          <w:sz w:val="20"/>
          <w:szCs w:val="20"/>
        </w:rPr>
        <w:t xml:space="preserve">. Trece de las ventas declaradas como publicidad en 2026 vienen de aquí, por US$ 101 mil, y no se pueden comprobar. Antes de subir un sol: identificador de clic en la ingesta, convención de nombres y limpieza de campañas duplicadas.</w:t>
      </w:r>
    </w:p>
    <w:p>
      <w:pPr>
        <w:pStyle w:val="Heading2"/>
        <w:spacing w:after="100" w:before="240"/>
      </w:pPr>
      <w:r>
        <w:rPr>
          <w:rFonts w:ascii="Arial" w:cs="Arial" w:eastAsia="Arial" w:hAnsi="Arial"/>
          <w:b/>
          <w:bCs/>
          <w:color w:val="2C2E35"/>
          <w:sz w:val="22"/>
          <w:szCs w:val="22"/>
        </w:rPr>
        <w:t xml:space="preserve">7.7 WhatsApp — el canal vivo del cierre</w:t>
      </w:r>
    </w:p>
    <w:p>
      <w:pPr>
        <w:spacing w:after="120" w:line="276"/>
      </w:pPr>
      <w:r>
        <w:rPr>
          <w:rFonts w:ascii="Arial" w:cs="Arial" w:eastAsia="Arial" w:hAnsi="Arial"/>
          <w:color w:val="2C2E35"/>
          <w:sz w:val="20"/>
          <w:szCs w:val="20"/>
        </w:rPr>
        <w:t xml:space="preserve">1.649 leads en los últimos 12 meses, el canal con más movimiento real. Plantillas por etapa desde el CRM, respuesta dentro del SLA y registro del resultado de cada conversación.</w:t>
      </w:r>
    </w:p>
    <w:p>
      <w:pPr>
        <w:pStyle w:val="Heading2"/>
        <w:spacing w:after="100" w:before="240"/>
      </w:pPr>
      <w:r>
        <w:rPr>
          <w:rFonts w:ascii="Arial" w:cs="Arial" w:eastAsia="Arial" w:hAnsi="Arial"/>
          <w:b/>
          <w:bCs/>
          <w:color w:val="2C2E35"/>
          <w:sz w:val="22"/>
          <w:szCs w:val="22"/>
        </w:rPr>
        <w:t xml:space="preserve">7.8 Correo — bloqueado por los datos, no por la herramienta</w:t>
      </w:r>
    </w:p>
    <w:p>
      <w:pPr>
        <w:spacing w:after="120" w:line="276"/>
      </w:pPr>
      <w:r>
        <w:rPr>
          <w:rFonts w:ascii="Arial" w:cs="Arial" w:eastAsia="Arial" w:hAnsi="Arial"/>
          <w:color w:val="2C2E35"/>
          <w:sz w:val="20"/>
          <w:szCs w:val="20"/>
        </w:rPr>
        <w:t xml:space="preserve">La infraestructura está lista desde agosto, pero solo el 38 % de los clientes tiene correo cargado. Las secuencias automáticas arrancan cuando la contactabilidad llegue al 80 %; mientras tanto, el correo se usa uno a uno desde el CRM.</w:t>
      </w:r>
    </w:p>
    <w:p>
      <w:pPr>
        <w:pStyle w:val="Heading2"/>
        <w:spacing w:after="100" w:before="240"/>
      </w:pPr>
      <w:r>
        <w:rPr>
          <w:rFonts w:ascii="Arial" w:cs="Arial" w:eastAsia="Arial" w:hAnsi="Arial"/>
          <w:b/>
          <w:bCs/>
          <w:color w:val="2C2E35"/>
          <w:sz w:val="22"/>
          <w:szCs w:val="22"/>
        </w:rPr>
        <w:t xml:space="preserve">7.9 LinkedIn y YouTube — se posponen a 2027</w:t>
      </w:r>
    </w:p>
    <w:p>
      <w:pPr>
        <w:spacing w:after="120" w:line="276"/>
      </w:pPr>
      <w:r>
        <w:rPr>
          <w:rFonts w:ascii="Arial" w:cs="Arial" w:eastAsia="Arial" w:hAnsi="Arial"/>
          <w:color w:val="2C2E35"/>
          <w:sz w:val="20"/>
          <w:szCs w:val="20"/>
        </w:rPr>
        <w:t xml:space="preserve">Ambos siguen siendo buenas ideas y ninguno resuelve el cuello de botella de este año. Se mantienen en el portafolio con prioridad baja y arrancan cuando el circuito de medición esté cerrado y la recompra en marcha.</w:t>
      </w:r>
    </w:p>
    <w:p>
      <w:pPr>
        <w:pStyle w:val="Heading1"/>
        <w:spacing w:after="160" w:before="380"/>
      </w:pPr>
      <w:r>
        <w:rPr>
          <w:rFonts w:ascii="Arial" w:cs="Arial" w:eastAsia="Arial" w:hAnsi="Arial"/>
          <w:b/>
          <w:bCs/>
          <w:color w:val="7E1210"/>
          <w:sz w:val="26"/>
          <w:szCs w:val="26"/>
        </w:rPr>
        <w:t xml:space="preserve">8. CONTENIDO: MENOS PIEZAS, MEJOR APUNTADAS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Pilar</w:t>
            </w:r>
          </w:p>
        </w:tc>
        <w:tc>
          <w:tcPr>
            <w:tcW w:type="pct" w:w="1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Peso v1.0</w:t>
            </w:r>
          </w:p>
        </w:tc>
        <w:tc>
          <w:tcPr>
            <w:tcW w:type="pct" w:w="1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Peso v2.0</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Por qué cambia</w:t>
            </w:r>
          </w:p>
        </w:tc>
      </w:tr>
      <w:tr>
        <w:tc>
          <w:tcPr>
            <w:tcW w:type="pct" w:w="2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Prueba social (casos, entregas, testimonios)</w:t>
            </w:r>
          </w:p>
        </w:tc>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w:t>
            </w:r>
          </w:p>
        </w:tc>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30 %</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Es lo que ayuda a cerrar las cotizaciones abiertas y alimenta el referido</w:t>
            </w:r>
          </w:p>
        </w:tc>
      </w:tr>
      <w:tr>
        <w:tc>
          <w:tcPr>
            <w:tcW w:type="pct" w:w="2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Postventa y mantenimiento</w:t>
            </w:r>
          </w:p>
        </w:tc>
        <w:tc>
          <w:tcPr>
            <w:tcW w:type="pct" w:w="1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15 %</w:t>
            </w:r>
          </w:p>
        </w:tc>
        <w:tc>
          <w:tcPr>
            <w:tcW w:type="pct" w:w="1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25 %</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 la palanca de la segunda compra, hoy la mayor bolsa de valor</w:t>
            </w:r>
          </w:p>
        </w:tc>
      </w:tr>
      <w:tr>
        <w:tc>
          <w:tcPr>
            <w:tcW w:type="pct" w:w="2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Autoridad técnica</w:t>
            </w:r>
          </w:p>
        </w:tc>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25 %</w:t>
            </w:r>
          </w:p>
        </w:tc>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25 %</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Sostiene el ticket alto y el segmento institucional</w:t>
            </w:r>
          </w:p>
        </w:tc>
      </w:tr>
      <w:tr>
        <w:tc>
          <w:tcPr>
            <w:tcW w:type="pct" w:w="2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Monta tu lavandería (emprendedor)</w:t>
            </w:r>
          </w:p>
        </w:tc>
        <w:tc>
          <w:tcPr>
            <w:tcW w:type="pct" w:w="1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30 %</w:t>
            </w:r>
          </w:p>
        </w:tc>
        <w:tc>
          <w:tcPr>
            <w:tcW w:type="pct" w:w="1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20 %</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Sin evidencia de que el ticket bajo sea el motor del negocio</w:t>
            </w:r>
          </w:p>
        </w:tc>
      </w:tr>
      <w:tr>
        <w:tc>
          <w:tcPr>
            <w:tcW w:type="pct" w:w="2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Empresa y equipo</w:t>
            </w:r>
          </w:p>
        </w:tc>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10 %</w:t>
            </w:r>
          </w:p>
        </w:tc>
        <w:tc>
          <w:tcPr>
            <w:tcW w:type="pct" w:w="1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0-10 %</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produce solo cuando hay noticia real (feria, hito)</w:t>
            </w:r>
          </w:p>
        </w:tc>
      </w:tr>
    </w:tbl>
    <w:p>
      <w:pPr>
        <w:spacing w:after="60"/>
      </w:pPr>
    </w:p>
    <w:p>
      <w:pPr>
        <w:spacing w:after="120" w:line="276"/>
      </w:pPr>
      <w:r>
        <w:rPr>
          <w:rFonts w:ascii="Arial" w:cs="Arial" w:eastAsia="Arial" w:hAnsi="Arial"/>
          <w:b/>
          <w:bCs/>
          <w:color w:val="2C2E35"/>
          <w:sz w:val="20"/>
          <w:szCs w:val="20"/>
        </w:rPr>
        <w:t xml:space="preserve">Ritmo: dos piezas por semana en lugar de tres</w:t>
      </w:r>
      <w:r>
        <w:rPr>
          <w:rFonts w:ascii="Arial" w:cs="Arial" w:eastAsia="Arial" w:hAnsi="Arial"/>
          <w:color w:val="2C2E35"/>
          <w:sz w:val="20"/>
          <w:szCs w:val="20"/>
        </w:rPr>
        <w:t xml:space="preserve">, sostenibles con la capacidad real. Se mantiene la regla de producción: cada instalación o entrega genera tres piezas (foto, testimonio corto y caso de una página), avisadas por el comercial como actividad en el CRM.</w:t>
      </w:r>
    </w:p>
    <w:p>
      <w:pPr>
        <w:pStyle w:val="Heading1"/>
        <w:spacing w:after="160" w:before="380"/>
      </w:pPr>
      <w:r>
        <w:rPr>
          <w:rFonts w:ascii="Arial" w:cs="Arial" w:eastAsia="Arial" w:hAnsi="Arial"/>
          <w:b/>
          <w:bCs/>
          <w:color w:val="7E1210"/>
          <w:sz w:val="26"/>
          <w:szCs w:val="26"/>
        </w:rPr>
        <w:t xml:space="preserve">9. FERIAS Y EVENTOS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Evento</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Sector</w:t>
            </w:r>
          </w:p>
        </w:tc>
        <w:tc>
          <w:tcPr>
            <w:tcW w:type="pct" w:w="3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Acción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EXPOMINA Perú 2026 (Jockey, Lima)</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9-11 septiembre 2026</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Minería</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Asistir sin stand: agenda de reuniones, one-pager minero y captura por código QR al CRM. Objetivo adicional: mapear operadores del sur andino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Gastromaq / ExpHotel / ExpoClean</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Julio 2027</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Hotelería</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Decidir en enero 2027 con los datos de cierre de 2026; hotelería es el rubro con más masa medida</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Perumin (Arequipa)</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Septiembre 2027</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Minería</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Arequipa y el sur ya pesan US$ 901 mil en la cartera: evaluar presencia con más razón que en la v1.0</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Eventos de emprendimiento y cámaras</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Todo el año</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Emprendedores</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Charla «Cómo montar tu lavandería»: costo casi cero y genera contenido y referidos</w:t>
            </w:r>
          </w:p>
        </w:tc>
      </w:tr>
    </w:tbl>
    <w:p>
      <w:pPr>
        <w:spacing w:after="60"/>
      </w:pPr>
    </w:p>
    <w:p>
      <w:pPr>
        <w:spacing w:after="120" w:line="276"/>
      </w:pPr>
      <w:r>
        <w:rPr>
          <w:rFonts w:ascii="Arial" w:cs="Arial" w:eastAsia="Arial" w:hAnsi="Arial"/>
          <w:b/>
          <w:bCs/>
          <w:color w:val="2C2E35"/>
          <w:sz w:val="20"/>
          <w:szCs w:val="20"/>
        </w:rPr>
        <w:t xml:space="preserve">Regla de captura:</w:t>
      </w:r>
      <w:r>
        <w:rPr>
          <w:rFonts w:ascii="Arial" w:cs="Arial" w:eastAsia="Arial" w:hAnsi="Arial"/>
          <w:color w:val="2C2E35"/>
          <w:sz w:val="20"/>
          <w:szCs w:val="20"/>
        </w:rPr>
        <w:t xml:space="preserve"> todo contacto de feria se registra en el CRM el mismo día, con el evento identificado. Sin eso la feria no es medible y el seguimiento muere en un fajo de tarjetas.</w:t>
      </w:r>
    </w:p>
    <w:p>
      <w:pPr>
        <w:pStyle w:val="Heading1"/>
        <w:spacing w:after="160" w:before="380"/>
      </w:pPr>
      <w:r>
        <w:rPr>
          <w:rFonts w:ascii="Arial" w:cs="Arial" w:eastAsia="Arial" w:hAnsi="Arial"/>
          <w:b/>
          <w:bCs/>
          <w:color w:val="7E1210"/>
          <w:sz w:val="26"/>
          <w:szCs w:val="26"/>
        </w:rPr>
        <w:t xml:space="preserve">10. METAS DEL AÑO (SEPTIEMBRE 2026 - AGOSTO 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Indicador</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Hoy (medido)</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Meta 12 meses</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Dónde se mide</w:t>
            </w:r>
          </w:p>
        </w:tc>
      </w:tr>
      <w:tr>
        <w:tc>
          <w:tcPr>
            <w:tcW w:type="pct" w:w="3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Ventas nacidas en el CRM</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 de 628 (0,3 %)</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 90 % desde diciembre</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Panel de gerencia</w:t>
            </w:r>
          </w:p>
        </w:tc>
      </w:tr>
      <w:tr>
        <w:tc>
          <w:tcPr>
            <w:tcW w:type="pct" w:w="3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Leads de Meta con identificador de clic</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0 de 203</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100 % desde el 30 de septiembre</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Panel de marketing</w:t>
            </w:r>
          </w:p>
        </w:tc>
      </w:tr>
      <w:tr>
        <w:tc>
          <w:tcPr>
            <w:tcW w:type="pct" w:w="3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Cierre por cliente cotizado</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10,1 % (2026)</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13 %</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Cotizaciones contra ventas</w:t>
            </w:r>
          </w:p>
        </w:tc>
      </w:tr>
      <w:tr>
        <w:tc>
          <w:tcPr>
            <w:tcW w:type="pct" w:w="3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Clientes con dos o más compras</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91 (18,2 %)</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125 (25 %)</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Panel de gerencia — recurrencia</w:t>
            </w:r>
          </w:p>
        </w:tc>
      </w:tr>
      <w:tr>
        <w:tc>
          <w:tcPr>
            <w:tcW w:type="pct" w:w="3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Ingreso de las 50 cuentas clave</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47 % del total</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 45 %, sin perder ninguna</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Distribución del CLTV</w:t>
            </w:r>
          </w:p>
        </w:tc>
      </w:tr>
      <w:tr>
        <w:tc>
          <w:tcPr>
            <w:tcW w:type="pct" w:w="3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Ticket promedio</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US$ 8.617</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 US$ 8.500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Panel de finanzas</w:t>
            </w:r>
          </w:p>
        </w:tc>
      </w:tr>
      <w:tr>
        <w:tc>
          <w:tcPr>
            <w:tcW w:type="pct" w:w="3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Ventas con referido registrado</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49 históricas, sin programa</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en 12 meses</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Ventas por vía de adquisición</w:t>
            </w:r>
          </w:p>
        </w:tc>
      </w:tr>
      <w:tr>
        <w:tc>
          <w:tcPr>
            <w:tcW w:type="pct" w:w="3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Cartera con correo cargado</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190 de 500 (38 %)</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400 (80 %)</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Cuentas</w:t>
            </w:r>
          </w:p>
        </w:tc>
      </w:tr>
      <w:tr>
        <w:tc>
          <w:tcPr>
            <w:tcW w:type="pct" w:w="3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Costo por venta publicitaria</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1.318 (declarado)</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 50 % del margen de esa venta</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Finanzas de marketing</w:t>
            </w:r>
          </w:p>
        </w:tc>
      </w:tr>
      <w:tr>
        <w:tc>
          <w:tcPr>
            <w:tcW w:type="pct" w:w="3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Tiempo de asignación del lead</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0,2-0,5 h</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Sostener por debajo de 1 h</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Carga de derivación y SLA</w:t>
            </w:r>
          </w:p>
        </w:tc>
      </w:tr>
      <w:tr>
        <w:tc>
          <w:tcPr>
            <w:tcW w:type="pct" w:w="3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Primer contacto efectivo</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No se mide</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Menos de 4 h, medido desde octubre</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Actividades del CRM</w:t>
            </w:r>
          </w:p>
        </w:tc>
      </w:tr>
      <w:tr>
        <w:tc>
          <w:tcPr>
            <w:tcW w:type="pct" w:w="3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Ventas del año 2026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US$ 1,39 M en 8 meses</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US$ 2,1 M al cierre, si se sostiene el ritmo</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Panel de finanzas</w:t>
            </w:r>
          </w:p>
        </w:tc>
      </w:tr>
    </w:tbl>
    <w:p>
      <w:pPr>
        <w:spacing w:after="60"/>
      </w:pPr>
    </w:p>
    <w:p>
      <w:pPr>
        <w:spacing w:after="120" w:line="276"/>
      </w:pPr>
      <w:r>
        <w:rPr>
          <w:rFonts w:ascii="Arial" w:cs="Arial" w:eastAsia="Arial" w:hAnsi="Arial"/>
          <w:b/>
          <w:bCs/>
          <w:color w:val="2C2E35"/>
          <w:sz w:val="20"/>
          <w:szCs w:val="20"/>
        </w:rPr>
        <w:t xml:space="preserve">Las metas que se retiran y por qué.</w:t>
      </w:r>
      <w:r>
        <w:rPr>
          <w:rFonts w:ascii="Arial" w:cs="Arial" w:eastAsia="Arial" w:hAnsi="Arial"/>
          <w:color w:val="2C2E35"/>
          <w:sz w:val="20"/>
          <w:szCs w:val="20"/>
        </w:rPr>
        <w:t xml:space="preserve"> «Bajar la respuesta de 36,6 h a 1 h» está cumplida y se convierte en sostenimiento. «Conversión de lead a venta del 1,1 % al 3 %» se retira como meta principal: mientras las ventas no nazcan en el CRM, ese número mide la calidad del Excel, no la del embudo. «ROAS ≥ 8×» se suspende hasta que la atribución sea confiable y se reemplaza por el costo por venta contra el margen, que no depende de estimaciones.</w:t>
      </w:r>
    </w:p>
    <w:p>
      <w:pPr>
        <w:pStyle w:val="Heading1"/>
        <w:spacing w:after="160" w:before="380"/>
      </w:pPr>
      <w:r>
        <w:rPr>
          <w:rFonts w:ascii="Arial" w:cs="Arial" w:eastAsia="Arial" w:hAnsi="Arial"/>
          <w:b/>
          <w:bCs/>
          <w:color w:val="7E1210"/>
          <w:sz w:val="26"/>
          <w:szCs w:val="26"/>
        </w:rPr>
        <w:t xml:space="preserve">PARTE II — LA EJECUCIÓN</w:t>
      </w:r>
    </w:p>
    <w:p>
      <w:pPr>
        <w:pStyle w:val="Heading1"/>
        <w:spacing w:after="160" w:before="380"/>
      </w:pPr>
      <w:r>
        <w:rPr>
          <w:rFonts w:ascii="Arial" w:cs="Arial" w:eastAsia="Arial" w:hAnsi="Arial"/>
          <w:b/>
          <w:bCs/>
          <w:color w:val="7E1210"/>
          <w:sz w:val="26"/>
          <w:szCs w:val="26"/>
        </w:rPr>
        <w:t xml:space="preserve">11. CÓMO SE EJECUTA: EL MÉTODO, EN SIMPLE</w:t>
      </w:r>
    </w:p>
    <w:p>
      <w:pPr>
        <w:spacing w:after="120" w:line="276"/>
      </w:pPr>
      <w:r>
        <w:rPr>
          <w:rFonts w:ascii="Arial" w:cs="Arial" w:eastAsia="Arial" w:hAnsi="Arial"/>
          <w:color w:val="2C2E35"/>
          <w:sz w:val="20"/>
          <w:szCs w:val="20"/>
        </w:rPr>
        <w:t xml:space="preserve">La Parte II convierte lo anterior en trabajo con nombre, fecha y responsable, con el método del PMI adaptado al tamaño real del equipo. Cinco ideas bastan para leerla:</w:t>
      </w:r>
    </w:p>
    <w:p>
      <w:pPr>
        <w:pStyle w:val="ListParagraph"/>
        <w:numPr>
          <w:ilvl w:val="0"/>
          <w:numId w:val="1"/>
        </w:numPr>
        <w:spacing w:after="60" w:line="276"/>
      </w:pPr>
      <w:r>
        <w:rPr>
          <w:rFonts w:ascii="Arial" w:cs="Arial" w:eastAsia="Arial" w:hAnsi="Arial"/>
          <w:b/>
          <w:bCs/>
          <w:color w:val="2C2E35"/>
          <w:sz w:val="20"/>
          <w:szCs w:val="20"/>
        </w:rPr>
        <w:t xml:space="preserve">Portafolio:</w:t>
      </w:r>
      <w:r>
        <w:rPr>
          <w:rFonts w:ascii="Arial" w:cs="Arial" w:eastAsia="Arial" w:hAnsi="Arial"/>
          <w:color w:val="2C2E35"/>
          <w:sz w:val="20"/>
          <w:szCs w:val="20"/>
        </w:rPr>
        <w:t xml:space="preserve"> la lista completa de proyectos, priorizada. No arrancan todos a la vez: el límite es </w:t>
      </w:r>
      <w:r>
        <w:rPr>
          <w:rFonts w:ascii="Arial" w:cs="Arial" w:eastAsia="Arial" w:hAnsi="Arial"/>
          <w:b/>
          <w:bCs/>
          <w:color w:val="2C2E35"/>
          <w:sz w:val="20"/>
          <w:szCs w:val="20"/>
        </w:rPr>
        <w:t xml:space="preserve">tres proyectos activos</w:t>
      </w:r>
      <w:r>
        <w:rPr>
          <w:rFonts w:ascii="Arial" w:cs="Arial" w:eastAsia="Arial" w:hAnsi="Arial"/>
          <w:color w:val="2C2E35"/>
          <w:sz w:val="20"/>
          <w:szCs w:val="20"/>
        </w:rPr>
        <w:t xml:space="preserve"> en simultáneo, porque hay un solo ejecutor.</w:t>
      </w:r>
    </w:p>
    <w:p>
      <w:pPr>
        <w:pStyle w:val="ListParagraph"/>
        <w:numPr>
          <w:ilvl w:val="0"/>
          <w:numId w:val="1"/>
        </w:numPr>
        <w:spacing w:after="60" w:line="276"/>
      </w:pPr>
      <w:r>
        <w:rPr>
          <w:rFonts w:ascii="Arial" w:cs="Arial" w:eastAsia="Arial" w:hAnsi="Arial"/>
          <w:b/>
          <w:bCs/>
          <w:color w:val="2C2E35"/>
          <w:sz w:val="20"/>
          <w:szCs w:val="20"/>
        </w:rPr>
        <w:t xml:space="preserve">Proyecto:</w:t>
      </w:r>
      <w:r>
        <w:rPr>
          <w:rFonts w:ascii="Arial" w:cs="Arial" w:eastAsia="Arial" w:hAnsi="Arial"/>
          <w:color w:val="2C2E35"/>
          <w:sz w:val="20"/>
          <w:szCs w:val="20"/>
        </w:rPr>
        <w:t xml:space="preserve"> un esfuerzo con inicio, fin y entregable claro. Lo que no termina nunca —publicar contenido cada semana— es una OPERACIÓN: se monta una vez y después se opera con rutina.</w:t>
      </w:r>
    </w:p>
    <w:p>
      <w:pPr>
        <w:pStyle w:val="ListParagraph"/>
        <w:numPr>
          <w:ilvl w:val="0"/>
          <w:numId w:val="1"/>
        </w:numPr>
        <w:spacing w:after="60" w:line="276"/>
      </w:pPr>
      <w:r>
        <w:rPr>
          <w:rFonts w:ascii="Arial" w:cs="Arial" w:eastAsia="Arial" w:hAnsi="Arial"/>
          <w:b/>
          <w:bCs/>
          <w:color w:val="2C2E35"/>
          <w:sz w:val="20"/>
          <w:szCs w:val="20"/>
        </w:rPr>
        <w:t xml:space="preserve">Ficha de proyecto:</w:t>
      </w:r>
      <w:r>
        <w:rPr>
          <w:rFonts w:ascii="Arial" w:cs="Arial" w:eastAsia="Arial" w:hAnsi="Arial"/>
          <w:color w:val="2C2E35"/>
          <w:sz w:val="20"/>
          <w:szCs w:val="20"/>
        </w:rPr>
        <w:t xml:space="preserve"> objetivo, quién aprueba, quién ejecuta, fechas, presupuesto y criterio de éxito — la pregunta «¿cómo sabremos que terminó bien?» acordada ANTES de empezar.</w:t>
      </w:r>
    </w:p>
    <w:p>
      <w:pPr>
        <w:pStyle w:val="ListParagraph"/>
        <w:numPr>
          <w:ilvl w:val="0"/>
          <w:numId w:val="1"/>
        </w:numPr>
        <w:spacing w:after="60" w:line="276"/>
      </w:pPr>
      <w:r>
        <w:rPr>
          <w:rFonts w:ascii="Arial" w:cs="Arial" w:eastAsia="Arial" w:hAnsi="Arial"/>
          <w:b/>
          <w:bCs/>
          <w:color w:val="2C2E35"/>
          <w:sz w:val="20"/>
          <w:szCs w:val="20"/>
        </w:rPr>
        <w:t xml:space="preserve">Paquetes de trabajo:</w:t>
      </w:r>
      <w:r>
        <w:rPr>
          <w:rFonts w:ascii="Arial" w:cs="Arial" w:eastAsia="Arial" w:hAnsi="Arial"/>
          <w:color w:val="2C2E35"/>
          <w:sz w:val="20"/>
          <w:szCs w:val="20"/>
        </w:rPr>
        <w:t xml:space="preserve"> las tareas, cada una con entregable verificable, responsable, fechas y horas. Si una tarea no tiene entregable que se pueda mostrar, no es una tarea.</w:t>
      </w:r>
    </w:p>
    <w:p>
      <w:pPr>
        <w:pStyle w:val="ListParagraph"/>
        <w:numPr>
          <w:ilvl w:val="0"/>
          <w:numId w:val="1"/>
        </w:numPr>
        <w:spacing w:after="60" w:line="276"/>
      </w:pPr>
      <w:r>
        <w:rPr>
          <w:rFonts w:ascii="Arial" w:cs="Arial" w:eastAsia="Arial" w:hAnsi="Arial"/>
          <w:b/>
          <w:bCs/>
          <w:color w:val="2C2E35"/>
          <w:sz w:val="20"/>
          <w:szCs w:val="20"/>
        </w:rPr>
        <w:t xml:space="preserve">Capacidad real:</w:t>
      </w:r>
      <w:r>
        <w:rPr>
          <w:rFonts w:ascii="Arial" w:cs="Arial" w:eastAsia="Arial" w:hAnsi="Arial"/>
          <w:color w:val="2C2E35"/>
          <w:sz w:val="20"/>
          <w:szCs w:val="20"/>
        </w:rPr>
        <w:t xml:space="preserve"> Santos dispone de 10 a 12 horas por semana para marketing. Todas las fechas están dimensionadas a eso; por eso existe el límite de tres proyectos.</w:t>
      </w:r>
    </w:p>
    <w:p>
      <w:pPr>
        <w:pStyle w:val="Heading1"/>
        <w:spacing w:after="160" w:before="380"/>
      </w:pPr>
      <w:r>
        <w:rPr>
          <w:rFonts w:ascii="Arial" w:cs="Arial" w:eastAsia="Arial" w:hAnsi="Arial"/>
          <w:b/>
          <w:bCs/>
          <w:color w:val="7E1210"/>
          <w:sz w:val="26"/>
          <w:szCs w:val="26"/>
        </w:rPr>
        <w:t xml:space="preserve">12. QUÉ CAMBIA EN EL PORTAFOLIO Y POR QUÉ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Decisión</w:t>
            </w:r>
          </w:p>
        </w:tc>
        <w:tc>
          <w:tcPr>
            <w:tcW w:type="pct" w:w="3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El dato que la obliga</w:t>
            </w:r>
          </w:p>
        </w:tc>
        <w:tc>
          <w:tcPr>
            <w:tcW w:type="pct" w:w="3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Efecto práctico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Entra P10 — Circuito de medición cerrado, con prioridad crítica</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626 de 628 ventas entraron importadas de Excel; solo 5 tienen lead asociado; ningún lead de Meta trae identificador de clic</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Sin esto, ningún indicador del portafolio es confiable y la pauta se decide a ciegas. Es el proyecto que habilita a todos los demás</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Entra P11 — Recuperación de cotizaciones sin cierre</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1.419 clientes cotizados en 2026; compraron 143 (10,1 %). Quedan 1.317 con demanda declarada</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 el trabajo con mejor relación entre esfuerzo y retorno del portafolio, y no necesita presupuesto de medios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Entra P12 — Recompra y cuentas clave</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82 % de los clientes compra una sola vez; la segunda compra lleva el valor de US$ 6.425 a US$ 14.156; 50 cuentas valen el 47 % del ingreso</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Convierte la cartera existente en el primer canal de venta, y de paso arregla los datos de contacto que hoy faltan</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P7 (referidos y alianzas) sube de prioridad media a alta y se adelanta cuatro meses</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cliente que llega por relación vale US$ 11.127 y compra 1,73 veces; el de publicidad, US$ 6.359 y 1,12</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programa de referidos pasa de febrero de 2027 a noviembre de 2026, empezando por lo más simple: la regla y su registro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P3 (contenido) baja a media y P4 (video) a baja</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Pagan en 6 a 12 meses y compiten por las mismas 10-12 horas semanales que necesitan P10, P11 y P12</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Contenido pasa de 3 a 2 piezas por semana; el lote de video baja de 8 a 4 títulos y se corre a 2027. Libera unas 60 horas</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P6 (posicionamiento en buscadores) baja a prioridad baja hasta la web nueva</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trabajo que rinde depende del catálogo y del subdominio, ambos bloqueados por gerencia</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 2026 solo se hace la auditoría y el mapa de palabras clave (12 horas)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P8 (correos automáticos) queda condicionado</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Solo 190 de 500 clientes tienen correo cargado (38 %)</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No arranca hasta que la contactabilidad llegue al 80 %, que es tarea de P12</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P5 (publicidad) se congela en el escenario conservador</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retorno medido varía entre 2,7× y 17,7× según la atribución que se use</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 mantiene S/ 1.500 al mes y no sube hasta que P10 cierre y se cumplan las tres condiciones del plan</w:t>
            </w:r>
          </w:p>
        </w:tc>
      </w:tr>
    </w:tbl>
    <w:p>
      <w:pPr>
        <w:spacing w:after="60"/>
      </w:pPr>
    </w:p>
    <w:p>
      <w:pPr>
        <w:pStyle w:val="Heading1"/>
        <w:spacing w:after="160" w:before="380"/>
      </w:pPr>
      <w:r>
        <w:rPr>
          <w:rFonts w:ascii="Arial" w:cs="Arial" w:eastAsia="Arial" w:hAnsi="Arial"/>
          <w:b/>
          <w:bCs/>
          <w:color w:val="7E1210"/>
          <w:sz w:val="26"/>
          <w:szCs w:val="26"/>
        </w:rPr>
        <w:t xml:space="preserve">13. MAPA DEL PORTAFOLIO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7%"/>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Cód.</w:t>
            </w:r>
          </w:p>
        </w:tc>
        <w:tc>
          <w:tcPr>
            <w:tcW w:type="pct" w:w="27%"/>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Proyecto</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Ventana</w:t>
            </w:r>
          </w:p>
        </w:tc>
        <w:tc>
          <w:tcPr>
            <w:tcW w:type="pct" w:w="1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Presupuesto</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Prioridad</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P2</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Expomina 2026 (feria minera)</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ago – 19 sep</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44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1.000-1.600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CRÍTICA — fecha externa fija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P10</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Circuito de medición cerrado</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24 ago – 31 oct</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30 h</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CRÍTICA — habilita todo lo demás</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Fundamentos de marca digital (recortado)</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24 ago – 30 sep</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14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300-600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P11</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Recuperación de cotizaciones sin cierre</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 oct – 15 nov</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22 h + comerciales</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P12</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Recompra y cuentas clave</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 oct – 20 dic</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26 h + comerciales</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0-400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P5</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Publicidad digital (operación conservadora)</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desde 1 sep</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1,5 h/sem</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1.500/mes</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 congelada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Referidos y alianzas (adelantado)</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17 nov – jun 2027</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30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0-500 por evento</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P8</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Automatización de correos</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 dic – 15 ene</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28 h</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 condicionada a P12.1</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P9</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Arsenal de ventas (parcial)</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oct – dic</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200-400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P3</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Fábrica de contenido (2 piezas/semana)</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17 nov – 31 ene</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24 h + 4 h/sem</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300-800/mes</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P6</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Posicionamiento en buscadores</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nov 2026 – jun 2027</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 h en 2026</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0-800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BAJA hasta la web nueva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P4</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Estudio audiovisual (lote recortado)</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ene – mar 2027</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30 h</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400-800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BAJA</w:t>
            </w:r>
          </w:p>
        </w:tc>
      </w:tr>
    </w:tbl>
    <w:p>
      <w:pPr>
        <w:spacing w:after="60"/>
      </w:pPr>
    </w:p>
    <w:p>
      <w:pPr>
        <w:spacing w:after="160" w:line="276"/>
      </w:pPr>
      <w:r>
        <w:rPr>
          <w:rFonts w:ascii="Arial" w:cs="Arial" w:eastAsia="Arial" w:hAnsi="Arial"/>
          <w:i/>
          <w:iCs/>
          <w:color w:val="6B6B6B"/>
          <w:sz w:val="17"/>
          <w:szCs w:val="17"/>
        </w:rPr>
        <w:t xml:space="preserve">Las horas son de Santos, que dispone de 10 a 12 horas por semana para marketing. P11 y P12 suman además esfuerzo del equipo comercial (entre 2 y 3 horas semanales por comercial), que es trabajo de venta, no de marketing: llamar a sus propios clientes.</w:t>
      </w:r>
    </w:p>
    <w:p>
      <w:pPr>
        <w:pStyle w:val="Heading1"/>
        <w:spacing w:after="160" w:before="380"/>
      </w:pPr>
      <w:r>
        <w:rPr>
          <w:rFonts w:ascii="Arial" w:cs="Arial" w:eastAsia="Arial" w:hAnsi="Arial"/>
          <w:b/>
          <w:bCs/>
          <w:color w:val="7E1210"/>
          <w:sz w:val="26"/>
          <w:szCs w:val="26"/>
        </w:rPr>
        <w:t xml:space="preserve">14. ORDEN DE ACTIVACIÓN (LÍMITE: TRES PROYECTOS ACTIVOS)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Ola</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Activos</w:t>
            </w:r>
          </w:p>
        </w:tc>
        <w:tc>
          <w:tcPr>
            <w:tcW w:type="pct" w:w="2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Capacidad comprometida</w:t>
            </w:r>
          </w:p>
        </w:tc>
      </w:tr>
      <w:tr>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Ola 1</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ago – 30 sep</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P2 Expomina · P10 fase 1 (medición) · P1 recortado</w:t>
            </w:r>
          </w:p>
        </w:tc>
        <w:tc>
          <w:tcPr>
            <w:tcW w:type="pct" w:w="2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66 h de 66 disponibles — ajustada; por eso P1 se recorta a lo esencial</w:t>
            </w:r>
          </w:p>
        </w:tc>
      </w:tr>
      <w:tr>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Ola 2</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 oct – 15 nov</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P11 Cotizaciones · P12 fase 1 (datos y cuentas clave) · P10 fase 2</w:t>
            </w:r>
          </w:p>
        </w:tc>
        <w:tc>
          <w:tcPr>
            <w:tcW w:type="pct" w:w="2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64 h de 72 — deja aire para la operación de pauta</w:t>
            </w:r>
          </w:p>
        </w:tc>
      </w:tr>
      <w:tr>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Ola 3</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17 nov – 20 dic</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 Referidos · P8 Correos · P3 Contenido</w:t>
            </w:r>
          </w:p>
        </w:tc>
        <w:tc>
          <w:tcPr>
            <w:tcW w:type="pct" w:w="2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55 h de 55 — P8 solo arranca si la contactabilidad llegó al 80 %</w:t>
            </w:r>
          </w:p>
        </w:tc>
      </w:tr>
      <w:tr>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Ola 4</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ene – jun 2027</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P9 completo · P4 lote recortado · P6 con la web nueva</w:t>
            </w:r>
          </w:p>
        </w:tc>
        <w:tc>
          <w:tcPr>
            <w:tcW w:type="pct" w:w="2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 replanifica en enero con los datos del cierre de 2026</w:t>
            </w:r>
          </w:p>
        </w:tc>
      </w:tr>
    </w:tbl>
    <w:p>
      <w:pPr>
        <w:spacing w:after="60"/>
      </w:pPr>
    </w:p>
    <w:p>
      <w:pPr>
        <w:pStyle w:val="Heading1"/>
        <w:spacing w:after="160" w:before="380"/>
      </w:pPr>
      <w:r>
        <w:rPr>
          <w:rFonts w:ascii="Arial" w:cs="Arial" w:eastAsia="Arial" w:hAnsi="Arial"/>
          <w:b/>
          <w:bCs/>
          <w:color w:val="7E1210"/>
          <w:sz w:val="26"/>
          <w:szCs w:val="26"/>
        </w:rPr>
        <w:t xml:space="preserve">15. P10 — CIRCUITO DE MEDICIÓN CERRADO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Campo</w:t>
            </w:r>
          </w:p>
        </w:tc>
        <w:tc>
          <w:tcPr>
            <w:tcW w:type="pct" w:w="7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Definición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Objetivo (por qué existe)</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Que toda venta nazca en el CRM y que todo lead publicitario llegue con identificador de clic, para que las decisiones de inversión dejen de depender de lo que se anotó en un Excel. Hoy el mismo gasto publicitario da un retorno de 2,7× o de 17,7× según qué atribución se use, y no hay forma de saber cuál es la verdadera</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Patrocinador / aprueba</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(la política de registro es una decisión de gerencia, no de marketing)</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Responsable de ejecución</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con acompañamiento a los comerciales</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Inicio → fin</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lun 24 ago 2026 → vie 31 oct 2026</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Presupuesto (fuera de horas)</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 — todo está construido; falta usarlo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Criterio de éxito</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 octubre, al menos el 70 % de las ventas del mes registradas en el CRM (90 % en diciembre); el 100 % de los leads de Meta con identificador de clic; las 15 campañas mapeadas y sin duplicados; y el panel de marketing mostrando costo por venta con atribución real</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Tarea (paquete de trabajo)</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Entregable / criterio de aceptación</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Diagnóstico de la fuga de atribución</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Una página: por qué llegan 0 leads de Meta con identificador, dónde se pierde el dato entre el anuncio, el formulario y la ingesta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24-26 ago</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Identificador de clic en la ingesta</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formulario web y los anuncios de Meta guardan el identificador y las etiquetas de campaña. Prueba real: un clic propio termina en un lead del CRM con su campaña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27 ago-5 sep</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5</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Convención de campañas y limpieza</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Las 15 campañas de Meta mapeadas a la tabla de campañas del CRM, sin duplicados («- Copia», «NUEVO»), con nombres que digan línea, público y mes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1-8 sep</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Política «toda venta y toda cotización nace en el CRM»</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Acuerdo escrito de gerencia y comunicación al equipo comercial. Es la tarea de la que dependen las demás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 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24-29 ago</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Acompañamiento al equipo comercial</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Dos sesiones de una hora y cuatro semanas de soporte; cada comercial registra su primera venta y su primera cotización en el CRM sin ayuda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1-30 sep</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Rubro y procedencia de las cuentas grandes</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Las 50 cuentas del decil 1 con rubro, departamento y procedencia completos (hoy 448 de 628 ventas no tienen rubro)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6-24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10.7</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Tablero de adopción</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En el panel de gerencia: porcentaje de ventas nacidas en el CRM, de leads con identificador y de cuentas con rubro. Se revisa en la reunión mensual</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13-24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10.8</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Higiene de datos</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Corregir los leads con fechas imposibles (hay registros en 2027 y 2033) y dejar lista la lista de cuentas duplicadas para su fusión</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27-31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bl>
    <w:p>
      <w:pPr>
        <w:spacing w:after="60"/>
      </w:pPr>
    </w:p>
    <w:p>
      <w:pPr>
        <w:spacing w:after="120" w:line="276"/>
      </w:pPr>
      <w:r>
        <w:rPr>
          <w:rFonts w:ascii="Arial" w:cs="Arial" w:eastAsia="Arial" w:hAnsi="Arial"/>
          <w:b/>
          <w:bCs/>
          <w:color w:val="2C2E35"/>
          <w:sz w:val="20"/>
          <w:szCs w:val="20"/>
        </w:rPr>
        <w:t xml:space="preserve">Ruta crítica:</w:t>
      </w:r>
      <w:r>
        <w:rPr>
          <w:rFonts w:ascii="Arial" w:cs="Arial" w:eastAsia="Arial" w:hAnsi="Arial"/>
          <w:color w:val="2C2E35"/>
          <w:sz w:val="20"/>
          <w:szCs w:val="20"/>
        </w:rPr>
        <w:t xml:space="preserve"> 10.4 manda sobre todo el proyecto. Si gerencia no fija la política, el acompañamiento (10.5) no tiene autoridad y el tablero (10.7) medirá un cumplimiento voluntario.</w:t>
      </w:r>
    </w:p>
    <w:p>
      <w:pPr>
        <w:spacing w:after="120" w:line="276"/>
      </w:pPr>
      <w:r>
        <w:rPr>
          <w:rFonts w:ascii="Arial" w:cs="Arial" w:eastAsia="Arial" w:hAnsi="Arial"/>
          <w:b/>
          <w:bCs/>
          <w:color w:val="2C2E35"/>
          <w:sz w:val="20"/>
          <w:szCs w:val="20"/>
        </w:rPr>
        <w:t xml:space="preserve">Regla de freno:</w:t>
      </w:r>
      <w:r>
        <w:rPr>
          <w:rFonts w:ascii="Arial" w:cs="Arial" w:eastAsia="Arial" w:hAnsi="Arial"/>
          <w:color w:val="2C2E35"/>
          <w:sz w:val="20"/>
          <w:szCs w:val="20"/>
        </w:rPr>
        <w:t xml:space="preserve"> si al 31 de octubre menos de la mitad de las ventas del mes nacen en el CRM, la inversión publicitaria se congela hasta que se corrija. No es un castigo: es que no se puede administrar lo que no se mide.</w:t>
      </w:r>
    </w:p>
    <w:p>
      <w:pPr>
        <w:pStyle w:val="Heading1"/>
        <w:spacing w:after="160" w:before="380"/>
      </w:pPr>
      <w:r>
        <w:rPr>
          <w:rFonts w:ascii="Arial" w:cs="Arial" w:eastAsia="Arial" w:hAnsi="Arial"/>
          <w:b/>
          <w:bCs/>
          <w:color w:val="7E1210"/>
          <w:sz w:val="26"/>
          <w:szCs w:val="26"/>
        </w:rPr>
        <w:t xml:space="preserve">16. P11 — RECUPERACIÓN DE COTIZACIONES SIN CIERRE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Campo</w:t>
            </w:r>
          </w:p>
        </w:tc>
        <w:tc>
          <w:tcPr>
            <w:tcW w:type="pct" w:w="7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Definición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Objetivo (por qué existe)</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Trabajar de forma sistemática a los 1.317 clientes que pidieron cotización en 2026 y no compraron. No son curiosos: pidieron precio. El cierre por cliente cotizado es hoy del 10,1 % y cada punto porcentual vale unas 14 ventas al año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Patrocinador / aprueba</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(aprueba la condición comercial con la que se reactiva)</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Responsable de ejecución</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(segmentación, guion y tablero) + los comerciales (el contacto)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Inicio → fin</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jue 1 oct 2026 → vie 15 nov 2026 (primera vuelta)</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Presupuesto (fuera de horas)</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 en medios; el costo es tiempo comercial</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Criterio de éxito</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400 clientes contactados con resultado registrado en el CRM; al menos 25 oportunidades reabiertas; al menos 8 ventas atribuidas a la campaña (entre US$ 70 mil y US$ 95 mil); y un catálogo de motivos reales de no cierre que hoy no existe</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Tarea (paquete de trabajo)</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Entregable / criterio de aceptación</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11.1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Segmentar los 1.317 clientes</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Lista priorizada por monto cotizado, antigüedad y comercial dueño. Los primeros 400 son los de mayor monto y menos de seis meses de antigüedad</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1-6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11.2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Diagnóstico de por qué no cerraron</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Muestra de 40 casos revisados con los comerciales; catálogo de motivos reales (precio, plazo de entrega, financiamiento, competencia, proyecto postergado)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6-13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11.3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Guion y oferta de reactivación</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Tres variantes según motivo, con vigencia nueva y —si gerencia lo aprueba— una condición comercial. Aprobado por Carlos antes de salir</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 Gerencia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13-17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11.4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Campaña asistida por el CRM</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Tareas de agenda repartidas por comercial (30 contactos por semana cada uno), plantillas de WhatsApp y correo, y registro obligatorio del resultado de cada contacto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20 oct-14 nov</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11.5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Seguimiento semanal</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Tablero de avance en el panel de supervisión: contactados, respondidos, reabiertos, cerrados. Los casos calientes pasan a oportunidad con próxima acción</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oct-14 nov</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11.6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Informe y decisión</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Qué motivo pesa más y qué hay que cambiar en precio, plazo o catálogo. Alimenta al plan y a la conversación de gerencia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15 nov</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bl>
    <w:p>
      <w:pPr>
        <w:spacing w:after="60"/>
      </w:pPr>
    </w:p>
    <w:p>
      <w:pPr>
        <w:spacing w:after="120" w:line="276"/>
      </w:pPr>
      <w:r>
        <w:rPr>
          <w:rFonts w:ascii="Arial" w:cs="Arial" w:eastAsia="Arial" w:hAnsi="Arial"/>
          <w:b/>
          <w:bCs/>
          <w:color w:val="2C2E35"/>
          <w:sz w:val="20"/>
          <w:szCs w:val="20"/>
        </w:rPr>
        <w:t xml:space="preserve">Dependencias:</w:t>
      </w:r>
      <w:r>
        <w:rPr>
          <w:rFonts w:ascii="Arial" w:cs="Arial" w:eastAsia="Arial" w:hAnsi="Arial"/>
          <w:color w:val="2C2E35"/>
          <w:sz w:val="20"/>
          <w:szCs w:val="20"/>
        </w:rPr>
        <w:t xml:space="preserve"> la decisión 5 de gerencia (condición comercial) y los datos de contacto que completa P12.1. </w:t>
      </w:r>
      <w:r>
        <w:rPr>
          <w:rFonts w:ascii="Arial" w:cs="Arial" w:eastAsia="Arial" w:hAnsi="Arial"/>
          <w:b/>
          <w:bCs/>
          <w:color w:val="2C2E35"/>
          <w:sz w:val="20"/>
          <w:szCs w:val="20"/>
        </w:rPr>
        <w:t xml:space="preserve">Riesgo propio:</w:t>
      </w:r>
      <w:r>
        <w:rPr>
          <w:rFonts w:ascii="Arial" w:cs="Arial" w:eastAsia="Arial" w:hAnsi="Arial"/>
          <w:color w:val="2C2E35"/>
          <w:sz w:val="20"/>
          <w:szCs w:val="20"/>
        </w:rPr>
        <w:t xml:space="preserve"> que la insistencia moleste al cliente; se mitiga con un guion que ofrece algo —vigencia nueva, novedad de línea, revisión técnica— y no solo pregunta si ya decidió.</w:t>
      </w:r>
    </w:p>
    <w:p>
      <w:pPr>
        <w:pStyle w:val="Heading1"/>
        <w:spacing w:after="160" w:before="380"/>
      </w:pPr>
      <w:r>
        <w:rPr>
          <w:rFonts w:ascii="Arial" w:cs="Arial" w:eastAsia="Arial" w:hAnsi="Arial"/>
          <w:b/>
          <w:bCs/>
          <w:color w:val="7E1210"/>
          <w:sz w:val="26"/>
          <w:szCs w:val="26"/>
        </w:rPr>
        <w:t xml:space="preserve">17. P12 — RECOMPRA Y CUENTAS CLAVE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Campo</w:t>
            </w:r>
          </w:p>
        </w:tc>
        <w:tc>
          <w:tcPr>
            <w:tcW w:type="pct" w:w="7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Definición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Objetivo (por qué existe)</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Que el 82 % de clientes que compró una sola vez deje de ser el caso normal, y que las 50 cuentas que generan el 47 % del ingreso tengan dueño, ficha y contacto periódico. Convertir al 10 % de los 409 clientes de una sola compra vale unos US$ 310 mil: más que todo lo que la publicidad trajo en su historia</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Patrocinador / aprueba</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(precios de servicio, mantenimiento y repuestos)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Responsable de ejecución</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(organización y medición) + los comerciales (el contacto con su propia cartera)</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Inicio → fin</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jue 1 oct 2026 → vie 20 dic 2026</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Presupuesto (fuera de horas)</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0-400 (impresión de la ficha de mantenimiento)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Criterio de éxito</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400 de los 500 clientes con correo y teléfono verificados; las 50 cuentas clave con ficha y plan de contacto trimestral; al menos 15 segundas compras en el período; y ninguna cuenta del decil 1 sin contacto en 90 días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Tarea (paquete de trabajo)</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Entregable / criterio de aceptación</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Completar los datos de contacto</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 190 a 400 clientes con correo y de 278 a 450 con teléfono verificado. Cada comercial completa su propia cartera; el CRM marca lo que falta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Comerciales + 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1-31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8</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12.2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Ficha de cuenta clave</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Las 50 cuentas del decil 1 con equipos comprados, fecha de la última compra, responsable y próxima acción. Se arma desde el historial que ya está en el CRM</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6-24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Plan de contacto trimestral</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Calendario por comercial en la agenda del CRM: cada cuenta clave tiene contacto asegurado cada 90 días, con motivo (revisión, repuesto, novedad)</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20-31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12.4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Oferta de recompra por antigüedad del equipo</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Tres ofertas simples: mantenimiento preventivo al año, repuestos críticos, y actualización de equipo entre los 3 y 5 años. Requiere la lista de precios de servicio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Gerencia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3-21 nov</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Campaña a los clientes fríos</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Los 268 clientes que no compran hace más de 18 meses, en lotes semanales, con la oferta de revisión técnica como excusa de contacto</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Comerciales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17 nov-19 dic</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12.6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Medición de la recurrencia</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porcentaje de clientes con dos o más compras se revisa mensualmente en el panel de gerencia, junto con el valor de vida del cliente</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mensual</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bl>
    <w:p>
      <w:pPr>
        <w:spacing w:after="60"/>
      </w:pPr>
    </w:p>
    <w:p>
      <w:pPr>
        <w:spacing w:after="120" w:line="276"/>
      </w:pPr>
      <w:r>
        <w:rPr>
          <w:rFonts w:ascii="Arial" w:cs="Arial" w:eastAsia="Arial" w:hAnsi="Arial"/>
          <w:b/>
          <w:bCs/>
          <w:color w:val="2C2E35"/>
          <w:sz w:val="20"/>
          <w:szCs w:val="20"/>
        </w:rPr>
        <w:t xml:space="preserve">Por qué este proyecto va antes que la publicidad:</w:t>
      </w:r>
      <w:r>
        <w:rPr>
          <w:rFonts w:ascii="Arial" w:cs="Arial" w:eastAsia="Arial" w:hAnsi="Arial"/>
          <w:color w:val="2C2E35"/>
          <w:sz w:val="20"/>
          <w:szCs w:val="20"/>
        </w:rPr>
        <w:t xml:space="preserve"> un cliente que ya compró conoce la empresa, tiene el equipo instalado y necesita repuestos y mantenimiento. Cuesta una llamada. Un cliente nuevo cuesta hoy alrededor de S/ 1.318 y compra 1,12 veces.</w:t>
      </w:r>
    </w:p>
    <w:p>
      <w:pPr>
        <w:pStyle w:val="Heading1"/>
        <w:spacing w:after="160" w:before="380"/>
      </w:pPr>
      <w:r>
        <w:rPr>
          <w:rFonts w:ascii="Arial" w:cs="Arial" w:eastAsia="Arial" w:hAnsi="Arial"/>
          <w:b/>
          <w:bCs/>
          <w:color w:val="7E1210"/>
          <w:sz w:val="26"/>
          <w:szCs w:val="26"/>
        </w:rPr>
        <w:t xml:space="preserve">18. QUÉ CAMBIA EN LOS PROYECTOS QUE YA EXISTÍAN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Cód.</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Proyecto</w:t>
            </w:r>
          </w:p>
        </w:tc>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Qué cambia</w:t>
            </w:r>
          </w:p>
        </w:tc>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Por qué</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Fundamentos de marca digital</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 32 a 14 horas: quedan perfiles, ficha de Google Business y kit de plantillas. La sesión de fotos se une al primer caso de éxito</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 ola 1 está copada por Expomina y la medición; la marca se puede armar con las fotos que ya existen</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Expomina 2026</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Sin cambios en tareas ni fechas. Se agrega un objetivo: mapear operadores del sur andino</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Cusco, Puno, Arequipa y Moquegua ya representan US$ 901 mil de la cartera</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Fábrica de contenido</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 3 a 2 piezas por semana; arranca el 17 de noviembre (era el 8 de septiembre); nuevo reparto de pilares (más prueba social y postventa, menos emprendedor)</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contenido paga a mediano plazo y hoy compite con trabajo que paga este trimestre. El nuevo reparto apoya al cierre y a la recompra</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Estudio audiovisual</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lote 1 baja de 8 a 4 videos y se corre a enero-marzo de 2027. Se quedan los que ayudan a vender: rentabilidad, dimensionamiento, cuándo dar el salto y señales de mantenimiento</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 el proyecto más caro en horas (60 h) del portafolio original y el de retorno más lento</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Publicidad digital</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mantiene el montaje, pero congelada en S/ 1.500 al mes; el foco pasa a los grupos institucionales de ticket alto. La tarea del identificador de clic se muda a P10</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retorno declarado y el estricto difieren seis veces; primero se mide, después se escala</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Posicionamiento en buscadores</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 2026 solo la auditoría técnica y el mapa de palabras clave (12 h). El resto espera a la web nueva</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Las fichas indexables dependen del catálogo y del subdominio, ambos bloqueados</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Referidos y alianzas</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Sube a prioridad alta y se adelanta a noviembre. Se invierte el orden: primero el programa de referidos (era la última tarea), después el mapa de aliados</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cliente que llega por relación vale 75 % más y compra 55 % más seguido; es el mejor canal del negocio y nadie lo gestiona</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P8</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Automatización de correos</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 mantiene completo pero arranca el 1 de diciembre y solo si la contactabilidad llegó al 80 %</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Con 38 % de correos cargados, las secuencias alcanzarían a menos de la mitad de la cartera</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P9</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Arsenal de ventas</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prioriza la calculadora de rentabilidad y los casos de éxito; el catálogo maestro sigue bloqueado y los one-pagers se reducen a dos (minero y hotelero)</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 calculadora y los casos son las piezas que usan P11 y P7; los demás materiales esperan al catálogo</w:t>
            </w:r>
          </w:p>
        </w:tc>
      </w:tr>
    </w:tbl>
    <w:p>
      <w:pPr>
        <w:spacing w:after="60"/>
      </w:pPr>
    </w:p>
    <w:p>
      <w:pPr>
        <w:pStyle w:val="Heading1"/>
        <w:spacing w:after="160" w:before="380"/>
      </w:pPr>
      <w:r>
        <w:rPr>
          <w:rFonts w:ascii="Arial" w:cs="Arial" w:eastAsia="Arial" w:hAnsi="Arial"/>
          <w:b/>
          <w:bCs/>
          <w:color w:val="7E1210"/>
          <w:sz w:val="26"/>
          <w:szCs w:val="26"/>
        </w:rPr>
        <w:t xml:space="preserve">19. CRONOGRAMA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Mes</w:t>
            </w:r>
          </w:p>
        </w:tc>
        <w:tc>
          <w:tcPr>
            <w:tcW w:type="pct" w:w="8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Hitos comprometidos</w:t>
            </w:r>
          </w:p>
        </w:tc>
      </w:tr>
      <w:tr>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Agosto (queda ½ mes)</w:t>
            </w:r>
          </w:p>
        </w:tc>
        <w:tc>
          <w:tcPr>
            <w:tcW w:type="pct" w:w="8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GO/NO-GO de Expomina el 22 · política de registro acordada con gerencia el 29 · diagnóstico de atribución listo · one-pager minero y captura por QR en curso</w:t>
            </w:r>
          </w:p>
        </w:tc>
      </w:tr>
      <w:tr>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Septiembre</w:t>
            </w:r>
          </w:p>
        </w:tc>
        <w:tc>
          <w:tcPr>
            <w:tcW w:type="pct" w:w="8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 EXPOMINA del 9 al 11, con arte en imprenta el 3 · identificador de clic funcionando el 30 · campañas de Meta limpias y mapeadas · P1 cerrado el 30 · informe de feria el 19</w:t>
            </w:r>
          </w:p>
        </w:tc>
      </w:tr>
      <w:tr>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Octubre</w:t>
            </w:r>
          </w:p>
        </w:tc>
        <w:tc>
          <w:tcPr>
            <w:tcW w:type="pct" w:w="8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Campaña de recuperación de cotizaciones en marcha desde el 20 · 300 clientes con correo cargado · fichas de las 50 cuentas clave · tablero de adopción publicado · primera medición de la regla de inversión</w:t>
            </w:r>
          </w:p>
        </w:tc>
      </w:tr>
      <w:tr>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Noviembre</w:t>
            </w:r>
          </w:p>
        </w:tc>
        <w:tc>
          <w:tcPr>
            <w:tcW w:type="pct" w:w="8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Informe de motivos de no cierre el 15 · programa de referidos comunicado · campaña a los 268 clientes fríos · contenido a dos piezas semanales desde el 17 · decisión: ¿se sube la pauta a S/ 3.000?</w:t>
            </w:r>
          </w:p>
        </w:tc>
      </w:tr>
      <w:tr>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Diciembre</w:t>
            </w:r>
          </w:p>
        </w:tc>
        <w:tc>
          <w:tcPr>
            <w:tcW w:type="pct" w:w="8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P12 cerrado el 20 con la recurrencia medida · correos automáticos en pruebas · cierre de año con el panel del CRM: ventas, valor de vida del cliente y adopción</w:t>
            </w:r>
          </w:p>
        </w:tc>
      </w:tr>
      <w:tr>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Enero-marzo 2027</w:t>
            </w:r>
          </w:p>
        </w:tc>
        <w:tc>
          <w:tcPr>
            <w:tcW w:type="pct" w:w="8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P9 completo · lote recortado de video · posicionamiento en buscadores si la web nueva salió · decisión sobre Gastromaq y Perumin</w:t>
            </w:r>
          </w:p>
        </w:tc>
      </w:tr>
    </w:tbl>
    <w:p>
      <w:pPr>
        <w:spacing w:after="60"/>
      </w:pPr>
    </w:p>
    <w:p>
      <w:pPr>
        <w:spacing w:after="160" w:line="276"/>
      </w:pPr>
      <w:r>
        <w:rPr>
          <w:rFonts w:ascii="Arial" w:cs="Arial" w:eastAsia="Arial" w:hAnsi="Arial"/>
          <w:i/>
          <w:iCs/>
          <w:color w:val="6B6B6B"/>
          <w:sz w:val="17"/>
          <w:szCs w:val="17"/>
        </w:rPr>
        <w:t xml:space="preserve">★ = hito inamovible por fecha externa. Todo lo demás se replanifica en la reunión mensual: replanificar es gestión, no fracaso; lo que no se permite es replanificar sin avisar.</w:t>
      </w:r>
    </w:p>
    <w:p>
      <w:pPr>
        <w:pStyle w:val="Heading1"/>
        <w:spacing w:after="160" w:before="380"/>
      </w:pPr>
      <w:r>
        <w:rPr>
          <w:rFonts w:ascii="Arial" w:cs="Arial" w:eastAsia="Arial" w:hAnsi="Arial"/>
          <w:b/>
          <w:bCs/>
          <w:color w:val="7E1210"/>
          <w:sz w:val="26"/>
          <w:szCs w:val="26"/>
        </w:rPr>
        <w:t xml:space="preserve">20.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Riesgo</w:t>
            </w:r>
          </w:p>
        </w:tc>
        <w:tc>
          <w:tcPr>
            <w:tcW w:type="pct" w:w="1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Prob.</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Impacto</w:t>
            </w:r>
          </w:p>
        </w:tc>
        <w:tc>
          <w:tcPr>
            <w:tcW w:type="pct" w:w="4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Respuesta planificada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Las ventas siguen naciendo en Excel y no en el CRM</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Crítico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Política de gerencia (decisión 2) + acompañamiento semanal + tablero de adopción. Si en octubre no se llega al 50 %, se congela la inversión publicitaria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cartera no tiene datos de contacto</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P12.1 con los comerciales sobre su propia cartera; los correos automáticos esperan al 80 %</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margen bruto real es desconocido</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Crítico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Decisión 1 de gerencia. Mientras tanto se asume 11 %, que es el escenario más exigente: si el margen real es mayor, todo mejora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Los comerciales no dan abasto (ya tienen 30 seguimientos diarios de meta)</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recuperación se reparte en lotes de 30 contactos semanales y se mide en el panel de supervisión; si compite con la venta corriente, se alarga el plazo, no se aumenta la carga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es el único ejecutor</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Límite de tres proyectos activos · recorte de contenido y video (libera unas 60 horas) · diseño y edición tercerizados por pieza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catálogo con precios sigue sin llegar</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Ya está aislado: no bloquea nada de las olas 1 a 3, solo el catálogo maestro y los videos de producto</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Imprenta y logística de Expomina</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Arte cerrado el 3 de septiembre con proveedor confirmado; plan B digital (código QR en pantalla y PDF por WhatsApp)</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reactivación de cotizaciones incomoda al cliente</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Baja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guion ofrece algo concreto (vigencia nueva, revisión técnica, novedad) en lugar de preguntar si ya decidió; se corta al segundo «no»</w:t>
            </w:r>
          </w:p>
        </w:tc>
      </w:tr>
    </w:tbl>
    <w:p>
      <w:pPr>
        <w:spacing w:after="60"/>
      </w:pPr>
    </w:p>
    <w:p>
      <w:pPr>
        <w:pStyle w:val="Heading1"/>
        <w:spacing w:after="160" w:before="380"/>
      </w:pPr>
      <w:r>
        <w:rPr>
          <w:rFonts w:ascii="Arial" w:cs="Arial" w:eastAsia="Arial" w:hAnsi="Arial"/>
          <w:b/>
          <w:bCs/>
          <w:color w:val="7E1210"/>
          <w:sz w:val="26"/>
          <w:szCs w:val="26"/>
        </w:rPr>
        <w:t xml:space="preserve">21. PRESUPUESTO Y ESCENARIOS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Escenario</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Inversión mensual</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Cuándo aplica</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Qué se espera</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Conservador (vigente)</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1.500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Hasta que cierre el circuito de medición (P10)</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Sostener presencia y, sobre todo, PROBAR que la atribución funciona de punta a punta</w:t>
            </w:r>
          </w:p>
        </w:tc>
      </w:tr>
      <w:tr>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Base</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3.000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Dos meses cumpliendo las tres condiciones de la sección 4.3</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Con costo por venta de S/ 1.300, unas 2 ventas mensuales atribuidas y margen por encima del gasto</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Agresivo</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6.000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Solo con margen confirmado por gerencia y dos meses en base cumpliendo la regla</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evalúa recién en 2027; antes no hay datos que lo justifiquen</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Concepto</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Una vez</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Mensual</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Nota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Pauta digital (P5)</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1.500</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Congelada en conservador hasta que P10 cierre</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Expomina 2026 (P2)</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1.000-1.600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Impresos, gafetes, merchandising y movilidad</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Fotos y plantillas de marca (P1)</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300-600</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Recortado respecto de la v1.0</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Diseño y edición por pieza (P3)</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300-800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Baja al pasar de 3 a 2 piezas por semana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Impresión del kit de ventas (P9)</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200-400</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Dos one-pagers y casos de éxito</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Ficha de mantenimiento (P12)</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0-400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Solo si se imprime para entregar con el equipo</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Kit audiovisual (P4)</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posterga a 2027 junto con los videos</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TOTAL comprometido ahora</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1.500-3.000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1.800-2.300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Menos que la v1.0 (S/ 2.000-3.400 y S/ 2.000-3.000) con más retorno esperado</w:t>
            </w:r>
          </w:p>
        </w:tc>
      </w:tr>
    </w:tbl>
    <w:p>
      <w:pPr>
        <w:spacing w:after="60"/>
      </w:pPr>
    </w:p>
    <w:p>
      <w:pPr>
        <w:pStyle w:val="Heading1"/>
        <w:spacing w:after="160" w:before="380"/>
      </w:pPr>
      <w:r>
        <w:rPr>
          <w:rFonts w:ascii="Arial" w:cs="Arial" w:eastAsia="Arial" w:hAnsi="Arial"/>
          <w:b/>
          <w:bCs/>
          <w:color w:val="7E1210"/>
          <w:sz w:val="26"/>
          <w:szCs w:val="26"/>
        </w:rPr>
        <w:t xml:space="preserve">22. GOBIERNO</w:t>
      </w:r>
    </w:p>
    <w:p>
      <w:pPr>
        <w:pStyle w:val="ListParagraph"/>
        <w:numPr>
          <w:ilvl w:val="0"/>
          <w:numId w:val="1"/>
        </w:numPr>
        <w:spacing w:after="60" w:line="276"/>
      </w:pPr>
      <w:r>
        <w:rPr>
          <w:rFonts w:ascii="Arial" w:cs="Arial" w:eastAsia="Arial" w:hAnsi="Arial"/>
          <w:b/>
          <w:bCs/>
          <w:color w:val="2C2E35"/>
          <w:sz w:val="20"/>
          <w:szCs w:val="20"/>
        </w:rPr>
        <w:t xml:space="preserve">Reunión mensual de 30 minutos con gerencia:</w:t>
      </w:r>
      <w:r>
        <w:rPr>
          <w:rFonts w:ascii="Arial" w:cs="Arial" w:eastAsia="Arial" w:hAnsi="Arial"/>
          <w:color w:val="2C2E35"/>
          <w:sz w:val="20"/>
          <w:szCs w:val="20"/>
        </w:rPr>
        <w:t xml:space="preserve"> avance por proyecto en verde, ámbar o rojo; panel de marketing del CRM; decisión sobre la regla de inversión; y los bloqueos que solo gerencia destraba.</w:t>
      </w:r>
    </w:p>
    <w:p>
      <w:pPr>
        <w:pStyle w:val="ListParagraph"/>
        <w:numPr>
          <w:ilvl w:val="0"/>
          <w:numId w:val="1"/>
        </w:numPr>
        <w:spacing w:after="60" w:line="276"/>
      </w:pPr>
      <w:r>
        <w:rPr>
          <w:rFonts w:ascii="Arial" w:cs="Arial" w:eastAsia="Arial" w:hAnsi="Arial"/>
          <w:b/>
          <w:bCs/>
          <w:color w:val="2C2E35"/>
          <w:sz w:val="20"/>
          <w:szCs w:val="20"/>
        </w:rPr>
        <w:t xml:space="preserve">Límite de tres proyectos activos.</w:t>
      </w:r>
      <w:r>
        <w:rPr>
          <w:rFonts w:ascii="Arial" w:cs="Arial" w:eastAsia="Arial" w:hAnsi="Arial"/>
          <w:color w:val="2C2E35"/>
          <w:sz w:val="20"/>
          <w:szCs w:val="20"/>
        </w:rPr>
        <w:t xml:space="preserve"> Uno nuevo entra solo si otro termina o se pausa formalmente.</w:t>
      </w:r>
    </w:p>
    <w:p>
      <w:pPr>
        <w:pStyle w:val="ListParagraph"/>
        <w:numPr>
          <w:ilvl w:val="0"/>
          <w:numId w:val="1"/>
        </w:numPr>
        <w:spacing w:after="60" w:line="276"/>
      </w:pPr>
      <w:r>
        <w:rPr>
          <w:rFonts w:ascii="Arial" w:cs="Arial" w:eastAsia="Arial" w:hAnsi="Arial"/>
          <w:b/>
          <w:bCs/>
          <w:color w:val="2C2E35"/>
          <w:sz w:val="20"/>
          <w:szCs w:val="20"/>
        </w:rPr>
        <w:t xml:space="preserve">Control de cambios en simple:</w:t>
      </w:r>
      <w:r>
        <w:rPr>
          <w:rFonts w:ascii="Arial" w:cs="Arial" w:eastAsia="Arial" w:hAnsi="Arial"/>
          <w:color w:val="2C2E35"/>
          <w:sz w:val="20"/>
          <w:szCs w:val="20"/>
        </w:rPr>
        <w:t xml:space="preserve"> todo pedido nuevo se anota, se estima en horas y entra a la cola priorizada; nunca interrumpe lo activo.</w:t>
      </w:r>
    </w:p>
    <w:p>
      <w:pPr>
        <w:pStyle w:val="ListParagraph"/>
        <w:numPr>
          <w:ilvl w:val="0"/>
          <w:numId w:val="1"/>
        </w:numPr>
        <w:spacing w:after="60" w:line="276"/>
      </w:pPr>
      <w:r>
        <w:rPr>
          <w:rFonts w:ascii="Arial" w:cs="Arial" w:eastAsia="Arial" w:hAnsi="Arial"/>
          <w:b/>
          <w:bCs/>
          <w:color w:val="2C2E35"/>
          <w:sz w:val="20"/>
          <w:szCs w:val="20"/>
        </w:rPr>
        <w:t xml:space="preserve">Una sola fuente de verdad:</w:t>
      </w:r>
      <w:r>
        <w:rPr>
          <w:rFonts w:ascii="Arial" w:cs="Arial" w:eastAsia="Arial" w:hAnsi="Arial"/>
          <w:color w:val="2C2E35"/>
          <w:sz w:val="20"/>
          <w:szCs w:val="20"/>
        </w:rPr>
        <w:t xml:space="preserve"> el panel del CRM. Si un número no está ahí, se agrega al CRM; no se lleva en un Excel paralelo.</w:t>
      </w:r>
    </w:p>
    <w:p>
      <w:pPr>
        <w:pStyle w:val="ListParagraph"/>
        <w:numPr>
          <w:ilvl w:val="0"/>
          <w:numId w:val="1"/>
        </w:numPr>
        <w:spacing w:after="60" w:line="276"/>
      </w:pPr>
      <w:r>
        <w:rPr>
          <w:rFonts w:ascii="Arial" w:cs="Arial" w:eastAsia="Arial" w:hAnsi="Arial"/>
          <w:b/>
          <w:bCs/>
          <w:color w:val="2C2E35"/>
          <w:sz w:val="20"/>
          <w:szCs w:val="20"/>
        </w:rPr>
        <w:t xml:space="preserve">Regla nueva (v2.0): ningún proyecto arranca sin su indicador en el CRM.</w:t>
      </w:r>
      <w:r>
        <w:rPr>
          <w:rFonts w:ascii="Arial" w:cs="Arial" w:eastAsia="Arial" w:hAnsi="Arial"/>
          <w:color w:val="2C2E35"/>
          <w:sz w:val="20"/>
          <w:szCs w:val="20"/>
        </w:rPr>
        <w:t xml:space="preserve"> Si no se puede medir el resultado con un dato que el sistema ya registra, primero se construye la medición. Es la lección de este replanteo.</w:t>
      </w:r>
    </w:p>
    <w:p>
      <w:pPr>
        <w:pStyle w:val="Heading1"/>
        <w:spacing w:after="160" w:before="380"/>
      </w:pPr>
      <w:r>
        <w:rPr>
          <w:rFonts w:ascii="Arial" w:cs="Arial" w:eastAsia="Arial" w:hAnsi="Arial"/>
          <w:b/>
          <w:bCs/>
          <w:color w:val="7E1210"/>
          <w:sz w:val="26"/>
          <w:szCs w:val="26"/>
        </w:rPr>
        <w:t xml:space="preserve">23. DECISIONES QUE NECESITA DE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7%"/>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Decisión</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Para cuándo</w:t>
            </w:r>
          </w:p>
        </w:tc>
        <w:tc>
          <w:tcPr>
            <w:tcW w:type="pct" w:w="33%"/>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Qué bloquea si no llega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Margen bruto real por línea</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vie 29 de agosto</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Toda la economía del plan: cuánto se puede pagar por una venta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Política: toda venta y toda cotización nace en el CRM</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vie 29 de agosto</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P10 completo y, con él, la confiabilidad de todos los indicadores</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GO/NO-GO de Expomina y asistentes</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vie 22 de agosto</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P2 completo (la feria es el 9 de septiembre)</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Presupuesto: S/ 1.500 al mes más S/ 1.500-3.000 por una vez</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vie 29 de agosto</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P5 y P2</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5</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Condición comercial para reactivar cotizaciones</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15 de septiembre</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P11.3 y P11.4: la campaña sobre 1.317 clientes</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Lista de precios de servicio, mantenimiento y repuestos</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septiembre</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P12.4: la oferta de recompra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7</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Catálogo de productos con precios</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cuanto antes</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P9.6 (catálogo maestro), P6.3 y el lote 2 de video</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8</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Subdominio y web nueva</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cuanto antes</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P6 y la calculadora como imán de leads</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9</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Qué se le da a quien refiere</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octubre 2026</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P7.5, el programa de referidos</w:t>
            </w:r>
          </w:p>
        </w:tc>
      </w:tr>
    </w:tbl>
    <w:p>
      <w:pPr>
        <w:spacing w:after="60"/>
      </w:pPr>
    </w:p>
    <w:p>
      <w:pPr>
        <w:spacing w:after="120" w:line="276"/>
      </w:pPr>
      <w:r>
        <w:rPr>
          <w:rFonts w:ascii="Arial" w:cs="Arial" w:eastAsia="Arial" w:hAnsi="Arial"/>
          <w:b/>
          <w:bCs/>
          <w:color w:val="2C2E35"/>
          <w:sz w:val="20"/>
          <w:szCs w:val="20"/>
        </w:rPr>
        <w:t xml:space="preserve">Con las decisiones 1, 2 y 3 tomadas esta semana, el portafolio arranca el lunes 24 de agosto sin esperar nada más.</w:t>
      </w:r>
      <w:r>
        <w:rPr>
          <w:rFonts w:ascii="Arial" w:cs="Arial" w:eastAsia="Arial" w:hAnsi="Arial"/>
          <w:color w:val="2C2E35"/>
          <w:sz w:val="20"/>
          <w:szCs w:val="20"/>
        </w:rPr>
        <w:t xml:space="preserve"> Las tres son de conversación, no de presupuesto: cuánto margen deja una venta, dónde se registra el trabajo y quién va a la feria.</w:t>
      </w:r>
    </w:p>
    <w:p>
      <w:pPr>
        <w:pStyle w:val="Heading1"/>
        <w:spacing w:after="160" w:before="380"/>
      </w:pPr>
      <w:r>
        <w:rPr>
          <w:rFonts w:ascii="Arial" w:cs="Arial" w:eastAsia="Arial" w:hAnsi="Arial"/>
          <w:b/>
          <w:bCs/>
          <w:color w:val="7E1210"/>
          <w:sz w:val="26"/>
          <w:szCs w:val="26"/>
        </w:rPr>
        <w:t xml:space="preserve">FUENTES</w:t>
      </w:r>
    </w:p>
    <w:p>
      <w:pPr>
        <w:pStyle w:val="ListParagraph"/>
        <w:numPr>
          <w:ilvl w:val="0"/>
          <w:numId w:val="1"/>
        </w:numPr>
        <w:spacing w:after="60" w:line="276"/>
      </w:pPr>
      <w:r>
        <w:rPr>
          <w:rFonts w:ascii="Arial" w:cs="Arial" w:eastAsia="Arial" w:hAnsi="Arial"/>
          <w:color w:val="2C2E35"/>
          <w:sz w:val="20"/>
          <w:szCs w:val="20"/>
        </w:rPr>
        <w:t xml:space="preserve">Datos internos: base de datos del CRM Efameinsa consultada el 20 de agosto de 2026 — ventas, cotizaciones históricas, leads, gasto de campañas y distribución del valor de vida del cliente. Las cifras de ventas son posteriores a la corrección de 268 registros duplicados aplicada el 20 de agosto.</w:t>
      </w:r>
    </w:p>
    <w:p>
      <w:pPr>
        <w:pStyle w:val="ListParagraph"/>
        <w:numPr>
          <w:ilvl w:val="0"/>
          <w:numId w:val="1"/>
        </w:numPr>
        <w:spacing w:after="60" w:line="276"/>
      </w:pPr>
      <w:r>
        <w:rPr>
          <w:rFonts w:ascii="Arial" w:cs="Arial" w:eastAsia="Arial" w:hAnsi="Arial"/>
          <w:color w:val="2C2E35"/>
          <w:sz w:val="20"/>
          <w:szCs w:val="20"/>
        </w:rPr>
        <w:t xml:space="preserve">Competencia y ferias: sin cambios respecto de la versión 1.0 (sitios públicos de Panamerican Trading, SERFAC, Novinsa, JK Importación y Gonvasur; expominaperu.com, gastromaq.pe). No se repitió la consulta: verificar fechas antes de comprometer presupuesto de participación.</w:t>
      </w:r>
    </w:p>
    <w:p>
      <w:pPr>
        <w:spacing w:after="160" w:line="276"/>
      </w:pPr>
      <w:r>
        <w:rPr>
          <w:rFonts w:ascii="Arial" w:cs="Arial" w:eastAsia="Arial" w:hAnsi="Arial"/>
          <w:i/>
          <w:iCs/>
          <w:color w:val="6B6B6B"/>
          <w:sz w:val="17"/>
          <w:szCs w:val="17"/>
        </w:rPr>
        <w:t xml:space="preserve">Documento vivo: se replanifica en la reunión mensual de 30 minutos con gerencia. Versión final del 20 de agosto de 2026; reemplaza al Plan de Marketing y a la Gestión de Proyectos entregados el 19 de agosto, que quedan sin efecto.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Elaborado por Santos Lenin Vilcachagua Ayala · Página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Efameinsa · Plan de Marketing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E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932242958626f1962adff1f1be4863f1f944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Marketing 2026-2027 — Efameinsa</dc:title>
  <dc:creator>Santos Lenin Vilcachagua Ayala</dc:creator>
  <cp:lastModifiedBy>Un-named</cp:lastModifiedBy>
  <cp:revision>1</cp:revision>
  <dcterms:created xsi:type="dcterms:W3CDTF">2026-08-19T18:23:53.769Z</dcterms:created>
  <dcterms:modified xsi:type="dcterms:W3CDTF">2026-08-19T18:23:53.770Z</dcterms:modified>
</cp:coreProperties>
</file>

<file path=docProps/custom.xml><?xml version="1.0" encoding="utf-8"?>
<Properties xmlns="http://schemas.openxmlformats.org/officeDocument/2006/custom-properties" xmlns:vt="http://schemas.openxmlformats.org/officeDocument/2006/docPropsVTypes"/>
</file>