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pPr>
      <w:r>
        <w:drawing>
          <wp:inline distT="0" distB="0" distL="0" distR="0">
            <wp:extent cx="28575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66725"/>
                    </a:xfrm>
                    <a:prstGeom prst="rect">
                      <a:avLst/>
                    </a:prstGeom>
                  </pic:spPr>
                </pic:pic>
              </a:graphicData>
            </a:graphic>
          </wp:inline>
        </w:drawing>
      </w:r>
    </w:p>
    <w:p>
      <w:pPr>
        <w:spacing w:after="120"/>
      </w:pPr>
      <w:r>
        <w:rPr>
          <w:rFonts w:ascii="Arial" w:cs="Arial" w:eastAsia="Arial" w:hAnsi="Arial"/>
          <w:b/>
          <w:bCs/>
          <w:color w:val="7E1210"/>
          <w:sz w:val="40"/>
          <w:szCs w:val="40"/>
        </w:rPr>
        <w:t xml:space="preserve">BITÁCORA DE CAMBIOS Y OBSERVACIONES</w:t>
      </w:r>
    </w:p>
    <w:p>
      <w:pPr>
        <w:spacing w:after="80"/>
      </w:pPr>
      <w:r>
        <w:rPr>
          <w:rFonts w:ascii="Arial" w:cs="Arial" w:eastAsia="Arial" w:hAnsi="Arial"/>
          <w:color w:val="2C2E35"/>
          <w:sz w:val="26"/>
          <w:szCs w:val="26"/>
        </w:rPr>
        <w:t xml:space="preserve">CRM Efameinsa · Reportes de gerencia, integración Meta Ads y carga histórica</w:t>
      </w:r>
    </w:p>
    <w:p>
      <w:pPr>
        <w:spacing w:after="40"/>
      </w:pPr>
      <w:r>
        <w:rPr>
          <w:rFonts w:ascii="Arial" w:cs="Arial" w:eastAsia="Arial" w:hAnsi="Arial"/>
          <w:color w:val="6B6B6B"/>
          <w:sz w:val="22"/>
          <w:szCs w:val="22"/>
        </w:rPr>
        <w:t xml:space="preserve">Fecha: 18 de agosto de 2026</w:t>
      </w:r>
    </w:p>
    <w:p>
      <w:pPr>
        <w:spacing w:after="40"/>
      </w:pPr>
      <w:r>
        <w:rPr>
          <w:rFonts w:ascii="Arial" w:cs="Arial" w:eastAsia="Arial" w:hAnsi="Arial"/>
          <w:color w:val="6B6B6B"/>
          <w:sz w:val="22"/>
          <w:szCs w:val="22"/>
        </w:rPr>
        <w:t xml:space="preserve">Elaborado por: Santos Lenin Vilcachagua Ayala</w:t>
      </w:r>
    </w:p>
    <w:p>
      <w:pPr>
        <w:spacing w:after="40"/>
      </w:pPr>
      <w:r>
        <w:rPr>
          <w:rFonts w:ascii="Arial" w:cs="Arial" w:eastAsia="Arial" w:hAnsi="Arial"/>
          <w:color w:val="6B6B6B"/>
          <w:sz w:val="22"/>
          <w:szCs w:val="22"/>
        </w:rPr>
        <w:t xml:space="preserve">Dirigido a: Gerencia Comercial Efameinsa</w:t>
      </w:r>
    </w:p>
    <w:p>
      <w:pPr>
        <w:spacing w:after="40"/>
      </w:pPr>
      <w:r>
        <w:rPr>
          <w:rFonts w:ascii="Arial" w:cs="Arial" w:eastAsia="Arial" w:hAnsi="Arial"/>
          <w:color w:val="6B6B6B"/>
          <w:sz w:val="22"/>
          <w:szCs w:val="22"/>
        </w:rPr>
        <w:t xml:space="preserve">Sistema en producción: crm-efameinsa.vercel.app</w:t>
      </w:r>
    </w:p>
    <w:p>
      <w:pPr>
        <w:pageBreakBefore/>
      </w:pPr>
    </w:p>
    <w:p>
      <w:pPr>
        <w:pStyle w:val="Heading1"/>
        <w:spacing w:after="160" w:before="360"/>
      </w:pPr>
      <w:r>
        <w:rPr>
          <w:rFonts w:ascii="Arial" w:cs="Arial" w:eastAsia="Arial" w:hAnsi="Arial"/>
          <w:b/>
          <w:bCs/>
          <w:color w:val="7E1210"/>
          <w:sz w:val="26"/>
          <w:szCs w:val="26"/>
        </w:rPr>
        <w:t xml:space="preserve">1. RESUMEN EJECUTIVO</w:t>
      </w:r>
    </w:p>
    <w:p>
      <w:pPr>
        <w:spacing w:after="120" w:before="0" w:line="276"/>
      </w:pPr>
      <w:r>
        <w:rPr>
          <w:rFonts w:ascii="Arial" w:cs="Arial" w:eastAsia="Arial" w:hAnsi="Arial"/>
          <w:color w:val="2C2E35"/>
          <w:sz w:val="20"/>
          <w:szCs w:val="20"/>
        </w:rPr>
        <w:t xml:space="preserve">Este documento registra el trabajo realizado el 18 de agosto de 2026 sobre el CRM Efameinsa, con tres frentes: (a) la carga de las ventas históricas de las hojas COTIZ de cada comercial, (b) la conexión del gasto de Meta Ads con actualización diaria automática y (c) una auditoría de cómo circula la información dentro del sistema, que derivó en la reconstrucción de los reportes de gerencia para que sean fiables, filtrables y comparables.</w:t>
      </w:r>
    </w:p>
    <w:p>
      <w:pPr>
        <w:spacing w:after="120" w:before="0" w:line="276"/>
      </w:pPr>
      <w:r>
        <w:rPr>
          <w:rFonts w:ascii="Arial" w:cs="Arial" w:eastAsia="Arial" w:hAnsi="Arial"/>
          <w:color w:val="2C2E35"/>
          <w:sz w:val="20"/>
          <w:szCs w:val="20"/>
        </w:rPr>
        <w:t xml:space="preserve">Se corrigieron seis problemas que afectaban directamente la exactitud de lo que gerencia veía en pantalla (sección 3), se agregaron indicadores nuevos que antes no existían —recurrencia, valor de vida del cliente, vía de adquisición de cada venta, tasa de cierre, CPL/CPA/ROAS con moneda coherente— y se dejó explícito, dentro del propio panel, qué limitaciones de los datos históricos condicionan cada número (sección 5).</w:t>
      </w:r>
    </w:p>
    <w:p>
      <w:pPr>
        <w:spacing w:after="120" w:before="0" w:line="276"/>
      </w:pPr>
      <w:r>
        <w:rPr>
          <w:rFonts w:ascii="Arial" w:cs="Arial" w:eastAsia="Arial" w:hAnsi="Arial"/>
          <w:color w:val="2C2E35"/>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Frente</w:t>
            </w:r>
          </w:p>
        </w:tc>
        <w:tc>
          <w:tcPr>
            <w:tcW w:type="pct" w:w="3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Estado</w:t>
            </w:r>
          </w:p>
        </w:tc>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Dónde se ve</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históricas (1.560 filas COTIZ)</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Cargadas con RUC/DNI, procedencia y código de Central; 1.454 enlazadas a clientes existentes</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Panel comercial · Clientes · fichas de cliente</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Meta Ads: gasto histórico + cron diario</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Funcionando (307 días×campaña, S/ 4.194,88; cron 06:00 Lima)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Panel de marketing</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Reportes de gerencia</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Reconstruidos sobre agregación en base de datos</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Panel comercial · Panel de marketing · Detalle por comercial</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Atribución de ventas a publicidad</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Criterios definidos; 5 ventas de leads de Google Ads enlazadas; historial por procedencia declarada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Panel comercial (De dónde vienen las ventas) · Panel de marketing (embudo real)</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Lista de clientes</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Paginada (15.103 clientes, 303 páginas), con filtros y orden</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Clientes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Velocímetro por comercial</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Corregido (mostraba 0 por consulta fallida)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Detalle por comercial · Mi gestión</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Experiencia de uso</w:t>
            </w:r>
          </w:p>
        </w:tc>
        <w:tc>
          <w:tcPr>
            <w:tcW w:type="pct" w:w="3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Cursor de mano, filtros sin recarga, esqueletos de carga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Toda el área de gerencia</w:t>
            </w:r>
          </w:p>
        </w:tc>
      </w:tr>
    </w:tbl>
    <w:p>
      <w:pPr>
        <w:pStyle w:val="Heading1"/>
        <w:spacing w:after="160" w:before="360"/>
      </w:pPr>
      <w:r>
        <w:rPr>
          <w:rFonts w:ascii="Arial" w:cs="Arial" w:eastAsia="Arial" w:hAnsi="Arial"/>
          <w:b/>
          <w:bCs/>
          <w:color w:val="7E1210"/>
          <w:sz w:val="26"/>
          <w:szCs w:val="26"/>
        </w:rPr>
        <w:t xml:space="preserve">2. CÓMO CIRCULA LA INFORMACIÓN EN EL CRM</w:t>
      </w:r>
    </w:p>
    <w:p>
      <w:pPr>
        <w:spacing w:after="120" w:before="0" w:line="276"/>
      </w:pPr>
      <w:r>
        <w:rPr>
          <w:rFonts w:ascii="Arial" w:cs="Arial" w:eastAsia="Arial" w:hAnsi="Arial"/>
          <w:color w:val="2C2E35"/>
          <w:sz w:val="20"/>
          <w:szCs w:val="20"/>
        </w:rPr>
        <w:t xml:space="preserve">Antes de tocar los reportes se levantó el recorrido completo de un dato desde que entra hasta que aparece en un indicador. Es el mapa que justifica cada corrección de la sección 3.</w:t>
      </w:r>
    </w:p>
    <w:p>
      <w:pPr>
        <w:pStyle w:val="Heading2"/>
        <w:spacing w:after="100" w:before="240"/>
      </w:pPr>
      <w:r>
        <w:rPr>
          <w:rFonts w:ascii="Arial" w:cs="Arial" w:eastAsia="Arial" w:hAnsi="Arial"/>
          <w:b/>
          <w:bCs/>
          <w:color w:val="2C2E35"/>
          <w:sz w:val="22"/>
          <w:szCs w:val="22"/>
        </w:rPr>
        <w:t xml:space="preserve">2.1 Entradas</w:t>
      </w:r>
    </w:p>
    <w:p>
      <w:pPr>
        <w:pStyle w:val="ListParagraph"/>
        <w:numPr>
          <w:ilvl w:val="0"/>
          <w:numId w:val="1"/>
        </w:numPr>
        <w:spacing w:after="60" w:line="276"/>
      </w:pPr>
      <w:r>
        <w:rPr>
          <w:rFonts w:ascii="Arial" w:cs="Arial" w:eastAsia="Arial" w:hAnsi="Arial"/>
          <w:b/>
          <w:bCs/>
          <w:color w:val="2C2E35"/>
          <w:sz w:val="20"/>
          <w:szCs w:val="20"/>
        </w:rPr>
        <w:t xml:space="preserve">Formularios de Google Ads: </w:t>
      </w:r>
      <w:r>
        <w:rPr>
          <w:rFonts w:ascii="Arial" w:cs="Arial" w:eastAsia="Arial" w:hAnsi="Arial"/>
          <w:color w:val="2C2E35"/>
          <w:sz w:val="20"/>
          <w:szCs w:val="20"/>
        </w:rPr>
        <w:t xml:space="preserve">llegan en tiempo real al webhook /api/webhooks/google-leads con campaña de origen (utm_campaign = ID de campaña) y crean un lead en estado "pendiente de triaje" en la bandeja de Central. Los anteriores a la conexión del webhook (439) se rescataron de reportes descargados a mano y se cargaron como "histórico" (gestionados fuera del CRM, sin desenlace registrado).</w:t>
      </w:r>
    </w:p>
    <w:p>
      <w:pPr>
        <w:pStyle w:val="ListParagraph"/>
        <w:numPr>
          <w:ilvl w:val="0"/>
          <w:numId w:val="1"/>
        </w:numPr>
        <w:spacing w:after="60" w:line="276"/>
      </w:pPr>
      <w:r>
        <w:rPr>
          <w:rFonts w:ascii="Arial" w:cs="Arial" w:eastAsia="Arial" w:hAnsi="Arial"/>
          <w:b/>
          <w:bCs/>
          <w:color w:val="2C2E35"/>
          <w:sz w:val="20"/>
          <w:szCs w:val="20"/>
        </w:rPr>
        <w:t xml:space="preserve">Contactos registrados por Central: </w:t>
      </w:r>
      <w:r>
        <w:rPr>
          <w:rFonts w:ascii="Arial" w:cs="Arial" w:eastAsia="Arial" w:hAnsi="Arial"/>
          <w:color w:val="2C2E35"/>
          <w:sz w:val="20"/>
          <w:szCs w:val="20"/>
        </w:rPr>
        <w:t xml:space="preserve">llamadas, correos, WhatsApp, presencial. Central los tipea en Registrar contacto con su canal; no traen campaña.</w:t>
      </w:r>
    </w:p>
    <w:p>
      <w:pPr>
        <w:pStyle w:val="ListParagraph"/>
        <w:numPr>
          <w:ilvl w:val="0"/>
          <w:numId w:val="1"/>
        </w:numPr>
        <w:spacing w:after="60" w:line="276"/>
      </w:pPr>
      <w:r>
        <w:rPr>
          <w:rFonts w:ascii="Arial" w:cs="Arial" w:eastAsia="Arial" w:hAnsi="Arial"/>
          <w:b/>
          <w:bCs/>
          <w:color w:val="2C2E35"/>
          <w:sz w:val="20"/>
          <w:szCs w:val="20"/>
        </w:rPr>
        <w:t xml:space="preserve">Gasto publicitario: </w:t>
      </w:r>
      <w:r>
        <w:rPr>
          <w:rFonts w:ascii="Arial" w:cs="Arial" w:eastAsia="Arial" w:hAnsi="Arial"/>
          <w:color w:val="2C2E35"/>
          <w:sz w:val="20"/>
          <w:szCs w:val="20"/>
        </w:rPr>
        <w:t xml:space="preserve">Meta Ads entra solo cada mañana por el cron /api/cron/gasto-diario (API de Meta, permiso ads_read, cuenta "Efameinsa CP", moneda PEN). Google Ads sigue entrando por Make.com al mismo endpoint /api/gasto-campania.</w:t>
      </w:r>
    </w:p>
    <w:p>
      <w:pPr>
        <w:pStyle w:val="ListParagraph"/>
        <w:numPr>
          <w:ilvl w:val="0"/>
          <w:numId w:val="1"/>
        </w:numPr>
        <w:spacing w:after="60" w:line="276"/>
      </w:pPr>
      <w:r>
        <w:rPr>
          <w:rFonts w:ascii="Arial" w:cs="Arial" w:eastAsia="Arial" w:hAnsi="Arial"/>
          <w:b/>
          <w:bCs/>
          <w:color w:val="2C2E35"/>
          <w:sz w:val="20"/>
          <w:szCs w:val="20"/>
        </w:rPr>
        <w:t xml:space="preserve">Ventas históricas: </w:t>
      </w:r>
      <w:r>
        <w:rPr>
          <w:rFonts w:ascii="Arial" w:cs="Arial" w:eastAsia="Arial" w:hAnsi="Arial"/>
          <w:color w:val="2C2E35"/>
          <w:sz w:val="20"/>
          <w:szCs w:val="20"/>
        </w:rPr>
        <w:t xml:space="preserve">1.560 filas de las hojas VENTA/COTIZ de los Excel por comercial (C1, C2, C4, C5, C8, C9), importadas como oportunidades cerradas en etapa venta; 847 con monto (van a la tabla ventas), 713 sin monto (cuentan como venta pero no suman dinero). Cada fila trae además la procedencia que declaró el comercial (PROV_PROSP) y el código PRO de Central (COD_MKT), que se conservan en la oportunidad.</w:t>
      </w:r>
    </w:p>
    <w:p>
      <w:pPr>
        <w:pStyle w:val="Heading2"/>
        <w:spacing w:after="100" w:before="240"/>
      </w:pPr>
      <w:r>
        <w:rPr>
          <w:rFonts w:ascii="Arial" w:cs="Arial" w:eastAsia="Arial" w:hAnsi="Arial"/>
          <w:b/>
          <w:bCs/>
          <w:color w:val="2C2E35"/>
          <w:sz w:val="22"/>
          <w:szCs w:val="22"/>
        </w:rPr>
        <w:t xml:space="preserve">2.2 Recorrido</w:t>
      </w:r>
    </w:p>
    <w:p>
      <w:pPr>
        <w:spacing w:after="120" w:before="0" w:line="276"/>
      </w:pPr>
      <w:r>
        <w:rPr>
          <w:rFonts w:ascii="Arial" w:cs="Arial" w:eastAsia="Arial" w:hAnsi="Arial"/>
          <w:color w:val="2C2E35"/>
          <w:sz w:val="20"/>
          <w:szCs w:val="20"/>
        </w:rPr>
        <w:t xml:space="preserve">Lead → (Central asigna) → Cuenta + Oportunidad con lead_id → gestiones/actividades → cotización (serie EFAMEINSA u OPEN) → registrar_venta() → tabla ventas → trigger actualiza última venta de la cuenta (regla de cartera de 6 meses).</w:t>
      </w:r>
    </w:p>
    <w:p>
      <w:pPr>
        <w:spacing w:after="120" w:before="0" w:line="276"/>
      </w:pPr>
      <w:r>
        <w:rPr>
          <w:rFonts w:ascii="Arial" w:cs="Arial" w:eastAsia="Arial" w:hAnsi="Arial"/>
          <w:color w:val="2C2E35"/>
          <w:sz w:val="20"/>
          <w:szCs w:val="20"/>
        </w:rPr>
        <w:t xml:space="preserve">La atribución de una venta a una campaña depende exclusivamente de que la oportunidad tenga lead_id y ese lead tenga utm_campaign. Hoy eso ocurre automáticamente para todo lead nuevo que Central asigne; para el pasado no existe (ver 5.2).</w:t>
      </w:r>
    </w:p>
    <w:p>
      <w:pPr>
        <w:pStyle w:val="Heading2"/>
        <w:spacing w:after="100" w:before="240"/>
      </w:pPr>
      <w:r>
        <w:rPr>
          <w:rFonts w:ascii="Arial" w:cs="Arial" w:eastAsia="Arial" w:hAnsi="Arial"/>
          <w:b/>
          <w:bCs/>
          <w:color w:val="2C2E35"/>
          <w:sz w:val="22"/>
          <w:szCs w:val="22"/>
        </w:rPr>
        <w:t xml:space="preserve">2.3 Salidas</w:t>
      </w:r>
    </w:p>
    <w:p>
      <w:pPr>
        <w:pStyle w:val="ListParagraph"/>
        <w:numPr>
          <w:ilvl w:val="0"/>
          <w:numId w:val="1"/>
        </w:numPr>
        <w:spacing w:after="60" w:line="276"/>
      </w:pPr>
      <w:r>
        <w:rPr>
          <w:rFonts w:ascii="Arial" w:cs="Arial" w:eastAsia="Arial" w:hAnsi="Arial"/>
          <w:b/>
          <w:bCs/>
          <w:color w:val="2C2E35"/>
          <w:sz w:val="20"/>
          <w:szCs w:val="20"/>
        </w:rPr>
        <w:t xml:space="preserve">Panel comercial (/gerencia): </w:t>
      </w:r>
      <w:r>
        <w:rPr>
          <w:rFonts w:ascii="Arial" w:cs="Arial" w:eastAsia="Arial" w:hAnsi="Arial"/>
          <w:color w:val="2C2E35"/>
          <w:sz w:val="20"/>
          <w:szCs w:val="20"/>
        </w:rPr>
        <w:t xml:space="preserve">ventas, ticket, clientes, pipeline, ventas por mes, embudo, rendimiento por comercial, vía de adquisición, recurrencia/CLTV, top clientes.</w:t>
      </w:r>
    </w:p>
    <w:p>
      <w:pPr>
        <w:pStyle w:val="ListParagraph"/>
        <w:numPr>
          <w:ilvl w:val="0"/>
          <w:numId w:val="1"/>
        </w:numPr>
        <w:spacing w:after="60" w:line="276"/>
      </w:pPr>
      <w:r>
        <w:rPr>
          <w:rFonts w:ascii="Arial" w:cs="Arial" w:eastAsia="Arial" w:hAnsi="Arial"/>
          <w:b/>
          <w:bCs/>
          <w:color w:val="2C2E35"/>
          <w:sz w:val="20"/>
          <w:szCs w:val="20"/>
        </w:rPr>
        <w:t xml:space="preserve">Panel de marketing: </w:t>
      </w:r>
      <w:r>
        <w:rPr>
          <w:rFonts w:ascii="Arial" w:cs="Arial" w:eastAsia="Arial" w:hAnsi="Arial"/>
          <w:color w:val="2C2E35"/>
          <w:sz w:val="20"/>
          <w:szCs w:val="20"/>
        </w:rPr>
        <w:t xml:space="preserve">gasto, impresiones, clics, conversiones declaradas por la plataforma, contactos por origen, embudo real lead→oportunidad→venta, CPL, CPA, ROAS, rendimiento por campaña.</w:t>
      </w:r>
    </w:p>
    <w:p>
      <w:pPr>
        <w:pStyle w:val="ListParagraph"/>
        <w:numPr>
          <w:ilvl w:val="0"/>
          <w:numId w:val="1"/>
        </w:numPr>
        <w:spacing w:after="60" w:line="276"/>
      </w:pPr>
      <w:r>
        <w:rPr>
          <w:rFonts w:ascii="Arial" w:cs="Arial" w:eastAsia="Arial" w:hAnsi="Arial"/>
          <w:b/>
          <w:bCs/>
          <w:color w:val="2C2E35"/>
          <w:sz w:val="20"/>
          <w:szCs w:val="20"/>
        </w:rPr>
        <w:t xml:space="preserve">Detalle por comercial / Mi gestión: </w:t>
      </w:r>
      <w:r>
        <w:rPr>
          <w:rFonts w:ascii="Arial" w:cs="Arial" w:eastAsia="Arial" w:hAnsi="Arial"/>
          <w:color w:val="2C2E35"/>
          <w:sz w:val="20"/>
          <w:szCs w:val="20"/>
        </w:rPr>
        <w:t xml:space="preserve">velocímetro contra meta, ventas, cotizaciones, pipeline, cierre y rechazos, top clientes.</w:t>
      </w:r>
    </w:p>
    <w:p>
      <w:pPr>
        <w:pStyle w:val="ListParagraph"/>
        <w:numPr>
          <w:ilvl w:val="0"/>
          <w:numId w:val="1"/>
        </w:numPr>
        <w:spacing w:after="60" w:line="276"/>
      </w:pPr>
      <w:r>
        <w:rPr>
          <w:rFonts w:ascii="Arial" w:cs="Arial" w:eastAsia="Arial" w:hAnsi="Arial"/>
          <w:b/>
          <w:bCs/>
          <w:color w:val="2C2E35"/>
          <w:sz w:val="20"/>
          <w:szCs w:val="20"/>
        </w:rPr>
        <w:t xml:space="preserve">Clientes: </w:t>
      </w:r>
      <w:r>
        <w:rPr>
          <w:rFonts w:ascii="Arial" w:cs="Arial" w:eastAsia="Arial" w:hAnsi="Arial"/>
          <w:color w:val="2C2E35"/>
          <w:sz w:val="20"/>
          <w:szCs w:val="20"/>
        </w:rPr>
        <w:t xml:space="preserve">listado paginado con compras, valor comprado y última venta.</w:t>
      </w:r>
    </w:p>
    <w:p>
      <w:pPr>
        <w:spacing w:after="120" w:before="0" w:line="276"/>
      </w:pPr>
      <w:r>
        <w:rPr>
          <w:rFonts w:ascii="Arial" w:cs="Arial" w:eastAsia="Arial" w:hAnsi="Arial"/>
          <w:color w:val="2C2E35"/>
          <w:sz w:val="20"/>
          <w:szCs w:val="20"/>
        </w:rPr>
        <w:t xml:space="preserve">Toda la agregación de estas salidas vive ahora en dos funciones de la base de datos Supabase (resumen_gerencia y listar_clientes, migraciones 0020 y 0021) y en la vista v_ventas_detalle. La aplicación solo las llama con el período y los filtros elegidos; no hace cálculos en memoria.</w:t>
      </w:r>
    </w:p>
    <w:p>
      <w:pPr>
        <w:pStyle w:val="Heading1"/>
        <w:spacing w:after="160" w:before="360"/>
      </w:pPr>
      <w:r>
        <w:rPr>
          <w:rFonts w:ascii="Arial" w:cs="Arial" w:eastAsia="Arial" w:hAnsi="Arial"/>
          <w:b/>
          <w:bCs/>
          <w:color w:val="7E1210"/>
          <w:sz w:val="26"/>
          <w:szCs w:val="26"/>
        </w:rPr>
        <w:t xml:space="preserve">3. PROBLEMAS DE FIABILIDAD DETECTADOS Y CORREGIDOS</w:t>
      </w:r>
    </w:p>
    <w:p>
      <w:pPr>
        <w:spacing w:after="120" w:before="0" w:line="276"/>
      </w:pPr>
      <w:r>
        <w:rPr>
          <w:rFonts w:ascii="Arial" w:cs="Arial" w:eastAsia="Arial" w:hAnsi="Arial"/>
          <w:color w:val="2C2E35"/>
          <w:sz w:val="20"/>
          <w:szCs w:val="20"/>
        </w:rPr>
        <w:t xml:space="preserve">Cada punto describe qué se veía mal, por qué, y qué se hizo.</w:t>
      </w:r>
    </w:p>
    <w:p>
      <w:pPr>
        <w:pStyle w:val="Heading2"/>
        <w:spacing w:after="100" w:before="240"/>
      </w:pPr>
      <w:r>
        <w:rPr>
          <w:rFonts w:ascii="Arial" w:cs="Arial" w:eastAsia="Arial" w:hAnsi="Arial"/>
          <w:b/>
          <w:bCs/>
          <w:color w:val="2C2E35"/>
          <w:sz w:val="22"/>
          <w:szCs w:val="22"/>
        </w:rPr>
        <w:t xml:space="preserve">3.1 Los reportes de gerencia estaban truncados a 1.000 filas</w:t>
      </w:r>
    </w:p>
    <w:p>
      <w:pPr>
        <w:spacing w:after="120" w:before="0" w:line="276"/>
      </w:pPr>
      <w:r>
        <w:rPr>
          <w:rFonts w:ascii="Arial" w:cs="Arial" w:eastAsia="Arial" w:hAnsi="Arial"/>
          <w:color w:val="2C2E35"/>
          <w:sz w:val="20"/>
          <w:szCs w:val="20"/>
        </w:rPr>
        <w:t xml:space="preserve">La librería con la que la aplicación consulta Supabase devuelve como máximo 1.000 filas por consulta y no avisa cuando corta. El panel traía "todas las oportunidades" (1.568) para contarlas en memoria: el embudo y la tabla por comercial se calculaban sobre las primeras mil. Corrección: la agregación se movió a Postgres (funciones SQL), que cuenta sobre el total sin límite. Además el tiempo de respuesta bajó de 9,6 s (versión intermedia con RLS por fila) a 0,2 s.</w:t>
      </w:r>
    </w:p>
    <w:p>
      <w:pPr>
        <w:pStyle w:val="Heading2"/>
        <w:spacing w:after="100" w:before="240"/>
      </w:pPr>
      <w:r>
        <w:rPr>
          <w:rFonts w:ascii="Arial" w:cs="Arial" w:eastAsia="Arial" w:hAnsi="Arial"/>
          <w:b/>
          <w:bCs/>
          <w:color w:val="2C2E35"/>
          <w:sz w:val="22"/>
          <w:szCs w:val="22"/>
        </w:rPr>
        <w:t xml:space="preserve">3.2 El velocímetro de Katerine Tello (C5) mostraba mucho menos de lo real</w:t>
      </w:r>
    </w:p>
    <w:p>
      <w:pPr>
        <w:spacing w:after="120" w:before="0" w:line="276"/>
      </w:pPr>
      <w:r>
        <w:rPr>
          <w:rFonts w:ascii="Arial" w:cs="Arial" w:eastAsia="Arial" w:hAnsi="Arial"/>
          <w:color w:val="2C2E35"/>
          <w:sz w:val="20"/>
          <w:szCs w:val="20"/>
        </w:rPr>
        <w:t xml:space="preserve">El panel individual buscaba las ventas del comercial pasando en la URL la lista de sus ~800 oportunidades. Esa URL excede el largo permitido por PostgREST, la consulta fallaba y el velocímetro quedaba en cero. El dato real de agosto 2026 para C5 es US$ 81.526 en 9 ventas (65 % de la meta de US$ 125.000). Corrección: la misma función SQL entrega el resumen del comercial; el velocímetro compara vendido en el período contra meta mensual × meses del período.</w:t>
      </w:r>
    </w:p>
    <w:p>
      <w:pPr>
        <w:pStyle w:val="Heading2"/>
        <w:spacing w:after="100" w:before="240"/>
      </w:pPr>
      <w:r>
        <w:rPr>
          <w:rFonts w:ascii="Arial" w:cs="Arial" w:eastAsia="Arial" w:hAnsi="Arial"/>
          <w:b/>
          <w:bCs/>
          <w:color w:val="2C2E35"/>
          <w:sz w:val="22"/>
          <w:szCs w:val="22"/>
        </w:rPr>
        <w:t xml:space="preserve">3.3 Fecha de las ventas históricas desplazada</w:t>
      </w:r>
    </w:p>
    <w:p>
      <w:pPr>
        <w:spacing w:after="120" w:before="0" w:line="276"/>
      </w:pPr>
      <w:r>
        <w:rPr>
          <w:rFonts w:ascii="Arial" w:cs="Arial" w:eastAsia="Arial" w:hAnsi="Arial"/>
          <w:color w:val="2C2E35"/>
          <w:sz w:val="20"/>
          <w:szCs w:val="20"/>
        </w:rPr>
        <w:t xml:space="preserve">En la primera carga se usó como fecha de venta la columna F_ACCION (fecha de la próxima acción, que puede ser futura) en vez de F_ESTADO (fecha en que se marcó la venta). 259 ventas cambiaron de mes y una quedó en el futuro. Corrección: se revirtió la carga completa (en una sola transacción, sin dejar datos a medias) y se reimportó con la fecha correcta. Cada oportunidad y venta importada lleva ahora la marca origen = 'historico_excel', lo que permite excluirlas de cualquier reporte con un clic ("Incluir histórico Excel").</w:t>
      </w:r>
    </w:p>
    <w:p>
      <w:pPr>
        <w:pStyle w:val="Heading2"/>
        <w:spacing w:after="100" w:before="240"/>
      </w:pPr>
      <w:r>
        <w:rPr>
          <w:rFonts w:ascii="Arial" w:cs="Arial" w:eastAsia="Arial" w:hAnsi="Arial"/>
          <w:b/>
          <w:bCs/>
          <w:color w:val="2C2E35"/>
          <w:sz w:val="22"/>
          <w:szCs w:val="22"/>
        </w:rPr>
        <w:t xml:space="preserve">3.4 La primera extracción de ventas perdía el RUC/DNI, la procedencia y el código de Central</w:t>
      </w:r>
    </w:p>
    <w:p>
      <w:pPr>
        <w:spacing w:after="120" w:before="0" w:line="276"/>
      </w:pPr>
      <w:r>
        <w:rPr>
          <w:rFonts w:ascii="Arial" w:cs="Arial" w:eastAsia="Arial" w:hAnsi="Arial"/>
          <w:color w:val="2C2E35"/>
          <w:sz w:val="20"/>
          <w:szCs w:val="20"/>
        </w:rPr>
        <w:t xml:space="preserve">En la hoja COTIZ los datos del cliente (RUC/DNI, teléfono, correo, procedencia, código PRO) están en la fila de cabecera del prospecto; las filas de seguimiento —incluida la de venta— no los repiten. La primera extracción leía solo la fila de venta: 102 de 1.560 ventas con documento. Consecuencia: se crearon 833 cuentas nuevas sin documento que en realidad ya existían. Corrección: se reextrajo arrastrando la cabecera (1.454 con RUC/DNI, 1.532 con teléfono, 1.271 con correo, 1.560 con procedencia), se revirtió la carga completa y se reimportó enlazando por documento: 81 cuentas nuevas (27 sin documento) en vez de 833. Cada oportunidad guarda ahora la procedencia declarada y el código de Central.</w:t>
      </w:r>
    </w:p>
    <w:p>
      <w:pPr>
        <w:pStyle w:val="Heading2"/>
        <w:spacing w:after="100" w:before="240"/>
      </w:pPr>
      <w:r>
        <w:rPr>
          <w:rFonts w:ascii="Arial" w:cs="Arial" w:eastAsia="Arial" w:hAnsi="Arial"/>
          <w:b/>
          <w:bCs/>
          <w:color w:val="2C2E35"/>
          <w:sz w:val="22"/>
          <w:szCs w:val="22"/>
        </w:rPr>
        <w:t xml:space="preserve">3.5 ROAS y costo por venta mezclaban monedas</w:t>
      </w:r>
    </w:p>
    <w:p>
      <w:pPr>
        <w:spacing w:after="120" w:before="0" w:line="276"/>
      </w:pPr>
      <w:r>
        <w:rPr>
          <w:rFonts w:ascii="Arial" w:cs="Arial" w:eastAsia="Arial" w:hAnsi="Arial"/>
          <w:color w:val="2C2E35"/>
          <w:sz w:val="20"/>
          <w:szCs w:val="20"/>
        </w:rPr>
        <w:t xml:space="preserve">Las ventas están en dólares y el gasto publicitario (Meta y Google) en soles. El ROAS dividía dólares entre soles sin convertir: con cero ventas atribuidas nunca se notó, pero en cuanto exista una, el retorno saldría 3,75 veces menor al real. Corrección: se creó la tabla parametros con el tipo de cambio USD→PEN, editable por gerencia directamente en el panel (clic sobre "T.C."), y todos los cálculos que cruzan monedas lo usan. Valor de arranque: 3,75 — gerencia debe fijar el valor vigente.</w:t>
      </w:r>
    </w:p>
    <w:p>
      <w:pPr>
        <w:pStyle w:val="Heading2"/>
        <w:spacing w:after="100" w:before="240"/>
      </w:pPr>
      <w:r>
        <w:rPr>
          <w:rFonts w:ascii="Arial" w:cs="Arial" w:eastAsia="Arial" w:hAnsi="Arial"/>
          <w:b/>
          <w:bCs/>
          <w:color w:val="2C2E35"/>
          <w:sz w:val="22"/>
          <w:szCs w:val="22"/>
        </w:rPr>
        <w:t xml:space="preserve">3.6 "Hoy" y "este mes" se calculaban en horario del servidor</w:t>
      </w:r>
    </w:p>
    <w:p>
      <w:pPr>
        <w:spacing w:after="120" w:before="0" w:line="276"/>
      </w:pPr>
      <w:r>
        <w:rPr>
          <w:rFonts w:ascii="Arial" w:cs="Arial" w:eastAsia="Arial" w:hAnsi="Arial"/>
          <w:color w:val="2C2E35"/>
          <w:sz w:val="20"/>
          <w:szCs w:val="20"/>
        </w:rPr>
        <w:t xml:space="preserve">El servidor corre en UTC (5 horas adelante de Lima). A partir de las 7 pm hora Lima, "este mes" el último día del mes ya apuntaba al mes siguiente y "hoy" al día siguiente. Corrección: todo rango de fechas se resuelve explícitamente en hora de Lima.</w:t>
      </w:r>
    </w:p>
    <w:p>
      <w:pPr>
        <w:pStyle w:val="Heading2"/>
        <w:spacing w:after="100" w:before="240"/>
      </w:pPr>
      <w:r>
        <w:rPr>
          <w:rFonts w:ascii="Arial" w:cs="Arial" w:eastAsia="Arial" w:hAnsi="Arial"/>
          <w:b/>
          <w:bCs/>
          <w:color w:val="2C2E35"/>
          <w:sz w:val="22"/>
          <w:szCs w:val="22"/>
        </w:rPr>
        <w:t xml:space="preserve">3.7 Lista de clientes limitada a 30</w:t>
      </w:r>
    </w:p>
    <w:p>
      <w:pPr>
        <w:spacing w:after="120" w:before="0" w:line="276"/>
      </w:pPr>
      <w:r>
        <w:rPr>
          <w:rFonts w:ascii="Arial" w:cs="Arial" w:eastAsia="Arial" w:hAnsi="Arial"/>
          <w:color w:val="2C2E35"/>
          <w:sz w:val="20"/>
          <w:szCs w:val="20"/>
        </w:rPr>
        <w:t xml:space="preserve">La pantalla mostraba los 30 clientes más recientes y no permitía avanzar. Corrección: paginación real de 50 en 50 sobre los 15.103 clientes (303 páginas), búsqueda por nombre/RUC/teléfono que aplica al dejar de escribir, filtros por comercial, solo con compras, sin RUC/DNI, y orden por recientes, nombre, última venta o valor comprado.</w:t>
      </w:r>
    </w:p>
    <w:p>
      <w:pPr>
        <w:pStyle w:val="Heading1"/>
        <w:spacing w:after="160" w:before="360"/>
      </w:pPr>
      <w:r>
        <w:rPr>
          <w:rFonts w:ascii="Arial" w:cs="Arial" w:eastAsia="Arial" w:hAnsi="Arial"/>
          <w:b/>
          <w:bCs/>
          <w:color w:val="7E1210"/>
          <w:sz w:val="26"/>
          <w:szCs w:val="26"/>
        </w:rPr>
        <w:t xml:space="preserve">4. QUÉ HAY DE NUEVO PARA GERENCIA</w:t>
      </w:r>
    </w:p>
    <w:p>
      <w:pPr>
        <w:pStyle w:val="Heading2"/>
        <w:spacing w:after="100" w:before="240"/>
      </w:pPr>
      <w:r>
        <w:rPr>
          <w:rFonts w:ascii="Arial" w:cs="Arial" w:eastAsia="Arial" w:hAnsi="Arial"/>
          <w:b/>
          <w:bCs/>
          <w:color w:val="2C2E35"/>
          <w:sz w:val="22"/>
          <w:szCs w:val="22"/>
        </w:rPr>
        <w:t xml:space="preserve">4.1 Filtros</w:t>
      </w:r>
    </w:p>
    <w:p>
      <w:pPr>
        <w:pStyle w:val="ListParagraph"/>
        <w:numPr>
          <w:ilvl w:val="0"/>
          <w:numId w:val="1"/>
        </w:numPr>
        <w:spacing w:after="60" w:before="0" w:line="276"/>
      </w:pPr>
      <w:r>
        <w:rPr>
          <w:rFonts w:ascii="Arial" w:cs="Arial" w:eastAsia="Arial" w:hAnsi="Arial"/>
          <w:color w:val="2C2E35"/>
          <w:sz w:val="20"/>
          <w:szCs w:val="20"/>
        </w:rPr>
        <w:t xml:space="preserve">Período: este mes, mes anterior, últimos 30/90 días, este año, últimos 12 meses, todo el historial, o un rango libre con dos selectores de fecha. Aplica solo, sin botón "Ir", sin recargar la página y con indicador "Actualizando…".</w:t>
      </w:r>
    </w:p>
    <w:p>
      <w:pPr>
        <w:pStyle w:val="ListParagraph"/>
        <w:numPr>
          <w:ilvl w:val="0"/>
          <w:numId w:val="1"/>
        </w:numPr>
        <w:spacing w:after="60" w:before="0" w:line="276"/>
      </w:pPr>
      <w:r>
        <w:rPr>
          <w:rFonts w:ascii="Arial" w:cs="Arial" w:eastAsia="Arial" w:hAnsi="Arial"/>
          <w:color w:val="2C2E35"/>
          <w:sz w:val="20"/>
          <w:szCs w:val="20"/>
        </w:rPr>
        <w:t xml:space="preserve">Comercial: todos o uno. El detalle por comercial conserva el período elegido.</w:t>
      </w:r>
    </w:p>
    <w:p>
      <w:pPr>
        <w:pStyle w:val="ListParagraph"/>
        <w:numPr>
          <w:ilvl w:val="0"/>
          <w:numId w:val="1"/>
        </w:numPr>
        <w:spacing w:after="60" w:before="0" w:line="276"/>
      </w:pPr>
      <w:r>
        <w:rPr>
          <w:rFonts w:ascii="Arial" w:cs="Arial" w:eastAsia="Arial" w:hAnsi="Arial"/>
          <w:color w:val="2C2E35"/>
          <w:sz w:val="20"/>
          <w:szCs w:val="20"/>
        </w:rPr>
        <w:t xml:space="preserve">Origen del dato: incluir o excluir el histórico Excel.</w:t>
      </w:r>
    </w:p>
    <w:p>
      <w:pPr>
        <w:pStyle w:val="ListParagraph"/>
        <w:numPr>
          <w:ilvl w:val="0"/>
          <w:numId w:val="1"/>
        </w:numPr>
        <w:spacing w:after="60" w:before="0" w:line="276"/>
      </w:pPr>
      <w:r>
        <w:rPr>
          <w:rFonts w:ascii="Arial" w:cs="Arial" w:eastAsia="Arial" w:hAnsi="Arial"/>
          <w:color w:val="2C2E35"/>
          <w:sz w:val="20"/>
          <w:szCs w:val="20"/>
        </w:rPr>
        <w:t xml:space="preserve">Marketing: además, plataforma (todas / Google / Meta).</w:t>
      </w:r>
    </w:p>
    <w:p>
      <w:pPr>
        <w:pStyle w:val="Heading2"/>
        <w:spacing w:after="100" w:before="240"/>
      </w:pPr>
      <w:r>
        <w:rPr>
          <w:rFonts w:ascii="Arial" w:cs="Arial" w:eastAsia="Arial" w:hAnsi="Arial"/>
          <w:b/>
          <w:bCs/>
          <w:color w:val="2C2E35"/>
          <w:sz w:val="22"/>
          <w:szCs w:val="22"/>
        </w:rPr>
        <w:t xml:space="preserve">4.2 Indicadores del panel comercial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Indicador</w:t>
            </w:r>
          </w:p>
        </w:tc>
        <w:tc>
          <w:tcPr>
            <w:tcW w:type="pct" w:w="4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Cómo se calcula</w:t>
            </w:r>
          </w:p>
        </w:tc>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Para qué sirve</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del período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Suma de ventas cerradas en el rango, en US$ (soles convertidos al T.C.)</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Resultado del período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Ticket promedio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 número de ventas</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Tamaño típico de operación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Clientes que compraron: nuevos vs recurrentes</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Recurrente = ya tenía una venta antes del inicio del período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Cuánto del resultado viene de la base instalada</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 ventas a recurrentes</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Monto a recurrentes ÷ total</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Dependencia de clientes existentes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CLTV promedio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Total comprado por cliente, promedio sobre todos los clientes con compra (historial completo)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Cuánto vale un cliente a lo largo del tiempo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CLTV de quien repite / frecuencia</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Igual, solo clientes con 2+ compras; compras por cliente promedio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Valor de fidelizar</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Pipeline abierto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Monto estimado de oportunidades en curso hoy</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Lo que puede cerrar</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Embudo del período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Oportunidades creadas en el rango, por etapa actual</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Dónde se atascan</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Tasa de cierre</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Ganadas ÷ (ganadas + rechazadas) decididas en el período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Efectividad</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De dónde vienen las ventas</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Cada venta se atribuye al lead que trajo al cliente: Google Ads, Meta Ads, canal de contacto, cartera propia (sin lead) o histórico Excel</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Qué canal produce dinero, no solo contactos</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Rendimiento por comercial</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Vendido, ventas, clientes, abiertas, cotizaciones y % de meta (meta mensual × meses del período)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Comparar equipo en igualdad de período</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Top clientes del período</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Diez cuentas con mayor compra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Foco comercial</w:t>
            </w:r>
          </w:p>
        </w:tc>
      </w:tr>
      <w:tr>
        <w:tc>
          <w:tcPr>
            <w:tcW w:type="pct" w:w="2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por mes</w:t>
            </w:r>
          </w:p>
        </w:tc>
        <w:tc>
          <w:tcPr>
            <w:tcW w:type="pct" w:w="4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Últimos 12 meses hasta el fin del rango</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Tendencia</w:t>
            </w:r>
          </w:p>
        </w:tc>
      </w:tr>
    </w:tbl>
    <w:p>
      <w:pPr>
        <w:spacing w:after="120" w:before="0" w:line="276"/>
      </w:pPr>
      <w:r>
        <w:rPr>
          <w:rFonts w:ascii="Arial" w:cs="Arial" w:eastAsia="Arial" w:hAnsi="Arial"/>
          <w:color w:val="2C2E35"/>
          <w:sz w:val="20"/>
          <w:szCs w:val="20"/>
        </w:rPr>
        <w:t xml:space="preserve"/>
      </w:r>
    </w:p>
    <w:p>
      <w:pPr>
        <w:pStyle w:val="Heading2"/>
        <w:spacing w:after="100" w:before="240"/>
      </w:pPr>
      <w:r>
        <w:rPr>
          <w:rFonts w:ascii="Arial" w:cs="Arial" w:eastAsia="Arial" w:hAnsi="Arial"/>
          <w:b/>
          <w:bCs/>
          <w:color w:val="2C2E35"/>
          <w:sz w:val="22"/>
          <w:szCs w:val="22"/>
        </w:rPr>
        <w:t xml:space="preserve">4.3 Indicadores del panel de marketing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Indicador</w:t>
            </w:r>
          </w:p>
        </w:tc>
        <w:tc>
          <w:tcPr>
            <w:tcW w:type="pct" w:w="7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Cómo se calcula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Contactos entrantes por origen</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Leads del período según lo que registró el CRM: Google Ads, Meta Ads, WhatsApp, llamada, web…, con asignados y descartados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Conversiones (plataforma)</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Lo que declara Google/Meta; incluye llamadas, clics y mensajes — no equivale a leads reales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Embudo real</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Leads del CRM → oportunidades → ventas, atribuidos por campaña sin importar cuándo cerró la venta</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CPL (costo por lead)</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Inversión ÷ leads que entraron al CRM (solo del tramo con leads registrados)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CPA (costo por venta)</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Inversión ÷ ventas atribuidas</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ROAS</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atribuidas convertidas a la moneda del gasto ÷ inversión</w:t>
            </w:r>
          </w:p>
        </w:tc>
      </w:tr>
      <w:tr>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Rendimiento por campaña</w:t>
            </w:r>
          </w:p>
        </w:tc>
        <w:tc>
          <w:tcPr>
            <w:tcW w:type="pct" w:w="7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Gasto, clics, leads declarados/reales, oportunidades, ventas, CPL, ROAS por campaña</w:t>
            </w:r>
          </w:p>
        </w:tc>
      </w:tr>
    </w:tbl>
    <w:p>
      <w:pPr>
        <w:spacing w:after="120" w:before="0" w:line="276"/>
      </w:pPr>
      <w:r>
        <w:rPr>
          <w:rFonts w:ascii="Arial" w:cs="Arial" w:eastAsia="Arial" w:hAnsi="Arial"/>
          <w:color w:val="2C2E35"/>
          <w:sz w:val="20"/>
          <w:szCs w:val="20"/>
        </w:rPr>
        <w:t xml:space="preserve"/>
      </w:r>
    </w:p>
    <w:p>
      <w:pPr>
        <w:pStyle w:val="Heading2"/>
        <w:spacing w:after="100" w:before="240"/>
      </w:pPr>
      <w:r>
        <w:rPr>
          <w:rFonts w:ascii="Arial" w:cs="Arial" w:eastAsia="Arial" w:hAnsi="Arial"/>
          <w:b/>
          <w:bCs/>
          <w:color w:val="2C2E35"/>
          <w:sz w:val="22"/>
          <w:szCs w:val="22"/>
        </w:rPr>
        <w:t xml:space="preserve">4.4 Experiencia de uso</w:t>
      </w:r>
    </w:p>
    <w:p>
      <w:pPr>
        <w:pStyle w:val="ListParagraph"/>
        <w:numPr>
          <w:ilvl w:val="0"/>
          <w:numId w:val="1"/>
        </w:numPr>
        <w:spacing w:after="60" w:before="0" w:line="276"/>
      </w:pPr>
      <w:r>
        <w:rPr>
          <w:rFonts w:ascii="Arial" w:cs="Arial" w:eastAsia="Arial" w:hAnsi="Arial"/>
          <w:color w:val="2C2E35"/>
          <w:sz w:val="20"/>
          <w:szCs w:val="20"/>
        </w:rPr>
        <w:t xml:space="preserve">Cursor de mano en todo lo clicable (botones, selectores, fechas, casillas). Tailwind v4 lo había quitado por defecto y se restauró de forma global.</w:t>
      </w:r>
    </w:p>
    <w:p>
      <w:pPr>
        <w:pStyle w:val="ListParagraph"/>
        <w:numPr>
          <w:ilvl w:val="0"/>
          <w:numId w:val="1"/>
        </w:numPr>
        <w:spacing w:after="60" w:before="0" w:line="276"/>
      </w:pPr>
      <w:r>
        <w:rPr>
          <w:rFonts w:ascii="Arial" w:cs="Arial" w:eastAsia="Arial" w:hAnsi="Arial"/>
          <w:color w:val="2C2E35"/>
          <w:sz w:val="20"/>
          <w:szCs w:val="20"/>
        </w:rPr>
        <w:t xml:space="preserve">Cambios de filtro sin recarga completa, con estado "Actualizando…" mientras llega la página nueva.</w:t>
      </w:r>
    </w:p>
    <w:p>
      <w:pPr>
        <w:pStyle w:val="ListParagraph"/>
        <w:numPr>
          <w:ilvl w:val="0"/>
          <w:numId w:val="1"/>
        </w:numPr>
        <w:spacing w:after="60" w:before="0" w:line="276"/>
      </w:pPr>
      <w:r>
        <w:rPr>
          <w:rFonts w:ascii="Arial" w:cs="Arial" w:eastAsia="Arial" w:hAnsi="Arial"/>
          <w:color w:val="2C2E35"/>
          <w:sz w:val="20"/>
          <w:szCs w:val="20"/>
        </w:rPr>
        <w:t xml:space="preserve">Esqueletos de carga en todos los paneles: la navegación se siente inmediata aunque los datos tarden 200–400 ms.</w:t>
      </w:r>
    </w:p>
    <w:p>
      <w:pPr>
        <w:pStyle w:val="ListParagraph"/>
        <w:numPr>
          <w:ilvl w:val="0"/>
          <w:numId w:val="1"/>
        </w:numPr>
        <w:spacing w:after="60" w:before="0" w:line="276"/>
      </w:pPr>
      <w:r>
        <w:rPr>
          <w:rFonts w:ascii="Arial" w:cs="Arial" w:eastAsia="Arial" w:hAnsi="Arial"/>
          <w:color w:val="2C2E35"/>
          <w:sz w:val="20"/>
          <w:szCs w:val="20"/>
        </w:rPr>
        <w:t xml:space="preserve">Tipo de cambio editable en el mismo lugar donde se lee (clic sobre "T.C.").</w:t>
      </w:r>
    </w:p>
    <w:p>
      <w:pPr>
        <w:pStyle w:val="ListParagraph"/>
        <w:numPr>
          <w:ilvl w:val="0"/>
          <w:numId w:val="1"/>
        </w:numPr>
        <w:spacing w:after="60" w:before="0" w:line="276"/>
      </w:pPr>
      <w:r>
        <w:rPr>
          <w:rFonts w:ascii="Arial" w:cs="Arial" w:eastAsia="Arial" w:hAnsi="Arial"/>
          <w:color w:val="2C2E35"/>
          <w:sz w:val="20"/>
          <w:szCs w:val="20"/>
        </w:rPr>
        <w:t xml:space="preserve">Bloque "Qué le resta fiabilidad a estos números" al pie del panel, con las cifras del momento.</w:t>
      </w:r>
    </w:p>
    <w:p>
      <w:pPr>
        <w:pStyle w:val="Heading1"/>
        <w:spacing w:after="160" w:before="360"/>
      </w:pPr>
      <w:r>
        <w:rPr>
          <w:rFonts w:ascii="Arial" w:cs="Arial" w:eastAsia="Arial" w:hAnsi="Arial"/>
          <w:b/>
          <w:bCs/>
          <w:color w:val="7E1210"/>
          <w:sz w:val="26"/>
          <w:szCs w:val="26"/>
        </w:rPr>
        <w:t xml:space="preserve">4.5 CRITERIOS DE ATRIBUCIÓN DE VENTAS A LA PUBLICIDAD</w:t>
      </w:r>
    </w:p>
    <w:p>
      <w:pPr>
        <w:spacing w:after="120" w:before="0" w:line="276"/>
      </w:pPr>
      <w:r>
        <w:rPr>
          <w:rFonts w:ascii="Arial" w:cs="Arial" w:eastAsia="Arial" w:hAnsi="Arial"/>
          <w:color w:val="2C2E35"/>
          <w:sz w:val="20"/>
          <w:szCs w:val="20"/>
        </w:rPr>
        <w:t xml:space="preserve">Se aplican en este orden, de más a menos exacto, y el panel siempre indica cuál se usó.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Nivel</w:t>
            </w:r>
          </w:p>
        </w:tc>
        <w:tc>
          <w:tcPr>
            <w:tcW w:type="pct" w:w="48%"/>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Regla</w:t>
            </w:r>
          </w:p>
        </w:tc>
        <w:tc>
          <w:tcPr>
            <w:tcW w:type="pct" w:w="30%"/>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Cómo se defiende</w:t>
            </w:r>
          </w:p>
        </w:tc>
      </w:tr>
      <w:tr>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1. Lead del CRM (exacto)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La venta se atribuye a la campaña del lead (utm_campaign = ID de campaña, llega con el gclid del webhook de Google Ads). Para el histórico, venta→lead solo si coincide teléfono, correo, RUC/DNI o código PRO de Central, con UN solo lead candidato y llegado antes o el mismo día de la venta.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Identificador único + cronología. Nunca por nombre. Ambiguo = no se enlaza.</w:t>
            </w:r>
          </w:p>
        </w:tc>
      </w:tr>
      <w:tr>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2. Procedencia declarada (histórico)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 sin lead: se usa PROV_PROSP tal como lo escribió el comercial (O_FB, O_FB_MK, CAMPAÑA FB, GOOGLE, O_PAGWEB, F_CLIEREF, F_VRUTA, PTO_VENTA…), mapeado a una etiqueta legible.</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Es lo que la empresa registró durante años; se muestra como declarado. O_PAGWEB era el valor por defecto de la hoja y mezcla orgánico con publicidad.</w:t>
            </w:r>
          </w:p>
        </w:tc>
      </w:tr>
      <w:tr>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3. Sin dato</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Lead sin campaña → canal del contacto (llamada, WhatsApp…); sin lead ni procedencia → cartera propia; histórico sin PROV_PROSP → sin procedencia.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No se rellena con nada.</w:t>
            </w:r>
          </w:p>
        </w:tc>
      </w:tr>
      <w:tr>
        <w:tc>
          <w:tcPr>
            <w:tcW w:type="pct" w:w="22%"/>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Cohorte</w:t>
            </w:r>
          </w:p>
        </w:tc>
        <w:tc>
          <w:tcPr>
            <w:tcW w:type="pct" w:w="48%"/>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Los leads cuentan por su fecha de llegada y se sigue su cadena sin importar cuándo cerró la venta.</w:t>
            </w:r>
          </w:p>
        </w:tc>
        <w:tc>
          <w:tcPr>
            <w:tcW w:type="pct" w:w="30%"/>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El gasto se pagó cuando llegó el lead.</w:t>
            </w:r>
          </w:p>
        </w:tc>
      </w:tr>
    </w:tbl>
    <w:p>
      <w:pPr>
        <w:spacing w:after="120" w:before="0" w:line="276"/>
      </w:pPr>
      <w:r>
        <w:rPr>
          <w:rFonts w:ascii="Arial" w:cs="Arial" w:eastAsia="Arial" w:hAnsi="Arial"/>
          <w:color w:val="2C2E35"/>
          <w:sz w:val="20"/>
          <w:szCs w:val="20"/>
        </w:rPr>
        <w:t xml:space="preserve"/>
      </w:r>
    </w:p>
    <w:p>
      <w:pPr>
        <w:spacing w:after="120" w:before="0" w:line="276"/>
      </w:pPr>
      <w:r>
        <w:rPr>
          <w:rFonts w:ascii="Arial" w:cs="Arial" w:eastAsia="Arial" w:hAnsi="Arial"/>
          <w:color w:val="2C2E35"/>
          <w:sz w:val="20"/>
          <w:szCs w:val="20"/>
        </w:rPr>
        <w:t xml:space="preserve">Resultado a la fecha: 450 leads de Google Ads desde el 23-05-2026 → 212 asignados a comercial (CRM + registro de Central) → 5 con venta comprobada en las hojas de los comerciales (3 con monto: US$ 10.039; ROAS 2,68× y CPA S/ 4.688 sobre el tramo medible). Historial completo por procedencia declarada: página web 658 ventas (US$ 4,44 M), referidos 67 (US$ 492 k), Facebook 23 (US$ 111 k), visita en ruta 18 (US$ 91 k), Meta Ads/campaña FB 10 (US$ 38 k), Google Ads 5 (US$ 17 k). Los comerciales rara vez marcaron GOOGLE aunque el lead viniera de Google Ads (los 5 enlazados figuraban como página web): el nivel 2 subestima la publicidad; el nivel 1 es el confiable.</w:t>
      </w:r>
    </w:p>
    <w:p>
      <w:pPr>
        <w:pStyle w:val="Heading1"/>
        <w:spacing w:after="160" w:before="360"/>
      </w:pPr>
      <w:r>
        <w:rPr>
          <w:rFonts w:ascii="Arial" w:cs="Arial" w:eastAsia="Arial" w:hAnsi="Arial"/>
          <w:b/>
          <w:bCs/>
          <w:color w:val="7E1210"/>
          <w:sz w:val="26"/>
          <w:szCs w:val="26"/>
        </w:rPr>
        <w:t xml:space="preserve">5. OBSERVACIONES Y LIMITACIONES QUE GERENCIA DEBE CONOCER</w:t>
      </w:r>
    </w:p>
    <w:p>
      <w:pPr>
        <w:pStyle w:val="Heading2"/>
        <w:spacing w:after="100" w:before="240"/>
      </w:pPr>
      <w:r>
        <w:rPr>
          <w:rFonts w:ascii="Arial" w:cs="Arial" w:eastAsia="Arial" w:hAnsi="Arial"/>
          <w:b/>
          <w:bCs/>
          <w:color w:val="2C2E35"/>
          <w:sz w:val="22"/>
          <w:szCs w:val="22"/>
        </w:rPr>
        <w:t xml:space="preserve">5.1 Datos históricos</w:t>
      </w:r>
    </w:p>
    <w:p>
      <w:pPr>
        <w:pStyle w:val="ListParagraph"/>
        <w:numPr>
          <w:ilvl w:val="0"/>
          <w:numId w:val="1"/>
        </w:numPr>
        <w:spacing w:after="60" w:before="0" w:line="276"/>
      </w:pPr>
      <w:r>
        <w:rPr>
          <w:rFonts w:ascii="Arial" w:cs="Arial" w:eastAsia="Arial" w:hAnsi="Arial"/>
          <w:color w:val="2C2E35"/>
          <w:sz w:val="20"/>
          <w:szCs w:val="20"/>
        </w:rPr>
        <w:t xml:space="preserve">1.454 de 1.560 ventas históricas se enlazaron a su cliente por RUC/DNI y 43 por teléfono; solo 81 cuentas nuevas (27 sin documento). Hoy hay 3.787 clientes sin documento (heredados de las hojas PROSP) — filtro "Sin RUC/DNI" en Clientes.</w:t>
      </w:r>
    </w:p>
    <w:p>
      <w:pPr>
        <w:pStyle w:val="ListParagraph"/>
        <w:numPr>
          <w:ilvl w:val="0"/>
          <w:numId w:val="1"/>
        </w:numPr>
        <w:spacing w:after="60" w:before="0" w:line="276"/>
      </w:pPr>
      <w:r>
        <w:rPr>
          <w:rFonts w:ascii="Arial" w:cs="Arial" w:eastAsia="Arial" w:hAnsi="Arial"/>
          <w:color w:val="2C2E35"/>
          <w:sz w:val="20"/>
          <w:szCs w:val="20"/>
        </w:rPr>
        <w:t xml:space="preserve">713 ventas históricas no tienen monto en la hoja original: se ven como venta y como cliente, pero no suman dinero.</w:t>
      </w:r>
    </w:p>
    <w:p>
      <w:pPr>
        <w:pStyle w:val="ListParagraph"/>
        <w:numPr>
          <w:ilvl w:val="0"/>
          <w:numId w:val="1"/>
        </w:numPr>
        <w:spacing w:after="60" w:before="0" w:line="276"/>
      </w:pPr>
      <w:r>
        <w:rPr>
          <w:rFonts w:ascii="Arial" w:cs="Arial" w:eastAsia="Arial" w:hAnsi="Arial"/>
          <w:color w:val="2C2E35"/>
          <w:sz w:val="20"/>
          <w:szCs w:val="20"/>
        </w:rPr>
        <w:t xml:space="preserve">La serie de facturación (EFAMEINSA/OPEN) no es determinable históricamente y quedó en blanco en las 847 ventas importadas.</w:t>
      </w:r>
    </w:p>
    <w:p>
      <w:pPr>
        <w:pStyle w:val="ListParagraph"/>
        <w:numPr>
          <w:ilvl w:val="0"/>
          <w:numId w:val="1"/>
        </w:numPr>
        <w:spacing w:after="60" w:before="0" w:line="276"/>
      </w:pPr>
      <w:r>
        <w:rPr>
          <w:rFonts w:ascii="Arial" w:cs="Arial" w:eastAsia="Arial" w:hAnsi="Arial"/>
          <w:color w:val="2C2E35"/>
          <w:sz w:val="20"/>
          <w:szCs w:val="20"/>
        </w:rPr>
        <w:t xml:space="preserve">El histórico sí registra una procedencia declarada por el comercial (ver 4.5); es menos exacta que la atribución por lead y su valor por defecto (página web) no distingue orgánico de publicidad.</w:t>
      </w:r>
    </w:p>
    <w:p>
      <w:pPr>
        <w:pStyle w:val="ListParagraph"/>
        <w:numPr>
          <w:ilvl w:val="0"/>
          <w:numId w:val="1"/>
        </w:numPr>
        <w:spacing w:after="60" w:before="0" w:line="276"/>
      </w:pPr>
      <w:r>
        <w:rPr>
          <w:rFonts w:ascii="Arial" w:cs="Arial" w:eastAsia="Arial" w:hAnsi="Arial"/>
          <w:color w:val="2C2E35"/>
          <w:sz w:val="20"/>
          <w:szCs w:val="20"/>
        </w:rPr>
        <w:t xml:space="preserve">Se detectaron dos ventas idénticas registradas en el CRM el 14/08/2026 (US$ 3.590 cada una, misma oportunidad de origen): confirmar si fueron dos equipos o un registro duplicado.</w:t>
      </w:r>
    </w:p>
    <w:p>
      <w:pPr>
        <w:pStyle w:val="Heading2"/>
        <w:spacing w:after="100" w:before="240"/>
      </w:pPr>
      <w:r>
        <w:rPr>
          <w:rFonts w:ascii="Arial" w:cs="Arial" w:eastAsia="Arial" w:hAnsi="Arial"/>
          <w:b/>
          <w:bCs/>
          <w:color w:val="2C2E35"/>
          <w:sz w:val="22"/>
          <w:szCs w:val="22"/>
        </w:rPr>
        <w:t xml:space="preserve">5.2 Atribución publicitaria</w:t>
      </w:r>
    </w:p>
    <w:p>
      <w:pPr>
        <w:pStyle w:val="ListParagraph"/>
        <w:numPr>
          <w:ilvl w:val="0"/>
          <w:numId w:val="1"/>
        </w:numPr>
        <w:spacing w:after="60" w:before="0" w:line="276"/>
      </w:pPr>
      <w:r>
        <w:rPr>
          <w:rFonts w:ascii="Arial" w:cs="Arial" w:eastAsia="Arial" w:hAnsi="Arial"/>
          <w:color w:val="2C2E35"/>
          <w:sz w:val="20"/>
          <w:szCs w:val="20"/>
        </w:rPr>
        <w:t xml:space="preserve">De los 450 leads de Google Ads del año, 226 aparecen en el maestro de Central por teléfono y 208 con comercial identificable (C5 84, C4 75, C8 30, C9 8, C1 6, C2 5): esa asignación se cargó en el CRM. 224 (50 %) nunca entraron al registro de Central. Cinco terminaron en venta según las hojas de los comerciales (enlazados con la regla del nivel 1); dos candidatos más quedaron fuera por cronología o ambigüedad.</w:t>
      </w:r>
    </w:p>
    <w:p>
      <w:pPr>
        <w:pStyle w:val="ListParagraph"/>
        <w:numPr>
          <w:ilvl w:val="0"/>
          <w:numId w:val="1"/>
        </w:numPr>
        <w:spacing w:after="60" w:before="0" w:line="276"/>
      </w:pPr>
      <w:r>
        <w:rPr>
          <w:rFonts w:ascii="Arial" w:cs="Arial" w:eastAsia="Arial" w:hAnsi="Arial"/>
          <w:color w:val="2C2E35"/>
          <w:sz w:val="20"/>
          <w:szCs w:val="20"/>
        </w:rPr>
        <w:t xml:space="preserve">La atribución de ventas a campañas empieza a llenarse sola desde ahora: cada lead que Central asigne crea la oportunidad con su campaña, y cuando cierre, el panel lo atribuye.</w:t>
      </w:r>
    </w:p>
    <w:p>
      <w:pPr>
        <w:pStyle w:val="ListParagraph"/>
        <w:numPr>
          <w:ilvl w:val="0"/>
          <w:numId w:val="1"/>
        </w:numPr>
        <w:spacing w:after="60" w:before="0" w:line="276"/>
      </w:pPr>
      <w:r>
        <w:rPr>
          <w:rFonts w:ascii="Arial" w:cs="Arial" w:eastAsia="Arial" w:hAnsi="Arial"/>
          <w:color w:val="2C2E35"/>
          <w:sz w:val="20"/>
          <w:szCs w:val="20"/>
        </w:rPr>
        <w:t xml:space="preserve">Google elimina los formularios a los 60 días: los leads anteriores al 23 de mayo de 2026 son irrecuperables; el CPL se calcula solo sobre el tramo medible.</w:t>
      </w:r>
    </w:p>
    <w:p>
      <w:pPr>
        <w:pStyle w:val="Heading2"/>
        <w:spacing w:after="100" w:before="240"/>
      </w:pPr>
      <w:r>
        <w:rPr>
          <w:rFonts w:ascii="Arial" w:cs="Arial" w:eastAsia="Arial" w:hAnsi="Arial"/>
          <w:b/>
          <w:bCs/>
          <w:color w:val="2C2E35"/>
          <w:sz w:val="22"/>
          <w:szCs w:val="22"/>
        </w:rPr>
        <w:t xml:space="preserve">5.3 WhatsApp</w:t>
      </w:r>
    </w:p>
    <w:p>
      <w:pPr>
        <w:spacing w:after="120" w:before="0" w:line="276"/>
      </w:pPr>
      <w:r>
        <w:rPr>
          <w:rFonts w:ascii="Arial" w:cs="Arial" w:eastAsia="Arial" w:hAnsi="Arial"/>
          <w:color w:val="2C2E35"/>
          <w:sz w:val="20"/>
          <w:szCs w:val="20"/>
        </w:rPr>
        <w:t xml:space="preserve">Los mensajes que llegan a la app WhatsApp Business del celular no tienen forma de entrar al CRM por API bajo ningún permiso; solo se registran si Central los tipea. La única vía técnica es migrar el número a la plataforma WhatsApp Business (Cloud API), que es un proyecto aparte.</w:t>
      </w:r>
    </w:p>
    <w:p>
      <w:pPr>
        <w:pStyle w:val="Heading2"/>
        <w:spacing w:after="100" w:before="240"/>
      </w:pPr>
      <w:r>
        <w:rPr>
          <w:rFonts w:ascii="Arial" w:cs="Arial" w:eastAsia="Arial" w:hAnsi="Arial"/>
          <w:b/>
          <w:bCs/>
          <w:color w:val="2C2E35"/>
          <w:sz w:val="22"/>
          <w:szCs w:val="22"/>
        </w:rPr>
        <w:t xml:space="preserve">5.4 Meta Ads</w:t>
      </w:r>
    </w:p>
    <w:p>
      <w:pPr>
        <w:pStyle w:val="ListParagraph"/>
        <w:numPr>
          <w:ilvl w:val="0"/>
          <w:numId w:val="1"/>
        </w:numPr>
        <w:spacing w:after="60" w:before="0" w:line="276"/>
      </w:pPr>
      <w:r>
        <w:rPr>
          <w:rFonts w:ascii="Arial" w:cs="Arial" w:eastAsia="Arial" w:hAnsi="Arial"/>
          <w:color w:val="2C2E35"/>
          <w:sz w:val="20"/>
          <w:szCs w:val="20"/>
        </w:rPr>
        <w:t xml:space="preserve">La API entrega detalle diario hasta 37 meses atrás; el gasto real de la cuenta empieza en junio de 2025, así que el histórico está completo.</w:t>
      </w:r>
    </w:p>
    <w:p>
      <w:pPr>
        <w:pStyle w:val="ListParagraph"/>
        <w:numPr>
          <w:ilvl w:val="0"/>
          <w:numId w:val="1"/>
        </w:numPr>
        <w:spacing w:after="60" w:before="0" w:line="276"/>
      </w:pPr>
      <w:r>
        <w:rPr>
          <w:rFonts w:ascii="Arial" w:cs="Arial" w:eastAsia="Arial" w:hAnsi="Arial"/>
          <w:color w:val="2C2E35"/>
          <w:sz w:val="20"/>
          <w:szCs w:val="20"/>
        </w:rPr>
        <w:t xml:space="preserve">Meta no tiene una sola métrica de "lead": se suman formularios instantáneos y conversaciones iniciadas (Click-to-WhatsApp/Messenger). Son conteos de la plataforma, no leads del CRM.</w:t>
      </w:r>
    </w:p>
    <w:p>
      <w:pPr>
        <w:pStyle w:val="Heading2"/>
        <w:spacing w:after="100" w:before="240"/>
      </w:pPr>
      <w:r>
        <w:rPr>
          <w:rFonts w:ascii="Arial" w:cs="Arial" w:eastAsia="Arial" w:hAnsi="Arial"/>
          <w:b/>
          <w:bCs/>
          <w:color w:val="2C2E35"/>
          <w:sz w:val="22"/>
          <w:szCs w:val="22"/>
        </w:rPr>
        <w:t xml:space="preserve">5.5 Pendientes sugeridos</w:t>
      </w:r>
    </w:p>
    <w:p>
      <w:pPr>
        <w:pStyle w:val="ListParagraph"/>
        <w:numPr>
          <w:ilvl w:val="0"/>
          <w:numId w:val="1"/>
        </w:numPr>
        <w:spacing w:after="60" w:before="0" w:line="276"/>
      </w:pPr>
      <w:r>
        <w:rPr>
          <w:rFonts w:ascii="Arial" w:cs="Arial" w:eastAsia="Arial" w:hAnsi="Arial"/>
          <w:color w:val="2C2E35"/>
          <w:sz w:val="20"/>
          <w:szCs w:val="20"/>
        </w:rPr>
        <w:t xml:space="preserve">Fijar el tipo de cambio vigente (hoy 3,75 de arranque).</w:t>
      </w:r>
    </w:p>
    <w:p>
      <w:pPr>
        <w:pStyle w:val="ListParagraph"/>
        <w:numPr>
          <w:ilvl w:val="0"/>
          <w:numId w:val="1"/>
        </w:numPr>
        <w:spacing w:after="60" w:before="0" w:line="276"/>
      </w:pPr>
      <w:r>
        <w:rPr>
          <w:rFonts w:ascii="Arial" w:cs="Arial" w:eastAsia="Arial" w:hAnsi="Arial"/>
          <w:color w:val="2C2E35"/>
          <w:sz w:val="20"/>
          <w:szCs w:val="20"/>
        </w:rPr>
        <w:t xml:space="preserve">Definir política de deduplicación de las 833 cuentas sin documento (por teléfono primero, luego revisión manual por nombre).</w:t>
      </w:r>
    </w:p>
    <w:p>
      <w:pPr>
        <w:pStyle w:val="ListParagraph"/>
        <w:numPr>
          <w:ilvl w:val="0"/>
          <w:numId w:val="1"/>
        </w:numPr>
        <w:spacing w:after="60" w:before="0" w:line="276"/>
      </w:pPr>
      <w:r>
        <w:rPr>
          <w:rFonts w:ascii="Arial" w:cs="Arial" w:eastAsia="Arial" w:hAnsi="Arial"/>
          <w:color w:val="2C2E35"/>
          <w:sz w:val="20"/>
          <w:szCs w:val="20"/>
        </w:rPr>
        <w:t xml:space="preserve">Google Ads: sigue dependiendo de Make.com; migrar al mismo cron que Meta cuando existan credenciales de la API.</w:t>
      </w:r>
    </w:p>
    <w:p>
      <w:pPr>
        <w:pStyle w:val="ListParagraph"/>
        <w:numPr>
          <w:ilvl w:val="0"/>
          <w:numId w:val="1"/>
        </w:numPr>
        <w:spacing w:after="60" w:before="0" w:line="276"/>
      </w:pPr>
      <w:r>
        <w:rPr>
          <w:rFonts w:ascii="Arial" w:cs="Arial" w:eastAsia="Arial" w:hAnsi="Arial"/>
          <w:color w:val="2C2E35"/>
          <w:sz w:val="20"/>
          <w:szCs w:val="20"/>
        </w:rPr>
        <w:t xml:space="preserve">Metas mensuales: hoy todas en US$ 125.000; revisar por comercial.</w:t>
      </w:r>
    </w:p>
    <w:p>
      <w:pPr>
        <w:pStyle w:val="Heading1"/>
        <w:spacing w:after="160" w:before="360"/>
      </w:pPr>
      <w:r>
        <w:rPr>
          <w:rFonts w:ascii="Arial" w:cs="Arial" w:eastAsia="Arial" w:hAnsi="Arial"/>
          <w:b/>
          <w:bCs/>
          <w:color w:val="7E1210"/>
          <w:sz w:val="26"/>
          <w:szCs w:val="26"/>
        </w:rPr>
        <w:t xml:space="preserve">6. DETALLE TÉCNICO DE LOS CAMBIOS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4%"/>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Componente</w:t>
            </w:r>
          </w:p>
        </w:tc>
        <w:tc>
          <w:tcPr>
            <w:tcW w:type="pct" w:w="66%"/>
            <w:tcBorders>
              <w:top w:val="single" w:color="E5E2E2" w:sz="4"/>
              <w:left w:val="single" w:color="E5E2E2" w:sz="4"/>
              <w:bottom w:val="single" w:color="E5E2E2" w:sz="4"/>
              <w:right w:val="single" w:color="E5E2E2" w:sz="4"/>
            </w:tcBorders>
            <w:shd w:fill="7E1210"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Cambio</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supabase/migrations/0019</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ventas.serie pasa a opcional (solo para el backfill histórico)</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supabase/migrations/0020</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Columna origen en oportunidades/ventas; tabla parametros (tc_usd_pen); vista v_ventas_detalle; funciones resumen_gerencia() y listar_clientes()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supabase/migrations/0021</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Ambas funciones a SECURITY DEFINER con autorización explícita (gerencia todo, comercial solo lo suyo): de 9,6 s a 0,2 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supabase/migrations/0022</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oportunidades.procedencia / codigo_central; via_de_procedencia(); v_ventas_detalle prioriza lead → procedencia declarada → cartera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scripts/importar-ventas-historicas.mjs (v3) + data/ventas-historicas-COTIZ-v2.json</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Reextracción con cabecera del prospecto; cuenta por documento → teléfono → correo; procedencia y código de Central; enlace venta→lead con regla estricta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scripts/enlazar-leads-central.mjs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Asignación de los leads de publicidad según el maestro de Central (208 leads)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scripts/sync-meta-ads.mjs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Backfill/catch-up manual de Meta Insights hacia /api/gasto-campania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src/app/api/cron/gasto-diario + vercel.json</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Cron diario 06:00 Lima; protegido con CRON_SECRET; excluido del proxy de autenticación</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src/lib/periodo.ts · reportes.ts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Rango de fechas en hora Lima; tipado y llamada a las funciones SQL</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src/components/crm/filtro-periodo · chips-param · filtros-clientes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Filtros en la URL con router.push + transición (sin recarga)</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src/components/crm/grafico-barras · esqueleto-panel · tipo-cambio-inline</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Gráfico mensual, loading.tsx, edición inline del T.C.</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src/app/(app)/gerencia/* · comercial/mi-gestion</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Páginas reescritas sobre resumen_gerencia() / listar_clientes()</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src/lib/marketing.ts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ROAS/CPA con conversión de moneda por T.C.</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src/proxy.ts · globals.css</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api/cron fuera del proxy de auth; cursor de mano global</w:t>
            </w:r>
          </w:p>
        </w:tc>
      </w:tr>
      <w:tr>
        <w:tc>
          <w:tcPr>
            <w:tcW w:type="pct" w:w="34%"/>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.env / Vercel</w:t>
            </w:r>
          </w:p>
        </w:tc>
        <w:tc>
          <w:tcPr>
            <w:tcW w:type="pct" w:w="66%"/>
            <w:tcBorders>
              <w:top w:val="single" w:color="E5E2E2" w:sz="4"/>
              <w:left w:val="single" w:color="E5E2E2" w:sz="4"/>
              <w:bottom w:val="single" w:color="E5E2E2" w:sz="4"/>
              <w:right w:val="single" w:color="E5E2E2" w:sz="4"/>
            </w:tcBorders>
            <w:tcMar>
              <w:top w:type="dxa" w:w="60"/>
              <w:left w:type="dxa" w:w="100"/>
              <w:bottom w:type="dxa" w:w="60"/>
              <w:right w:type="dxa" w:w="100"/>
            </w:tcMar>
          </w:tcPr>
          <w:p>
            <w:pPr>
              <w:spacing w:after="0"/>
            </w:pPr>
            <w:r>
              <w:rPr>
                <w:rFonts w:ascii="Arial" w:cs="Arial" w:eastAsia="Arial" w:hAnsi="Arial"/>
                <w:b w:val="false"/>
                <w:bCs w:val="false"/>
                <w:color w:val="2C2E35"/>
                <w:sz w:val="18"/>
                <w:szCs w:val="18"/>
              </w:rPr>
              <w:t xml:space="preserve">META_ACCESS_TOKEN, META_AD_ACCOUNT_ID, CRON_SECRET en producción</w:t>
            </w:r>
          </w:p>
        </w:tc>
      </w:tr>
    </w:tbl>
    <w:p>
      <w:pPr>
        <w:spacing w:after="120" w:before="0" w:line="276"/>
      </w:pPr>
      <w:r>
        <w:rPr>
          <w:rFonts w:ascii="Arial" w:cs="Arial" w:eastAsia="Arial" w:hAnsi="Arial"/>
          <w:color w:val="2C2E35"/>
          <w:sz w:val="20"/>
          <w:szCs w:val="20"/>
        </w:rPr>
        <w:t xml:space="preserve"/>
      </w:r>
    </w:p>
    <w:p>
      <w:pPr>
        <w:spacing w:after="160" w:before="0" w:line="276"/>
      </w:pPr>
      <w:r>
        <w:rPr>
          <w:rFonts w:ascii="Arial" w:cs="Arial" w:eastAsia="Arial" w:hAnsi="Arial"/>
          <w:i/>
          <w:iCs/>
          <w:color w:val="6B6B6B"/>
          <w:sz w:val="18"/>
          <w:szCs w:val="18"/>
        </w:rPr>
        <w:t xml:space="preserve">Verificación realizada: tipado (tsc), lint (eslint), build de producción (Next 16), render de todas las páginas de gerencia con una sesión temporal (respuesta 200 y contenido esperado), pruebas de autorización de las funciones SQL (un comercial no puede pedir el resumen global ni ver clientes ajenos) y prueba manual del cron en producción (respuesta {"ok":true}).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Elaborado por Santos Lenin Vilcachagua Ayala · Página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B6B"/>
        <w:sz w:val="16"/>
        <w:szCs w:val="16"/>
      </w:rPr>
      <w:t xml:space="preserve">Efameinsa · CRM · Bitácora 18/08/2026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E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932242958626f1962adff1f1be4863f1f944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cambios y observaciones — CRM Efameinsa — 18/08/2026</dc:title>
  <dc:creator>Santos Lenin Vilcachagua Ayala</dc:creator>
  <dc:description>Reportes de gerencia, integración Meta Ads y carga histórica</dc:description>
  <cp:lastModifiedBy>Un-named</cp:lastModifiedBy>
  <cp:revision>1</cp:revision>
  <dcterms:created xsi:type="dcterms:W3CDTF">2026-08-18T21:42:08.167Z</dcterms:created>
  <dcterms:modified xsi:type="dcterms:W3CDTF">2026-08-18T21:42:08.168Z</dcterms:modified>
</cp:coreProperties>
</file>

<file path=docProps/custom.xml><?xml version="1.0" encoding="utf-8"?>
<Properties xmlns="http://schemas.openxmlformats.org/officeDocument/2006/custom-properties" xmlns:vt="http://schemas.openxmlformats.org/officeDocument/2006/docPropsVTypes"/>
</file>