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9824" w14:textId="77777777" w:rsidR="00504719" w:rsidRDefault="00000000">
      <w:pPr>
        <w:spacing w:after="120"/>
        <w:jc w:val="center"/>
      </w:pPr>
      <w:r>
        <w:rPr>
          <w:rFonts w:ascii="Arial" w:eastAsia="Arial" w:hAnsi="Arial" w:cs="Arial"/>
          <w:b/>
          <w:bCs/>
          <w:sz w:val="28"/>
          <w:szCs w:val="28"/>
        </w:rPr>
        <w:t>ALY6130: Risk Management Analytics</w:t>
      </w:r>
    </w:p>
    <w:p w14:paraId="40877D70" w14:textId="77777777" w:rsidR="00504719" w:rsidRDefault="00000000">
      <w:pPr>
        <w:spacing w:after="120"/>
        <w:jc w:val="center"/>
      </w:pPr>
      <w:r>
        <w:rPr>
          <w:rFonts w:ascii="Arial" w:eastAsia="Arial" w:hAnsi="Arial" w:cs="Arial"/>
          <w:sz w:val="24"/>
          <w:szCs w:val="24"/>
        </w:rPr>
        <w:t>Module 2 Assignment: Risk Identification</w:t>
      </w:r>
    </w:p>
    <w:p w14:paraId="28E3FBCB" w14:textId="77777777" w:rsidR="00504719" w:rsidRDefault="00000000">
      <w:pPr>
        <w:spacing w:after="120"/>
        <w:jc w:val="center"/>
      </w:pPr>
      <w:r>
        <w:rPr>
          <w:rFonts w:ascii="Arial" w:eastAsia="Arial" w:hAnsi="Arial" w:cs="Arial"/>
          <w:b/>
          <w:bCs/>
          <w:sz w:val="24"/>
          <w:szCs w:val="24"/>
        </w:rPr>
        <w:t>CIBC: Acquisition of a Digital Insurance Platform</w:t>
      </w:r>
    </w:p>
    <w:p w14:paraId="4D3F66DF" w14:textId="77777777" w:rsidR="00504719" w:rsidRDefault="00504719">
      <w:pPr>
        <w:spacing w:after="120"/>
      </w:pPr>
    </w:p>
    <w:p w14:paraId="145A67D5" w14:textId="77777777" w:rsidR="00504719" w:rsidRDefault="00000000">
      <w:pPr>
        <w:spacing w:after="80"/>
        <w:jc w:val="center"/>
      </w:pPr>
      <w:r>
        <w:rPr>
          <w:rFonts w:ascii="Arial" w:eastAsia="Arial" w:hAnsi="Arial" w:cs="Arial"/>
          <w:b/>
          <w:bCs/>
          <w:sz w:val="26"/>
          <w:szCs w:val="26"/>
        </w:rPr>
        <w:t>Individual Contribution Report</w:t>
      </w:r>
    </w:p>
    <w:p w14:paraId="6B4E22A7" w14:textId="77777777" w:rsidR="00504719" w:rsidRDefault="00000000">
      <w:pPr>
        <w:spacing w:after="80"/>
        <w:jc w:val="center"/>
      </w:pPr>
      <w:r>
        <w:rPr>
          <w:rFonts w:ascii="Arial" w:eastAsia="Arial" w:hAnsi="Arial" w:cs="Arial"/>
          <w:b/>
          <w:bCs/>
          <w:sz w:val="26"/>
          <w:szCs w:val="26"/>
        </w:rPr>
        <w:t>Anthony Onwuka</w:t>
      </w:r>
    </w:p>
    <w:p w14:paraId="2F945D6D" w14:textId="77777777" w:rsidR="00504719" w:rsidRDefault="00000000">
      <w:pPr>
        <w:spacing w:after="80"/>
        <w:jc w:val="center"/>
      </w:pPr>
      <w:r>
        <w:rPr>
          <w:rFonts w:ascii="Arial" w:eastAsia="Arial" w:hAnsi="Arial" w:cs="Arial"/>
          <w:b/>
          <w:bCs/>
          <w:sz w:val="22"/>
          <w:szCs w:val="22"/>
        </w:rPr>
        <w:t>Assigned Risk: Risk 3: First-Mover Market Capture</w:t>
      </w:r>
    </w:p>
    <w:p w14:paraId="69D0E2B5" w14:textId="77777777" w:rsidR="00504719" w:rsidRDefault="00000000">
      <w:pPr>
        <w:spacing w:after="80"/>
        <w:jc w:val="center"/>
      </w:pPr>
      <w:r>
        <w:rPr>
          <w:rFonts w:ascii="Arial" w:eastAsia="Arial" w:hAnsi="Arial" w:cs="Arial"/>
        </w:rPr>
        <w:t>Risk Type: Positive Risk</w:t>
      </w:r>
    </w:p>
    <w:p w14:paraId="0D9617DE" w14:textId="77777777" w:rsidR="00504719" w:rsidRDefault="00000000">
      <w:pPr>
        <w:spacing w:after="80"/>
        <w:jc w:val="center"/>
      </w:pPr>
      <w:r>
        <w:rPr>
          <w:rFonts w:ascii="Arial" w:eastAsia="Arial" w:hAnsi="Arial" w:cs="Arial"/>
        </w:rPr>
        <w:t xml:space="preserve">Course: ALY6130 | Spring 2026 | Instructor: Abeba N. </w:t>
      </w:r>
      <w:proofErr w:type="gramStart"/>
      <w:r>
        <w:rPr>
          <w:rFonts w:ascii="Arial" w:eastAsia="Arial" w:hAnsi="Arial" w:cs="Arial"/>
        </w:rPr>
        <w:t>Turi  |</w:t>
      </w:r>
      <w:proofErr w:type="gramEnd"/>
      <w:r>
        <w:rPr>
          <w:rFonts w:ascii="Arial" w:eastAsia="Arial" w:hAnsi="Arial" w:cs="Arial"/>
        </w:rPr>
        <w:t xml:space="preserve">  Group </w:t>
      </w:r>
      <w:proofErr w:type="gramStart"/>
      <w:r>
        <w:rPr>
          <w:rFonts w:ascii="Arial" w:eastAsia="Arial" w:hAnsi="Arial" w:cs="Arial"/>
        </w:rPr>
        <w:t>7  |</w:t>
      </w:r>
      <w:proofErr w:type="gramEnd"/>
      <w:r>
        <w:rPr>
          <w:rFonts w:ascii="Arial" w:eastAsia="Arial" w:hAnsi="Arial" w:cs="Arial"/>
        </w:rPr>
        <w:t xml:space="preserve">  June 2026</w:t>
      </w:r>
    </w:p>
    <w:p w14:paraId="521E5885" w14:textId="77777777" w:rsidR="00504719" w:rsidRDefault="00504719">
      <w:pPr>
        <w:spacing w:before="120" w:after="120"/>
      </w:pPr>
    </w:p>
    <w:p w14:paraId="7136BAFC" w14:textId="77777777" w:rsidR="00504719" w:rsidRDefault="00504719">
      <w:pPr>
        <w:spacing w:after="120"/>
      </w:pPr>
    </w:p>
    <w:p w14:paraId="5BB03920" w14:textId="77777777" w:rsidR="00504719" w:rsidRDefault="00000000">
      <w:pPr>
        <w:spacing w:before="240" w:after="120"/>
      </w:pPr>
      <w:r>
        <w:rPr>
          <w:rFonts w:ascii="Arial" w:eastAsia="Arial" w:hAnsi="Arial" w:cs="Arial"/>
          <w:b/>
          <w:bCs/>
          <w:sz w:val="28"/>
          <w:szCs w:val="28"/>
        </w:rPr>
        <w:t>SECTION A: Problem Statement — Risk 3</w:t>
      </w:r>
    </w:p>
    <w:p w14:paraId="128C69E7" w14:textId="77777777" w:rsidR="00504719" w:rsidRDefault="00000000">
      <w:pPr>
        <w:spacing w:before="160" w:after="60"/>
      </w:pPr>
      <w:r>
        <w:rPr>
          <w:rFonts w:ascii="Arial" w:eastAsia="Arial" w:hAnsi="Arial" w:cs="Arial"/>
          <w:b/>
          <w:bCs/>
        </w:rPr>
        <w:t>SWOT Source:</w:t>
      </w:r>
    </w:p>
    <w:p w14:paraId="2FC77E43" w14:textId="77777777" w:rsidR="00504719" w:rsidRDefault="00000000">
      <w:pPr>
        <w:spacing w:after="160"/>
      </w:pPr>
      <w:r>
        <w:rPr>
          <w:rFonts w:ascii="Arial" w:eastAsia="Arial" w:hAnsi="Arial" w:cs="Arial"/>
        </w:rPr>
        <w:t>OPPORTUNITY: "Canada's digital insurance market is growing fast, and an early move by a trusted bank brand like CIBC could carve out a meaningful competitive position before the space gets crowded."</w:t>
      </w:r>
    </w:p>
    <w:p w14:paraId="1343A4C9" w14:textId="77777777" w:rsidR="00504719" w:rsidRDefault="00504719">
      <w:pPr>
        <w:spacing w:after="120"/>
      </w:pPr>
    </w:p>
    <w:p w14:paraId="251581B2" w14:textId="77777777" w:rsidR="00504719" w:rsidRDefault="00000000">
      <w:pPr>
        <w:spacing w:after="160"/>
      </w:pPr>
      <w:r>
        <w:rPr>
          <w:rFonts w:ascii="Arial" w:eastAsia="Arial" w:hAnsi="Arial" w:cs="Arial"/>
        </w:rPr>
        <w:t xml:space="preserve">Market research by McKinsey (2023) indicates that Canadian consumers are significantly more willing to purchase insurance from their primary bank than from a standalone </w:t>
      </w:r>
      <w:proofErr w:type="spellStart"/>
      <w:r>
        <w:rPr>
          <w:rFonts w:ascii="Arial" w:eastAsia="Arial" w:hAnsi="Arial" w:cs="Arial"/>
        </w:rPr>
        <w:t>insurtech</w:t>
      </w:r>
      <w:proofErr w:type="spellEnd"/>
      <w:r>
        <w:rPr>
          <w:rFonts w:ascii="Arial" w:eastAsia="Arial" w:hAnsi="Arial" w:cs="Arial"/>
        </w:rPr>
        <w:t xml:space="preserve"> provider, citing trust and convenience as the top drivers. </w:t>
      </w:r>
      <w:proofErr w:type="spellStart"/>
      <w:r>
        <w:rPr>
          <w:rFonts w:ascii="Arial" w:eastAsia="Arial" w:hAnsi="Arial" w:cs="Arial"/>
        </w:rPr>
        <w:t>PolicyMe</w:t>
      </w:r>
      <w:proofErr w:type="spellEnd"/>
      <w:r>
        <w:rPr>
          <w:rFonts w:ascii="Arial" w:eastAsia="Arial" w:hAnsi="Arial" w:cs="Arial"/>
        </w:rPr>
        <w:t xml:space="preserve"> reported 40% year-over-year premium growth in 2023, confirming that digital insurance demand in Canada is real and accelerating. CIBC's opportunity window is narrow — TD and RBC have both announced digital insurance partnerships but have not yet launched integrated products. The positive risk requires monitoring now because if CIBC executes well and captures early adopters, those clients are highly unlikely to switch — creating a durable revenue stream. If CIBC moves too slowly, this opportunity becomes a permanent competitive loss.</w:t>
      </w:r>
    </w:p>
    <w:p w14:paraId="451D58DD" w14:textId="77777777" w:rsidR="00504719" w:rsidRDefault="00504719">
      <w:pPr>
        <w:spacing w:after="120"/>
      </w:pPr>
    </w:p>
    <w:p w14:paraId="11E6EFE7" w14:textId="77777777" w:rsidR="00504719" w:rsidRDefault="00000000">
      <w:pPr>
        <w:spacing w:before="240" w:after="120"/>
      </w:pPr>
      <w:r>
        <w:rPr>
          <w:rFonts w:ascii="Arial" w:eastAsia="Arial" w:hAnsi="Arial" w:cs="Arial"/>
          <w:b/>
          <w:bCs/>
          <w:sz w:val="28"/>
          <w:szCs w:val="28"/>
        </w:rPr>
        <w:t>SECTION B: Risk Statement — Risk 3: First-Mover Market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04719" w14:paraId="7BC3FB9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38E2DAF" w14:textId="77777777" w:rsidR="00504719" w:rsidRDefault="00000000">
            <w:r>
              <w:rPr>
                <w:rFonts w:ascii="Arial" w:eastAsia="Arial" w:hAnsi="Arial" w:cs="Arial"/>
                <w:b/>
                <w:bCs/>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607B7853" w14:textId="77777777" w:rsidR="00504719" w:rsidRDefault="00000000">
            <w:r>
              <w:rPr>
                <w:rFonts w:ascii="Arial" w:eastAsia="Arial" w:hAnsi="Arial" w:cs="Arial"/>
                <w:b/>
                <w:bCs/>
              </w:rPr>
              <w:t>Detail</w:t>
            </w:r>
          </w:p>
        </w:tc>
      </w:tr>
      <w:tr w:rsidR="00504719" w14:paraId="5DDC3AE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8B2B8" w14:textId="77777777" w:rsidR="00504719" w:rsidRDefault="00000000">
            <w:r>
              <w:rPr>
                <w:rFonts w:ascii="Arial" w:eastAsia="Arial" w:hAnsi="Arial" w:cs="Arial"/>
                <w:b/>
                <w:bCs/>
              </w:rPr>
              <w:t>The risk of...</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CF9EA" w14:textId="77777777" w:rsidR="00504719" w:rsidRDefault="00000000">
            <w:r>
              <w:rPr>
                <w:rFonts w:ascii="Arial" w:eastAsia="Arial" w:hAnsi="Arial" w:cs="Arial"/>
              </w:rPr>
              <w:t>Capturing significant first-mover advantage in the Canadian digital banking-and-insurance integration market</w:t>
            </w:r>
          </w:p>
        </w:tc>
      </w:tr>
      <w:tr w:rsidR="00504719" w14:paraId="28412EE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CB942" w14:textId="77777777" w:rsidR="00504719" w:rsidRDefault="00000000">
            <w:r>
              <w:rPr>
                <w:rFonts w:ascii="Arial" w:eastAsia="Arial" w:hAnsi="Arial" w:cs="Arial"/>
                <w:b/>
                <w:bCs/>
              </w:rPr>
              <w:t>Caused by...</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C1729" w14:textId="77777777" w:rsidR="00504719" w:rsidRDefault="00000000">
            <w:r>
              <w:rPr>
                <w:rFonts w:ascii="Arial" w:eastAsia="Arial" w:hAnsi="Arial" w:cs="Arial"/>
              </w:rPr>
              <w:t xml:space="preserve">CIBC's early entry into integrated digital insurance distribution leveraging its existing base of 11 million banking clients and trusted brand, ahead of </w:t>
            </w:r>
            <w:proofErr w:type="spellStart"/>
            <w:r>
              <w:rPr>
                <w:rFonts w:ascii="Arial" w:eastAsia="Arial" w:hAnsi="Arial" w:cs="Arial"/>
              </w:rPr>
              <w:t>insurtech</w:t>
            </w:r>
            <w:proofErr w:type="spellEnd"/>
            <w:r>
              <w:rPr>
                <w:rFonts w:ascii="Arial" w:eastAsia="Arial" w:hAnsi="Arial" w:cs="Arial"/>
              </w:rPr>
              <w:t xml:space="preserve"> competitors like Lemonade and </w:t>
            </w:r>
            <w:proofErr w:type="spellStart"/>
            <w:r>
              <w:rPr>
                <w:rFonts w:ascii="Arial" w:eastAsia="Arial" w:hAnsi="Arial" w:cs="Arial"/>
              </w:rPr>
              <w:t>PolicyMe</w:t>
            </w:r>
            <w:proofErr w:type="spellEnd"/>
            <w:r>
              <w:rPr>
                <w:rFonts w:ascii="Arial" w:eastAsia="Arial" w:hAnsi="Arial" w:cs="Arial"/>
              </w:rPr>
              <w:t xml:space="preserve"> who lack banking relationships, and rival Canadian banks that have not yet launched equivalent integrated platforms</w:t>
            </w:r>
          </w:p>
        </w:tc>
      </w:tr>
      <w:tr w:rsidR="00504719" w14:paraId="14FFA84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01CF1" w14:textId="77777777" w:rsidR="00504719" w:rsidRDefault="00000000">
            <w:r>
              <w:rPr>
                <w:rFonts w:ascii="Arial" w:eastAsia="Arial" w:hAnsi="Arial" w:cs="Arial"/>
                <w:b/>
                <w:bCs/>
              </w:rPr>
              <w:t>Resulting in...</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33406" w14:textId="77777777" w:rsidR="00504719" w:rsidRDefault="00000000">
            <w:r>
              <w:rPr>
                <w:rFonts w:ascii="Arial" w:eastAsia="Arial" w:hAnsi="Arial" w:cs="Arial"/>
              </w:rPr>
              <w:t xml:space="preserve">Substantial digital insurance market share gain, increased revenue per household, deeper and more durable client relationships, and a sustainable competitive advantage that is difficult for either pure </w:t>
            </w:r>
            <w:proofErr w:type="spellStart"/>
            <w:r>
              <w:rPr>
                <w:rFonts w:ascii="Arial" w:eastAsia="Arial" w:hAnsi="Arial" w:cs="Arial"/>
              </w:rPr>
              <w:t>insurtech</w:t>
            </w:r>
            <w:proofErr w:type="spellEnd"/>
            <w:r>
              <w:rPr>
                <w:rFonts w:ascii="Arial" w:eastAsia="Arial" w:hAnsi="Arial" w:cs="Arial"/>
              </w:rPr>
              <w:t xml:space="preserve"> or pure banking competitors to replicate</w:t>
            </w:r>
          </w:p>
        </w:tc>
      </w:tr>
      <w:tr w:rsidR="00504719" w14:paraId="1F6C334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7FE1E" w14:textId="77777777" w:rsidR="00504719" w:rsidRDefault="00000000">
            <w:r>
              <w:rPr>
                <w:rFonts w:ascii="Arial" w:eastAsia="Arial" w:hAnsi="Arial" w:cs="Arial"/>
                <w:b/>
                <w:bCs/>
              </w:rPr>
              <w:t>Risk Type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C9992" w14:textId="77777777" w:rsidR="00504719" w:rsidRDefault="00000000">
            <w:r>
              <w:rPr>
                <w:rFonts w:ascii="Arial" w:eastAsia="Arial" w:hAnsi="Arial" w:cs="Arial"/>
              </w:rPr>
              <w:t>Strategic; Financial; Competitive</w:t>
            </w:r>
          </w:p>
        </w:tc>
      </w:tr>
      <w:tr w:rsidR="00504719" w14:paraId="0845E58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72DD1" w14:textId="77777777" w:rsidR="00504719" w:rsidRDefault="00000000">
            <w:r>
              <w:rPr>
                <w:rFonts w:ascii="Arial" w:eastAsia="Arial" w:hAnsi="Arial" w:cs="Arial"/>
                <w:b/>
                <w:bCs/>
              </w:rPr>
              <w:t>Likelihood Score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55F4C" w14:textId="77777777" w:rsidR="00504719" w:rsidRDefault="00000000">
            <w:r>
              <w:rPr>
                <w:rFonts w:ascii="Arial" w:eastAsia="Arial" w:hAnsi="Arial" w:cs="Arial"/>
              </w:rPr>
              <w:t>7 / 9 — Somewhat Likely</w:t>
            </w:r>
          </w:p>
        </w:tc>
      </w:tr>
      <w:tr w:rsidR="00504719" w14:paraId="613BEA3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3AD6E" w14:textId="77777777" w:rsidR="00504719" w:rsidRDefault="00000000">
            <w:r>
              <w:rPr>
                <w:rFonts w:ascii="Arial" w:eastAsia="Arial" w:hAnsi="Arial" w:cs="Arial"/>
                <w:b/>
                <w:bCs/>
              </w:rPr>
              <w:lastRenderedPageBreak/>
              <w:t>Impact Score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14E0B" w14:textId="77777777" w:rsidR="00504719" w:rsidRDefault="00000000">
            <w:r>
              <w:rPr>
                <w:rFonts w:ascii="Arial" w:eastAsia="Arial" w:hAnsi="Arial" w:cs="Arial"/>
              </w:rPr>
              <w:t>8 / 9 — Extremely High</w:t>
            </w:r>
          </w:p>
        </w:tc>
      </w:tr>
      <w:tr w:rsidR="00504719" w14:paraId="43DECFE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5295213D" w14:textId="77777777" w:rsidR="00504719" w:rsidRDefault="00000000">
            <w:r>
              <w:rPr>
                <w:rFonts w:ascii="Arial" w:eastAsia="Arial" w:hAnsi="Arial" w:cs="Arial"/>
                <w:b/>
                <w:bCs/>
              </w:rPr>
              <w:t>Risk Score</w:t>
            </w:r>
          </w:p>
        </w:tc>
        <w:tc>
          <w:tcPr>
            <w:tcW w:w="7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E28F228" w14:textId="77777777" w:rsidR="00504719" w:rsidRDefault="00000000">
            <w:r>
              <w:rPr>
                <w:rFonts w:ascii="Arial" w:eastAsia="Arial" w:hAnsi="Arial" w:cs="Arial"/>
                <w:b/>
                <w:bCs/>
              </w:rPr>
              <w:t>56 (High Priority — Score 36–81)</w:t>
            </w:r>
          </w:p>
        </w:tc>
      </w:tr>
    </w:tbl>
    <w:p w14:paraId="55DBD0C6" w14:textId="77777777" w:rsidR="00504719" w:rsidRDefault="00504719">
      <w:pPr>
        <w:spacing w:after="120"/>
      </w:pPr>
    </w:p>
    <w:p w14:paraId="6CE52AAC" w14:textId="77777777" w:rsidR="00504719" w:rsidRDefault="00000000">
      <w:pPr>
        <w:spacing w:before="240" w:after="120"/>
      </w:pPr>
      <w:r>
        <w:rPr>
          <w:rFonts w:ascii="Arial" w:eastAsia="Arial" w:hAnsi="Arial" w:cs="Arial"/>
          <w:b/>
          <w:bCs/>
          <w:sz w:val="28"/>
          <w:szCs w:val="28"/>
        </w:rPr>
        <w:t>SECTION C: Impact Statement — Risk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04719" w14:paraId="3535D8E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EA2F428" w14:textId="77777777" w:rsidR="00504719" w:rsidRDefault="00000000">
            <w:r>
              <w:rPr>
                <w:rFonts w:ascii="Arial" w:eastAsia="Arial" w:hAnsi="Arial" w:cs="Arial"/>
                <w:b/>
                <w:bCs/>
              </w:rPr>
              <w:t>Impact Type</w:t>
            </w:r>
          </w:p>
        </w:tc>
        <w:tc>
          <w:tcPr>
            <w:tcW w:w="7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3C7D7D1F" w14:textId="77777777" w:rsidR="00504719" w:rsidRDefault="00000000">
            <w:r>
              <w:rPr>
                <w:rFonts w:ascii="Arial" w:eastAsia="Arial" w:hAnsi="Arial" w:cs="Arial"/>
                <w:b/>
                <w:bCs/>
              </w:rPr>
              <w:t>Impact Description</w:t>
            </w:r>
          </w:p>
        </w:tc>
      </w:tr>
      <w:tr w:rsidR="00504719" w14:paraId="65797AF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E795E" w14:textId="77777777" w:rsidR="00504719" w:rsidRDefault="00000000">
            <w:r>
              <w:rPr>
                <w:rFonts w:ascii="Arial" w:eastAsia="Arial" w:hAnsi="Arial" w:cs="Arial"/>
                <w:b/>
                <w:bCs/>
              </w:rPr>
              <w:t>Financial (positive)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3037C" w14:textId="77777777" w:rsidR="00504719" w:rsidRDefault="00000000">
            <w:r>
              <w:rPr>
                <w:rFonts w:ascii="Arial" w:eastAsia="Arial" w:hAnsi="Arial" w:cs="Arial"/>
              </w:rPr>
              <w:t>Achieving 5% adoption among 11 million clients within 18 months would generate approximately CAD $165 million in annual insurance premiums at average policy values, creating a new non-interest revenue stream that meaningfully offsets declining net interest margins.</w:t>
            </w:r>
          </w:p>
        </w:tc>
      </w:tr>
      <w:tr w:rsidR="00504719" w14:paraId="5EB973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E7A06" w14:textId="77777777" w:rsidR="00504719" w:rsidRDefault="00000000">
            <w:r>
              <w:rPr>
                <w:rFonts w:ascii="Arial" w:eastAsia="Arial" w:hAnsi="Arial" w:cs="Arial"/>
                <w:b/>
                <w:bCs/>
              </w:rPr>
              <w:t>Strategic (positive)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BDF12" w14:textId="77777777" w:rsidR="00504719" w:rsidRDefault="00000000">
            <w:r>
              <w:rPr>
                <w:rFonts w:ascii="Arial" w:eastAsia="Arial" w:hAnsi="Arial" w:cs="Arial"/>
              </w:rPr>
              <w:t>Market share captured from banking clients is highly sticky — research shows that bundled financial services clients have attrition rates 60% lower than single-product clients, providing a long-term revenue and relationship advantage.</w:t>
            </w:r>
          </w:p>
        </w:tc>
      </w:tr>
      <w:tr w:rsidR="00504719" w14:paraId="31CCE30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E29A7" w14:textId="77777777" w:rsidR="00504719" w:rsidRDefault="00000000">
            <w:r>
              <w:rPr>
                <w:rFonts w:ascii="Arial" w:eastAsia="Arial" w:hAnsi="Arial" w:cs="Arial"/>
                <w:b/>
                <w:bCs/>
              </w:rPr>
              <w:t>Competitive (positive)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0B000" w14:textId="77777777" w:rsidR="00504719" w:rsidRDefault="00000000">
            <w:r>
              <w:rPr>
                <w:rFonts w:ascii="Arial" w:eastAsia="Arial" w:hAnsi="Arial" w:cs="Arial"/>
              </w:rPr>
              <w:t xml:space="preserve">Establishing CIBC as the leading integrated banking-and-insurance provider in Canada creates brand differentiation that pure </w:t>
            </w:r>
            <w:proofErr w:type="spellStart"/>
            <w:r>
              <w:rPr>
                <w:rFonts w:ascii="Arial" w:eastAsia="Arial" w:hAnsi="Arial" w:cs="Arial"/>
              </w:rPr>
              <w:t>insurtechs</w:t>
            </w:r>
            <w:proofErr w:type="spellEnd"/>
            <w:r>
              <w:rPr>
                <w:rFonts w:ascii="Arial" w:eastAsia="Arial" w:hAnsi="Arial" w:cs="Arial"/>
              </w:rPr>
              <w:t xml:space="preserve"> cannot replicate without banking </w:t>
            </w:r>
            <w:proofErr w:type="spellStart"/>
            <w:r>
              <w:rPr>
                <w:rFonts w:ascii="Arial" w:eastAsia="Arial" w:hAnsi="Arial" w:cs="Arial"/>
              </w:rPr>
              <w:t>licences</w:t>
            </w:r>
            <w:proofErr w:type="spellEnd"/>
            <w:r>
              <w:rPr>
                <w:rFonts w:ascii="Arial" w:eastAsia="Arial" w:hAnsi="Arial" w:cs="Arial"/>
              </w:rPr>
              <w:t xml:space="preserve"> and that banking competitors cannot quickly replicate without equivalent technical investment.</w:t>
            </w:r>
          </w:p>
        </w:tc>
      </w:tr>
      <w:tr w:rsidR="00504719" w14:paraId="113B68E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DE354" w14:textId="77777777" w:rsidR="00504719" w:rsidRDefault="00000000">
            <w:r>
              <w:rPr>
                <w:rFonts w:ascii="Arial" w:eastAsia="Arial" w:hAnsi="Arial" w:cs="Arial"/>
                <w:b/>
                <w:bCs/>
              </w:rPr>
              <w:t>Opportunity cost if missed</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6BCF2" w14:textId="77777777" w:rsidR="00504719" w:rsidRDefault="00000000">
            <w:r>
              <w:rPr>
                <w:rFonts w:ascii="Arial" w:eastAsia="Arial" w:hAnsi="Arial" w:cs="Arial"/>
              </w:rPr>
              <w:t xml:space="preserve">If Lemonade, </w:t>
            </w:r>
            <w:proofErr w:type="spellStart"/>
            <w:r>
              <w:rPr>
                <w:rFonts w:ascii="Arial" w:eastAsia="Arial" w:hAnsi="Arial" w:cs="Arial"/>
              </w:rPr>
              <w:t>PolicyMe</w:t>
            </w:r>
            <w:proofErr w:type="spellEnd"/>
            <w:r>
              <w:rPr>
                <w:rFonts w:ascii="Arial" w:eastAsia="Arial" w:hAnsi="Arial" w:cs="Arial"/>
              </w:rPr>
              <w:t>, or a rival Canadian bank captures this market segment first, CIBC's cost of entering an already-competitive market rises significantly — estimated at CAD $40 to 60 million in additional marketing and incentive costs to achieve equivalent market penetration three to four years later.</w:t>
            </w:r>
          </w:p>
        </w:tc>
      </w:tr>
    </w:tbl>
    <w:p w14:paraId="2F354436" w14:textId="77777777" w:rsidR="00504719" w:rsidRDefault="00504719">
      <w:pPr>
        <w:spacing w:after="120"/>
      </w:pPr>
    </w:p>
    <w:p w14:paraId="2986859D" w14:textId="77777777" w:rsidR="00504719" w:rsidRDefault="00000000">
      <w:pPr>
        <w:spacing w:before="240" w:after="120"/>
      </w:pPr>
      <w:r>
        <w:rPr>
          <w:rFonts w:ascii="Arial" w:eastAsia="Arial" w:hAnsi="Arial" w:cs="Arial"/>
          <w:b/>
          <w:bCs/>
          <w:sz w:val="28"/>
          <w:szCs w:val="28"/>
        </w:rPr>
        <w:t>SECTION D: Key Risk Indicator (KRI) — Risk 3</w:t>
      </w:r>
    </w:p>
    <w:p w14:paraId="28C0A224" w14:textId="77777777" w:rsidR="00504719" w:rsidRDefault="00000000">
      <w:pPr>
        <w:spacing w:before="160" w:after="60"/>
      </w:pPr>
      <w:r>
        <w:rPr>
          <w:rFonts w:ascii="Arial" w:eastAsia="Arial" w:hAnsi="Arial" w:cs="Arial"/>
          <w:b/>
          <w:bCs/>
        </w:rPr>
        <w:t>Selected KRI:</w:t>
      </w:r>
    </w:p>
    <w:p w14:paraId="01190B36" w14:textId="77777777" w:rsidR="00504719" w:rsidRDefault="00000000">
      <w:pPr>
        <w:spacing w:after="160"/>
      </w:pPr>
      <w:r>
        <w:rPr>
          <w:rFonts w:ascii="Arial" w:eastAsia="Arial" w:hAnsi="Arial" w:cs="Arial"/>
        </w:rPr>
        <w:t>Monthly digital insurance client adoption rate — percentage of active CIBC digital banking clients who have purchased at least one insurance product through the platform (Leading Indicator — predicts future revenue trajectory and market share position before financial results are reported).</w:t>
      </w:r>
    </w:p>
    <w:p w14:paraId="38CFB8B6" w14:textId="77777777" w:rsidR="00504719" w:rsidRDefault="0050471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360"/>
      </w:tblGrid>
      <w:tr w:rsidR="00504719" w14:paraId="119A0FF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13EDEA66" w14:textId="77777777" w:rsidR="00504719" w:rsidRDefault="00000000">
            <w:r>
              <w:rPr>
                <w:rFonts w:ascii="Arial" w:eastAsia="Arial" w:hAnsi="Arial" w:cs="Arial"/>
                <w:b/>
                <w:bCs/>
              </w:rPr>
              <w:t>Level</w:t>
            </w:r>
          </w:p>
        </w:tc>
        <w:tc>
          <w:tcPr>
            <w:tcW w:w="1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2946068D" w14:textId="77777777" w:rsidR="00504719" w:rsidRDefault="00000000">
            <w:r>
              <w:rPr>
                <w:rFonts w:ascii="Arial" w:eastAsia="Arial" w:hAnsi="Arial" w:cs="Arial"/>
                <w:b/>
                <w:bCs/>
              </w:rPr>
              <w:t>Status</w:t>
            </w:r>
          </w:p>
        </w:tc>
        <w:tc>
          <w:tcPr>
            <w:tcW w:w="6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E760B3D" w14:textId="77777777" w:rsidR="00504719" w:rsidRDefault="00000000">
            <w:r>
              <w:rPr>
                <w:rFonts w:ascii="Arial" w:eastAsia="Arial" w:hAnsi="Arial" w:cs="Arial"/>
                <w:b/>
                <w:bCs/>
              </w:rPr>
              <w:t>Threshold Definition and Required Action</w:t>
            </w:r>
          </w:p>
        </w:tc>
      </w:tr>
      <w:tr w:rsidR="00504719" w14:paraId="20CBB40E"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tcPr>
          <w:p w14:paraId="5E62F9F3" w14:textId="77777777" w:rsidR="00504719" w:rsidRDefault="00000000">
            <w:r>
              <w:rPr>
                <w:rFonts w:ascii="Arial" w:eastAsia="Arial" w:hAnsi="Arial" w:cs="Arial"/>
                <w:b/>
                <w:bCs/>
              </w:rPr>
              <w:t>GREEN</w:t>
            </w:r>
          </w:p>
        </w:tc>
        <w:tc>
          <w:tcPr>
            <w:tcW w:w="160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tcPr>
          <w:p w14:paraId="161BD837" w14:textId="77777777" w:rsidR="00504719" w:rsidRDefault="00000000">
            <w:r>
              <w:rPr>
                <w:rFonts w:ascii="Arial" w:eastAsia="Arial" w:hAnsi="Arial" w:cs="Arial"/>
              </w:rPr>
              <w:t>Optimized — Within Risk Appetite</w:t>
            </w:r>
          </w:p>
        </w:tc>
        <w:tc>
          <w:tcPr>
            <w:tcW w:w="6360" w:type="dxa"/>
            <w:tcBorders>
              <w:top w:val="single" w:sz="4" w:space="0" w:color="000000"/>
              <w:left w:val="single" w:sz="4" w:space="0" w:color="000000"/>
              <w:bottom w:val="single" w:sz="4" w:space="0" w:color="000000"/>
              <w:right w:val="single" w:sz="4" w:space="0" w:color="000000"/>
            </w:tcBorders>
            <w:shd w:val="clear" w:color="auto" w:fill="C6EFCE"/>
            <w:tcMar>
              <w:top w:w="80" w:type="dxa"/>
              <w:left w:w="120" w:type="dxa"/>
              <w:bottom w:w="80" w:type="dxa"/>
              <w:right w:w="120" w:type="dxa"/>
            </w:tcMar>
          </w:tcPr>
          <w:p w14:paraId="45426FE6" w14:textId="77777777" w:rsidR="00504719" w:rsidRDefault="00000000">
            <w:r>
              <w:rPr>
                <w:rFonts w:ascii="Arial" w:eastAsia="Arial" w:hAnsi="Arial" w:cs="Arial"/>
              </w:rPr>
              <w:t xml:space="preserve">Adoption rate above 5% of active digital banking clients within 12 months of launch. Platform is capturing early market share ahead of projections. Cross-sell </w:t>
            </w:r>
            <w:proofErr w:type="spellStart"/>
            <w:r>
              <w:rPr>
                <w:rFonts w:ascii="Arial" w:eastAsia="Arial" w:hAnsi="Arial" w:cs="Arial"/>
              </w:rPr>
              <w:t>programme</w:t>
            </w:r>
            <w:proofErr w:type="spellEnd"/>
            <w:r>
              <w:rPr>
                <w:rFonts w:ascii="Arial" w:eastAsia="Arial" w:hAnsi="Arial" w:cs="Arial"/>
              </w:rPr>
              <w:t xml:space="preserve"> is performing as planned.</w:t>
            </w:r>
          </w:p>
        </w:tc>
      </w:tr>
      <w:tr w:rsidR="00504719" w14:paraId="7629FC4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20" w:type="dxa"/>
              <w:bottom w:w="80" w:type="dxa"/>
              <w:right w:w="120" w:type="dxa"/>
            </w:tcMar>
          </w:tcPr>
          <w:p w14:paraId="41C74D56" w14:textId="77777777" w:rsidR="00504719" w:rsidRDefault="00000000">
            <w:r>
              <w:rPr>
                <w:rFonts w:ascii="Arial" w:eastAsia="Arial" w:hAnsi="Arial" w:cs="Arial"/>
                <w:b/>
                <w:bCs/>
              </w:rPr>
              <w:t>AMBER</w:t>
            </w:r>
          </w:p>
        </w:tc>
        <w:tc>
          <w:tcPr>
            <w:tcW w:w="160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20" w:type="dxa"/>
              <w:bottom w:w="80" w:type="dxa"/>
              <w:right w:w="120" w:type="dxa"/>
            </w:tcMar>
          </w:tcPr>
          <w:p w14:paraId="15EEA453" w14:textId="77777777" w:rsidR="00504719" w:rsidRDefault="00000000">
            <w:r>
              <w:rPr>
                <w:rFonts w:ascii="Arial" w:eastAsia="Arial" w:hAnsi="Arial" w:cs="Arial"/>
              </w:rPr>
              <w:t>Warning — Risk Increasing</w:t>
            </w:r>
          </w:p>
        </w:tc>
        <w:tc>
          <w:tcPr>
            <w:tcW w:w="6360" w:type="dxa"/>
            <w:tcBorders>
              <w:top w:val="single" w:sz="4" w:space="0" w:color="000000"/>
              <w:left w:val="single" w:sz="4" w:space="0" w:color="000000"/>
              <w:bottom w:val="single" w:sz="4" w:space="0" w:color="000000"/>
              <w:right w:val="single" w:sz="4" w:space="0" w:color="000000"/>
            </w:tcBorders>
            <w:shd w:val="clear" w:color="auto" w:fill="FFEB9C"/>
            <w:tcMar>
              <w:top w:w="80" w:type="dxa"/>
              <w:left w:w="120" w:type="dxa"/>
              <w:bottom w:w="80" w:type="dxa"/>
              <w:right w:w="120" w:type="dxa"/>
            </w:tcMar>
          </w:tcPr>
          <w:p w14:paraId="7F22D3F3" w14:textId="77777777" w:rsidR="00504719" w:rsidRDefault="00000000">
            <w:r>
              <w:rPr>
                <w:rFonts w:ascii="Arial" w:eastAsia="Arial" w:hAnsi="Arial" w:cs="Arial"/>
              </w:rPr>
              <w:t xml:space="preserve">Adoption rate between 2% and 5% at 12 months post-launch. Marketing effectiveness reviewed. Advisor cross-sell incentive </w:t>
            </w:r>
            <w:proofErr w:type="spellStart"/>
            <w:r>
              <w:rPr>
                <w:rFonts w:ascii="Arial" w:eastAsia="Arial" w:hAnsi="Arial" w:cs="Arial"/>
              </w:rPr>
              <w:t>programme</w:t>
            </w:r>
            <w:proofErr w:type="spellEnd"/>
            <w:r>
              <w:rPr>
                <w:rFonts w:ascii="Arial" w:eastAsia="Arial" w:hAnsi="Arial" w:cs="Arial"/>
              </w:rPr>
              <w:t xml:space="preserve"> reassessed. Competitive benchmarking analysis commissioned to identify gap versus projections.</w:t>
            </w:r>
          </w:p>
        </w:tc>
      </w:tr>
      <w:tr w:rsidR="00504719" w14:paraId="150D659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20" w:type="dxa"/>
              <w:bottom w:w="80" w:type="dxa"/>
              <w:right w:w="120" w:type="dxa"/>
            </w:tcMar>
          </w:tcPr>
          <w:p w14:paraId="43BFF1F4" w14:textId="77777777" w:rsidR="00504719" w:rsidRDefault="00000000">
            <w:r>
              <w:rPr>
                <w:rFonts w:ascii="Arial" w:eastAsia="Arial" w:hAnsi="Arial" w:cs="Arial"/>
                <w:b/>
                <w:bCs/>
              </w:rPr>
              <w:t>RED</w:t>
            </w:r>
          </w:p>
        </w:tc>
        <w:tc>
          <w:tcPr>
            <w:tcW w:w="160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20" w:type="dxa"/>
              <w:bottom w:w="80" w:type="dxa"/>
              <w:right w:w="120" w:type="dxa"/>
            </w:tcMar>
          </w:tcPr>
          <w:p w14:paraId="35B20677" w14:textId="77777777" w:rsidR="00504719" w:rsidRDefault="00000000">
            <w:r>
              <w:rPr>
                <w:rFonts w:ascii="Arial" w:eastAsia="Arial" w:hAnsi="Arial" w:cs="Arial"/>
              </w:rPr>
              <w:t>Critical — Immediate Action</w:t>
            </w:r>
          </w:p>
        </w:tc>
        <w:tc>
          <w:tcPr>
            <w:tcW w:w="6360" w:type="dxa"/>
            <w:tcBorders>
              <w:top w:val="single" w:sz="4" w:space="0" w:color="000000"/>
              <w:left w:val="single" w:sz="4" w:space="0" w:color="000000"/>
              <w:bottom w:val="single" w:sz="4" w:space="0" w:color="000000"/>
              <w:right w:val="single" w:sz="4" w:space="0" w:color="000000"/>
            </w:tcBorders>
            <w:shd w:val="clear" w:color="auto" w:fill="FFC7CE"/>
            <w:tcMar>
              <w:top w:w="80" w:type="dxa"/>
              <w:left w:w="120" w:type="dxa"/>
              <w:bottom w:w="80" w:type="dxa"/>
              <w:right w:w="120" w:type="dxa"/>
            </w:tcMar>
          </w:tcPr>
          <w:p w14:paraId="09AEE17E" w14:textId="77777777" w:rsidR="00504719" w:rsidRDefault="00000000">
            <w:r>
              <w:rPr>
                <w:rFonts w:ascii="Arial" w:eastAsia="Arial" w:hAnsi="Arial" w:cs="Arial"/>
              </w:rPr>
              <w:t>Adoption rate below 2% at 12 months post-launch OR a major Canadian bank competitor launches an integrated banking-and-insurance platform before CIBC achieves meaningful market share. Immediate strategy committee review. CEO briefed. Assessment of whether additional product features, pricing adjustments, or partnership arrangements are required.</w:t>
            </w:r>
          </w:p>
        </w:tc>
      </w:tr>
    </w:tbl>
    <w:p w14:paraId="3DFED18E" w14:textId="77777777" w:rsidR="00504719" w:rsidRDefault="00504719">
      <w:pPr>
        <w:spacing w:after="120"/>
      </w:pPr>
    </w:p>
    <w:p w14:paraId="73BA18E9" w14:textId="77777777" w:rsidR="00504719" w:rsidRDefault="00000000">
      <w:pPr>
        <w:spacing w:before="240" w:after="120"/>
      </w:pPr>
      <w:r>
        <w:rPr>
          <w:rFonts w:ascii="Arial" w:eastAsia="Arial" w:hAnsi="Arial" w:cs="Arial"/>
          <w:b/>
          <w:bCs/>
          <w:sz w:val="28"/>
          <w:szCs w:val="28"/>
        </w:rPr>
        <w:lastRenderedPageBreak/>
        <w:t>SECTION E: Conclusion</w:t>
      </w:r>
    </w:p>
    <w:p w14:paraId="455AAB2A" w14:textId="77777777" w:rsidR="00504719" w:rsidRDefault="00000000">
      <w:pPr>
        <w:spacing w:after="160"/>
      </w:pPr>
      <w:r>
        <w:rPr>
          <w:rFonts w:ascii="Arial" w:eastAsia="Arial" w:hAnsi="Arial" w:cs="Arial"/>
        </w:rPr>
        <w:t>(Lead author for this section on behalf of Group 7)</w:t>
      </w:r>
    </w:p>
    <w:p w14:paraId="42654226" w14:textId="77777777" w:rsidR="00504719" w:rsidRDefault="00504719">
      <w:pPr>
        <w:spacing w:after="120"/>
      </w:pPr>
    </w:p>
    <w:p w14:paraId="41A7881E" w14:textId="77777777" w:rsidR="00504719" w:rsidRDefault="00000000">
      <w:pPr>
        <w:spacing w:after="160"/>
      </w:pPr>
      <w:r>
        <w:rPr>
          <w:rFonts w:ascii="Arial" w:eastAsia="Arial" w:hAnsi="Arial" w:cs="Arial"/>
        </w:rPr>
        <w:t>This risk identification report has identified two negative competitive risks and one positive competitive risk for CIBC's digital insurance platform acquisition, using the SWOT analysis from Module 1 as its foundation. The two negative risks — data privacy breach and regulatory non-compliance — reflect the genuinely new and complex risk environment CIBC enters when it combines banking and insurance operations in a digital channel. Both carry High priority scores driven by very high likelihood of occurrence and extremely high potential impact. The positive risk — first-mover market capture — reflects a real and time-sensitive opportunity that is directly supported by market research and competitive intelligence.</w:t>
      </w:r>
    </w:p>
    <w:p w14:paraId="531DB858" w14:textId="77777777" w:rsidR="00504719" w:rsidRDefault="00504719">
      <w:pPr>
        <w:spacing w:after="120"/>
      </w:pPr>
    </w:p>
    <w:p w14:paraId="3635F2D1" w14:textId="77777777" w:rsidR="00504719" w:rsidRDefault="00000000">
      <w:pPr>
        <w:spacing w:after="160"/>
      </w:pPr>
      <w:r>
        <w:rPr>
          <w:rFonts w:ascii="Arial" w:eastAsia="Arial" w:hAnsi="Arial" w:cs="Arial"/>
        </w:rPr>
        <w:t xml:space="preserve">Each risk has been given a leading Key Risk Indicator with specific, measurable Green, Amber, and </w:t>
      </w:r>
      <w:proofErr w:type="gramStart"/>
      <w:r>
        <w:rPr>
          <w:rFonts w:ascii="Arial" w:eastAsia="Arial" w:hAnsi="Arial" w:cs="Arial"/>
        </w:rPr>
        <w:t>Red</w:t>
      </w:r>
      <w:proofErr w:type="gramEnd"/>
      <w:r>
        <w:rPr>
          <w:rFonts w:ascii="Arial" w:eastAsia="Arial" w:hAnsi="Arial" w:cs="Arial"/>
        </w:rPr>
        <w:t xml:space="preserve"> thresholds that give CIBC's management and board actionable signals before a risk event occurs — not after. This is the fundamental purpose of KRIs in an ERM framework: to shift the </w:t>
      </w:r>
      <w:proofErr w:type="spellStart"/>
      <w:r>
        <w:rPr>
          <w:rFonts w:ascii="Arial" w:eastAsia="Arial" w:hAnsi="Arial" w:cs="Arial"/>
        </w:rPr>
        <w:t>organisation</w:t>
      </w:r>
      <w:proofErr w:type="spellEnd"/>
      <w:r>
        <w:rPr>
          <w:rFonts w:ascii="Arial" w:eastAsia="Arial" w:hAnsi="Arial" w:cs="Arial"/>
        </w:rPr>
        <w:t xml:space="preserve"> from reactive crisis management to proactive risk governance.</w:t>
      </w:r>
    </w:p>
    <w:p w14:paraId="4EB11683" w14:textId="77777777" w:rsidR="00504719" w:rsidRDefault="00504719">
      <w:pPr>
        <w:spacing w:after="120"/>
      </w:pPr>
    </w:p>
    <w:p w14:paraId="7AB99094" w14:textId="77777777" w:rsidR="00504719" w:rsidRDefault="00000000">
      <w:pPr>
        <w:spacing w:before="240" w:after="120"/>
      </w:pPr>
      <w:r>
        <w:rPr>
          <w:rFonts w:ascii="Arial" w:eastAsia="Arial" w:hAnsi="Arial" w:cs="Arial"/>
          <w:b/>
          <w:bCs/>
          <w:sz w:val="28"/>
          <w:szCs w:val="28"/>
        </w:rPr>
        <w:t>SECTION F: References</w:t>
      </w:r>
    </w:p>
    <w:p w14:paraId="3BEC7AAC" w14:textId="77777777" w:rsidR="00504719" w:rsidRDefault="00000000">
      <w:pPr>
        <w:spacing w:after="160"/>
      </w:pPr>
      <w:r>
        <w:rPr>
          <w:rFonts w:ascii="Arial" w:eastAsia="Arial" w:hAnsi="Arial" w:cs="Arial"/>
        </w:rPr>
        <w:t>(Lead author for this section on behalf of Group 7)</w:t>
      </w:r>
    </w:p>
    <w:p w14:paraId="7A2AEA87" w14:textId="77777777" w:rsidR="00504719" w:rsidRDefault="00504719">
      <w:pPr>
        <w:spacing w:after="120"/>
      </w:pPr>
    </w:p>
    <w:p w14:paraId="5B743946" w14:textId="77777777" w:rsidR="00504719" w:rsidRDefault="00000000">
      <w:pPr>
        <w:spacing w:after="160"/>
      </w:pPr>
      <w:r>
        <w:rPr>
          <w:rFonts w:ascii="Arial" w:eastAsia="Arial" w:hAnsi="Arial" w:cs="Arial"/>
        </w:rPr>
        <w:t>Beasley, M. S., Branson, B. C., &amp; Hancock, B. V. (2010). Developing key risk indicators to strengthen enterprise risk management. Committee of Sponsoring Organizations of the Treadway Commission. https://www.coso.org</w:t>
      </w:r>
    </w:p>
    <w:p w14:paraId="14C6126A" w14:textId="77777777" w:rsidR="00504719" w:rsidRDefault="00000000">
      <w:pPr>
        <w:spacing w:after="160"/>
      </w:pPr>
      <w:r>
        <w:rPr>
          <w:rFonts w:ascii="Arial" w:eastAsia="Arial" w:hAnsi="Arial" w:cs="Arial"/>
        </w:rPr>
        <w:t>CIBC. (2023). 2023 annual report. https://www.cibc.com/content/dam/about_cibc/investor_relations/pdfs/annual_accounts/2023ar-en.pdf</w:t>
      </w:r>
    </w:p>
    <w:p w14:paraId="0DBD3A23" w14:textId="77777777" w:rsidR="00504719" w:rsidRDefault="00000000">
      <w:pPr>
        <w:spacing w:after="160"/>
      </w:pPr>
      <w:r>
        <w:rPr>
          <w:rFonts w:ascii="Arial" w:eastAsia="Arial" w:hAnsi="Arial" w:cs="Arial"/>
        </w:rPr>
        <w:t>Curtis, P., &amp; Carey, M. (2012). Risk assessment in practice. Deloitte &amp; Touche LLP &amp; Committee of Sponsoring Organizations of the Treadway Commission. https://www.coso.org</w:t>
      </w:r>
    </w:p>
    <w:p w14:paraId="2F6C0B16" w14:textId="77777777" w:rsidR="00504719" w:rsidRDefault="00000000">
      <w:pPr>
        <w:spacing w:after="160"/>
      </w:pPr>
      <w:r>
        <w:rPr>
          <w:rFonts w:ascii="Arial" w:eastAsia="Arial" w:hAnsi="Arial" w:cs="Arial"/>
        </w:rPr>
        <w:t>Deloitte. (2013). Exploring strategic risk: 300 executives around the world say their view of strategic risk is changing. Deloitte/Forbes Insights. https://www.deloitte.com/strategicrisksurvey</w:t>
      </w:r>
    </w:p>
    <w:p w14:paraId="5EF21193" w14:textId="77777777" w:rsidR="00504719" w:rsidRDefault="00000000">
      <w:pPr>
        <w:spacing w:after="160"/>
      </w:pPr>
      <w:r>
        <w:rPr>
          <w:rFonts w:ascii="Arial" w:eastAsia="Arial" w:hAnsi="Arial" w:cs="Arial"/>
        </w:rPr>
        <w:t>McKinsey Global Institute. (2023). Consumer financial services survey: Banking and insurance integration preferences. McKinsey &amp; Company.</w:t>
      </w:r>
    </w:p>
    <w:p w14:paraId="0799124B" w14:textId="77777777" w:rsidR="00504719" w:rsidRDefault="00000000">
      <w:pPr>
        <w:spacing w:after="160"/>
      </w:pPr>
      <w:r>
        <w:rPr>
          <w:rFonts w:ascii="Arial" w:eastAsia="Arial" w:hAnsi="Arial" w:cs="Arial"/>
        </w:rPr>
        <w:t>Office of the Privacy Commissioner of Canada. (2023). Guidance on the Consumer Privacy Protection Act (Bill C-27). https://www.priv.gc.ca</w:t>
      </w:r>
    </w:p>
    <w:p w14:paraId="165F6B37" w14:textId="77777777" w:rsidR="00504719" w:rsidRDefault="00000000">
      <w:pPr>
        <w:spacing w:after="160"/>
      </w:pPr>
      <w:r>
        <w:rPr>
          <w:rFonts w:ascii="Arial" w:eastAsia="Arial" w:hAnsi="Arial" w:cs="Arial"/>
        </w:rPr>
        <w:t>Swiss Re Institute. (2023). Digital insurance market report 2023. Swiss Re Group.</w:t>
      </w:r>
    </w:p>
    <w:p w14:paraId="65A0D7A6" w14:textId="77777777" w:rsidR="00504719" w:rsidRDefault="00504719">
      <w:pPr>
        <w:spacing w:after="120"/>
      </w:pPr>
    </w:p>
    <w:p w14:paraId="667DDDC2" w14:textId="77777777" w:rsidR="00504719" w:rsidRDefault="00000000">
      <w:pPr>
        <w:spacing w:before="240" w:after="120"/>
      </w:pPr>
      <w:r>
        <w:rPr>
          <w:rFonts w:ascii="Arial" w:eastAsia="Arial" w:hAnsi="Arial" w:cs="Arial"/>
          <w:b/>
          <w:bCs/>
          <w:sz w:val="28"/>
          <w:szCs w:val="28"/>
        </w:rPr>
        <w:t>SECTION G: Excel Workbook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04719" w14:paraId="09EE54A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05B14F3F" w14:textId="77777777" w:rsidR="00504719" w:rsidRDefault="00000000">
            <w:r>
              <w:rPr>
                <w:rFonts w:ascii="Arial" w:eastAsia="Arial" w:hAnsi="Arial" w:cs="Arial"/>
                <w:b/>
                <w:bCs/>
              </w:rPr>
              <w:t>Excel Sheet</w:t>
            </w:r>
          </w:p>
        </w:tc>
        <w:tc>
          <w:tcPr>
            <w:tcW w:w="6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tcPr>
          <w:p w14:paraId="7E39C959" w14:textId="77777777" w:rsidR="00504719" w:rsidRDefault="00000000">
            <w:r>
              <w:rPr>
                <w:rFonts w:ascii="Arial" w:eastAsia="Arial" w:hAnsi="Arial" w:cs="Arial"/>
                <w:b/>
                <w:bCs/>
              </w:rPr>
              <w:t>Contribution</w:t>
            </w:r>
          </w:p>
        </w:tc>
      </w:tr>
      <w:tr w:rsidR="00504719" w14:paraId="5C1CA48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1F46B" w14:textId="77777777" w:rsidR="00504719" w:rsidRDefault="00000000">
            <w:r>
              <w:rPr>
                <w:rFonts w:ascii="Arial" w:eastAsia="Arial" w:hAnsi="Arial" w:cs="Arial"/>
              </w:rPr>
              <w:t>Risk Register — Row 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A625E" w14:textId="77777777" w:rsidR="00504719" w:rsidRDefault="00000000">
            <w:r>
              <w:rPr>
                <w:rFonts w:ascii="Arial" w:eastAsia="Arial" w:hAnsi="Arial" w:cs="Arial"/>
              </w:rPr>
              <w:t>First-Mover Market Capture | L=7, I=8, RS=56 | Priority: H | Owner: Chief Strategy Officer / CFO</w:t>
            </w:r>
          </w:p>
        </w:tc>
      </w:tr>
      <w:tr w:rsidR="00504719" w14:paraId="03DDE73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012E0" w14:textId="77777777" w:rsidR="00504719" w:rsidRDefault="00000000">
            <w:r>
              <w:rPr>
                <w:rFonts w:ascii="Arial" w:eastAsia="Arial" w:hAnsi="Arial" w:cs="Arial"/>
              </w:rPr>
              <w:t>KRI Framework — Row 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0FAB0" w14:textId="77777777" w:rsidR="00504719" w:rsidRDefault="00000000">
            <w:r>
              <w:rPr>
                <w:rFonts w:ascii="Arial" w:eastAsia="Arial" w:hAnsi="Arial" w:cs="Arial"/>
              </w:rPr>
              <w:t>KRI: Monthly digital insurance client adoption rate (%) | Green/Amber/Red thresholds | KRI Owner: Chief Strategy Officer</w:t>
            </w:r>
          </w:p>
        </w:tc>
      </w:tr>
      <w:tr w:rsidR="00504719" w14:paraId="22430B9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BE213" w14:textId="77777777" w:rsidR="00504719" w:rsidRDefault="00000000">
            <w:r>
              <w:rPr>
                <w:rFonts w:ascii="Arial" w:eastAsia="Arial" w:hAnsi="Arial" w:cs="Arial"/>
              </w:rPr>
              <w:lastRenderedPageBreak/>
              <w:t>Risk Calculation Sheet — Risk 3</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CDC7A" w14:textId="77777777" w:rsidR="00504719" w:rsidRDefault="00000000">
            <w:r>
              <w:rPr>
                <w:rFonts w:ascii="Arial" w:eastAsia="Arial" w:hAnsi="Arial" w:cs="Arial"/>
              </w:rPr>
              <w:t>Risk 3 calculation block: likelihood, impact scores, impact-by-type breakdown, impact statement, mitigation controls</w:t>
            </w:r>
          </w:p>
        </w:tc>
      </w:tr>
    </w:tbl>
    <w:p w14:paraId="012150F8" w14:textId="77777777" w:rsidR="00504719" w:rsidRDefault="00504719">
      <w:pPr>
        <w:spacing w:after="120"/>
      </w:pPr>
    </w:p>
    <w:sectPr w:rsidR="005047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2D4C" w14:textId="77777777" w:rsidR="00D05410" w:rsidRDefault="00D05410">
      <w:r>
        <w:separator/>
      </w:r>
    </w:p>
  </w:endnote>
  <w:endnote w:type="continuationSeparator" w:id="0">
    <w:p w14:paraId="0C86ECD2" w14:textId="77777777" w:rsidR="00D05410" w:rsidRDefault="00D05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6E4A" w14:textId="77777777" w:rsidR="00504719" w:rsidRDefault="00000000">
    <w:pPr>
      <w:jc w:val="cente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491FE4">
      <w:rPr>
        <w:rFonts w:ascii="Arial" w:eastAsia="Arial" w:hAnsi="Arial" w:cs="Arial"/>
        <w:noProof/>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0B36" w14:textId="77777777" w:rsidR="00D05410" w:rsidRDefault="00D05410">
      <w:r>
        <w:separator/>
      </w:r>
    </w:p>
  </w:footnote>
  <w:footnote w:type="continuationSeparator" w:id="0">
    <w:p w14:paraId="2EA2787A" w14:textId="77777777" w:rsidR="00D05410" w:rsidRDefault="00D05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13A6" w14:textId="77777777" w:rsidR="00504719" w:rsidRDefault="00000000">
    <w:pPr>
      <w:jc w:val="right"/>
    </w:pPr>
    <w:r>
      <w:rPr>
        <w:rFonts w:ascii="Arial" w:eastAsia="Arial" w:hAnsi="Arial" w:cs="Arial"/>
        <w:color w:val="666666"/>
        <w:sz w:val="16"/>
        <w:szCs w:val="16"/>
      </w:rPr>
      <w:t>ALY6130 | Group 7 | Anthony Onwuka — Risk 3: First-Mover Market Capture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03588"/>
    <w:multiLevelType w:val="hybridMultilevel"/>
    <w:tmpl w:val="D09811E0"/>
    <w:lvl w:ilvl="0" w:tplc="FF3C4C86">
      <w:start w:val="1"/>
      <w:numFmt w:val="bullet"/>
      <w:lvlText w:val="●"/>
      <w:lvlJc w:val="left"/>
      <w:pPr>
        <w:ind w:left="720" w:hanging="360"/>
      </w:pPr>
    </w:lvl>
    <w:lvl w:ilvl="1" w:tplc="0EC4F83C">
      <w:start w:val="1"/>
      <w:numFmt w:val="bullet"/>
      <w:lvlText w:val="○"/>
      <w:lvlJc w:val="left"/>
      <w:pPr>
        <w:ind w:left="1440" w:hanging="360"/>
      </w:pPr>
    </w:lvl>
    <w:lvl w:ilvl="2" w:tplc="AAE23432">
      <w:start w:val="1"/>
      <w:numFmt w:val="bullet"/>
      <w:lvlText w:val="■"/>
      <w:lvlJc w:val="left"/>
      <w:pPr>
        <w:ind w:left="2160" w:hanging="360"/>
      </w:pPr>
    </w:lvl>
    <w:lvl w:ilvl="3" w:tplc="C61CC048">
      <w:start w:val="1"/>
      <w:numFmt w:val="bullet"/>
      <w:lvlText w:val="●"/>
      <w:lvlJc w:val="left"/>
      <w:pPr>
        <w:ind w:left="2880" w:hanging="360"/>
      </w:pPr>
    </w:lvl>
    <w:lvl w:ilvl="4" w:tplc="0A1A0438">
      <w:start w:val="1"/>
      <w:numFmt w:val="bullet"/>
      <w:lvlText w:val="○"/>
      <w:lvlJc w:val="left"/>
      <w:pPr>
        <w:ind w:left="3600" w:hanging="360"/>
      </w:pPr>
    </w:lvl>
    <w:lvl w:ilvl="5" w:tplc="37E4AE8A">
      <w:start w:val="1"/>
      <w:numFmt w:val="bullet"/>
      <w:lvlText w:val="■"/>
      <w:lvlJc w:val="left"/>
      <w:pPr>
        <w:ind w:left="4320" w:hanging="360"/>
      </w:pPr>
    </w:lvl>
    <w:lvl w:ilvl="6" w:tplc="51CC9746">
      <w:start w:val="1"/>
      <w:numFmt w:val="bullet"/>
      <w:lvlText w:val="●"/>
      <w:lvlJc w:val="left"/>
      <w:pPr>
        <w:ind w:left="5040" w:hanging="360"/>
      </w:pPr>
    </w:lvl>
    <w:lvl w:ilvl="7" w:tplc="D1E4D66C">
      <w:start w:val="1"/>
      <w:numFmt w:val="bullet"/>
      <w:lvlText w:val="●"/>
      <w:lvlJc w:val="left"/>
      <w:pPr>
        <w:ind w:left="5760" w:hanging="360"/>
      </w:pPr>
    </w:lvl>
    <w:lvl w:ilvl="8" w:tplc="973A2358">
      <w:start w:val="1"/>
      <w:numFmt w:val="bullet"/>
      <w:lvlText w:val="●"/>
      <w:lvlJc w:val="left"/>
      <w:pPr>
        <w:ind w:left="6480" w:hanging="360"/>
      </w:pPr>
    </w:lvl>
  </w:abstractNum>
  <w:num w:numId="1" w16cid:durableId="1157956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19"/>
    <w:rsid w:val="00491FE4"/>
    <w:rsid w:val="00504719"/>
    <w:rsid w:val="00C60641"/>
    <w:rsid w:val="00D05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748ADB"/>
  <w15:docId w15:val="{F5625390-6CD3-A747-9492-C2F67EA7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Okikioluwa Olarewaju</cp:lastModifiedBy>
  <cp:revision>2</cp:revision>
  <dcterms:created xsi:type="dcterms:W3CDTF">2026-06-03T01:50:00Z</dcterms:created>
  <dcterms:modified xsi:type="dcterms:W3CDTF">2026-06-03T01:50:00Z</dcterms:modified>
</cp:coreProperties>
</file>