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677D" w14:textId="77777777" w:rsidR="00FF47B6" w:rsidRDefault="00FF47B6"/>
    <w:p w14:paraId="68FCF648" w14:textId="77777777" w:rsidR="00FF47B6" w:rsidRDefault="00FF47B6"/>
    <w:p w14:paraId="4B811A1F" w14:textId="77777777" w:rsidR="00FF47B6" w:rsidRDefault="00FF47B6"/>
    <w:p w14:paraId="32D3FBAB" w14:textId="77777777" w:rsidR="00FF47B6" w:rsidRDefault="00FF47B6"/>
    <w:p w14:paraId="6F22F205" w14:textId="77777777" w:rsidR="00D41037" w:rsidRDefault="00D41037">
      <w:pPr>
        <w:spacing w:after="200"/>
        <w:jc w:val="center"/>
        <w:rPr>
          <w:rFonts w:ascii="Times New Roman" w:hAnsi="Times New Roman" w:cs="Times New Roman"/>
          <w:b/>
          <w:bCs/>
          <w:sz w:val="28"/>
          <w:szCs w:val="28"/>
        </w:rPr>
      </w:pPr>
    </w:p>
    <w:p w14:paraId="12E91EB5" w14:textId="77777777" w:rsidR="00D41037" w:rsidRDefault="00D41037">
      <w:pPr>
        <w:spacing w:after="200"/>
        <w:jc w:val="center"/>
        <w:rPr>
          <w:rFonts w:ascii="Times New Roman" w:hAnsi="Times New Roman" w:cs="Times New Roman"/>
          <w:b/>
          <w:bCs/>
          <w:sz w:val="28"/>
          <w:szCs w:val="28"/>
        </w:rPr>
      </w:pPr>
    </w:p>
    <w:p w14:paraId="38C2F5F5" w14:textId="77777777" w:rsidR="00D41037" w:rsidRDefault="00D41037">
      <w:pPr>
        <w:spacing w:after="200"/>
        <w:jc w:val="center"/>
        <w:rPr>
          <w:rFonts w:ascii="Times New Roman" w:hAnsi="Times New Roman" w:cs="Times New Roman"/>
          <w:b/>
          <w:bCs/>
          <w:sz w:val="28"/>
          <w:szCs w:val="28"/>
        </w:rPr>
      </w:pPr>
    </w:p>
    <w:p w14:paraId="23C6AE87" w14:textId="77777777" w:rsidR="00D41037" w:rsidRDefault="00D41037">
      <w:pPr>
        <w:spacing w:after="200"/>
        <w:jc w:val="center"/>
        <w:rPr>
          <w:rFonts w:ascii="Times New Roman" w:hAnsi="Times New Roman" w:cs="Times New Roman"/>
          <w:b/>
          <w:bCs/>
          <w:sz w:val="28"/>
          <w:szCs w:val="28"/>
        </w:rPr>
      </w:pPr>
    </w:p>
    <w:p w14:paraId="75C23BBB" w14:textId="77777777" w:rsidR="00D41037" w:rsidRDefault="00D41037">
      <w:pPr>
        <w:spacing w:after="200"/>
        <w:jc w:val="center"/>
        <w:rPr>
          <w:rFonts w:ascii="Times New Roman" w:hAnsi="Times New Roman" w:cs="Times New Roman"/>
          <w:b/>
          <w:bCs/>
          <w:sz w:val="28"/>
          <w:szCs w:val="28"/>
        </w:rPr>
      </w:pPr>
    </w:p>
    <w:p w14:paraId="6BAB2266" w14:textId="77777777" w:rsidR="00D41037" w:rsidRDefault="00D41037">
      <w:pPr>
        <w:spacing w:after="200"/>
        <w:jc w:val="center"/>
        <w:rPr>
          <w:rFonts w:ascii="Times New Roman" w:hAnsi="Times New Roman" w:cs="Times New Roman"/>
          <w:b/>
          <w:bCs/>
          <w:sz w:val="28"/>
          <w:szCs w:val="28"/>
        </w:rPr>
      </w:pPr>
    </w:p>
    <w:p w14:paraId="64F32095" w14:textId="77777777" w:rsidR="00D41037" w:rsidRDefault="00D41037">
      <w:pPr>
        <w:spacing w:after="200"/>
        <w:jc w:val="center"/>
        <w:rPr>
          <w:rFonts w:ascii="Times New Roman" w:hAnsi="Times New Roman" w:cs="Times New Roman"/>
          <w:b/>
          <w:bCs/>
          <w:sz w:val="28"/>
          <w:szCs w:val="28"/>
        </w:rPr>
      </w:pPr>
    </w:p>
    <w:p w14:paraId="096A91E3" w14:textId="1F5397CC" w:rsidR="00FF47B6" w:rsidRPr="00D41037" w:rsidRDefault="000D7C2C">
      <w:pPr>
        <w:spacing w:after="200"/>
        <w:jc w:val="center"/>
        <w:rPr>
          <w:rFonts w:ascii="Times New Roman" w:hAnsi="Times New Roman" w:cs="Times New Roman"/>
          <w:sz w:val="28"/>
          <w:szCs w:val="28"/>
        </w:rPr>
      </w:pPr>
      <w:r>
        <w:rPr>
          <w:rFonts w:ascii="Times New Roman" w:hAnsi="Times New Roman" w:cs="Times New Roman"/>
          <w:b/>
          <w:bCs/>
          <w:sz w:val="28"/>
          <w:szCs w:val="28"/>
        </w:rPr>
        <w:t>ALY6130: Risk Management Analytics</w:t>
      </w:r>
    </w:p>
    <w:p w14:paraId="586B5EDF" w14:textId="77777777" w:rsidR="00FF47B6" w:rsidRPr="00D41037" w:rsidRDefault="000D7C2C">
      <w:pPr>
        <w:spacing w:after="160"/>
        <w:jc w:val="center"/>
        <w:rPr>
          <w:rFonts w:ascii="Times New Roman" w:hAnsi="Times New Roman" w:cs="Times New Roman"/>
          <w:sz w:val="28"/>
          <w:szCs w:val="28"/>
        </w:rPr>
      </w:pPr>
      <w:r>
        <w:rPr>
          <w:rFonts w:ascii="Times New Roman" w:hAnsi="Times New Roman" w:cs="Times New Roman"/>
          <w:b/>
          <w:bCs/>
          <w:sz w:val="28"/>
          <w:szCs w:val="28"/>
        </w:rPr>
        <w:t>Module 2 Assignment: Risk Identification</w:t>
      </w:r>
    </w:p>
    <w:p w14:paraId="2A236DB3" w14:textId="52A4DEEB" w:rsidR="00FF47B6" w:rsidRPr="00D41037" w:rsidRDefault="000D7C2C">
      <w:pPr>
        <w:spacing w:after="100"/>
        <w:jc w:val="center"/>
        <w:rPr>
          <w:rFonts w:ascii="Times New Roman" w:hAnsi="Times New Roman" w:cs="Times New Roman"/>
          <w:sz w:val="28"/>
          <w:szCs w:val="28"/>
        </w:rPr>
      </w:pPr>
      <w:r>
        <w:rPr>
          <w:rFonts w:ascii="Times New Roman" w:hAnsi="Times New Roman" w:cs="Times New Roman"/>
          <w:sz w:val="28"/>
          <w:szCs w:val="28"/>
        </w:rPr>
        <w:t>CIBC : Acquisition of a Digital Insurance Platform</w:t>
      </w:r>
    </w:p>
    <w:p w14:paraId="15F07AC0" w14:textId="77777777" w:rsidR="00D41037" w:rsidRDefault="00D41037" w:rsidP="00D41037">
      <w:pPr>
        <w:spacing w:after="80"/>
        <w:rPr>
          <w:rFonts w:ascii="Times New Roman" w:hAnsi="Times New Roman" w:cs="Times New Roman"/>
          <w:sz w:val="28"/>
          <w:szCs w:val="28"/>
        </w:rPr>
      </w:pPr>
      <w:r>
        <w:rPr>
          <w:rFonts w:ascii="Times New Roman" w:hAnsi="Times New Roman" w:cs="Times New Roman"/>
          <w:sz w:val="28"/>
          <w:szCs w:val="28"/>
        </w:rPr>
        <w:t xml:space="preserve">               </w:t>
      </w:r>
    </w:p>
    <w:p w14:paraId="7B5C38B1" w14:textId="58642BC8" w:rsidR="00FF47B6" w:rsidRDefault="00D41037" w:rsidP="00D41037">
      <w:pPr>
        <w:spacing w:after="80"/>
        <w:ind w:left="720" w:firstLine="720"/>
      </w:pPr>
      <w:r>
        <w:rPr>
          <w:rFonts w:ascii="Times New Roman" w:hAnsi="Times New Roman" w:cs="Times New Roman"/>
          <w:sz w:val="28"/>
          <w:szCs w:val="28"/>
        </w:rPr>
        <w:t>GROUP 7: Ottun Oluwatomi || Efemena Okpa || Anthony Onwuka</w:t>
      </w:r>
    </w:p>
    <w:p w14:paraId="1BF7E746" w14:textId="77777777" w:rsidR="00FF47B6" w:rsidRPr="00D41037" w:rsidRDefault="000D7C2C">
      <w:pPr>
        <w:spacing w:after="80"/>
        <w:jc w:val="center"/>
        <w:rPr>
          <w:rFonts w:ascii="Times New Roman" w:hAnsi="Times New Roman" w:cs="Times New Roman"/>
          <w:sz w:val="28"/>
          <w:szCs w:val="28"/>
        </w:rPr>
      </w:pPr>
      <w:r>
        <w:rPr>
          <w:rFonts w:ascii="Times New Roman" w:hAnsi="Times New Roman" w:cs="Times New Roman"/>
          <w:sz w:val="28"/>
          <w:szCs w:val="28"/>
        </w:rPr>
        <w:t>Course: ALY6130 | Spring 2026</w:t>
      </w:r>
    </w:p>
    <w:p w14:paraId="10701D68" w14:textId="77777777" w:rsidR="00FF47B6" w:rsidRPr="00D41037" w:rsidRDefault="000D7C2C">
      <w:pPr>
        <w:spacing w:after="80"/>
        <w:jc w:val="center"/>
        <w:rPr>
          <w:rFonts w:ascii="Times New Roman" w:hAnsi="Times New Roman" w:cs="Times New Roman"/>
          <w:sz w:val="28"/>
          <w:szCs w:val="28"/>
        </w:rPr>
      </w:pPr>
      <w:r>
        <w:rPr>
          <w:rFonts w:ascii="Times New Roman" w:hAnsi="Times New Roman" w:cs="Times New Roman"/>
          <w:sz w:val="28"/>
          <w:szCs w:val="28"/>
        </w:rPr>
        <w:t>Instructor: Abeba N. Turi</w:t>
      </w:r>
    </w:p>
    <w:p w14:paraId="3824E25E" w14:textId="77777777" w:rsidR="00FF47B6" w:rsidRPr="00D41037" w:rsidRDefault="000D7C2C">
      <w:pPr>
        <w:spacing w:after="80"/>
        <w:jc w:val="center"/>
        <w:rPr>
          <w:rFonts w:ascii="Times New Roman" w:hAnsi="Times New Roman" w:cs="Times New Roman"/>
          <w:sz w:val="28"/>
          <w:szCs w:val="28"/>
        </w:rPr>
      </w:pPr>
      <w:r>
        <w:rPr>
          <w:rFonts w:ascii="Times New Roman" w:hAnsi="Times New Roman" w:cs="Times New Roman"/>
          <w:sz w:val="28"/>
          <w:szCs w:val="28"/>
        </w:rPr>
        <w:t>Date: June 2026</w:t>
      </w:r>
    </w:p>
    <w:p w14:paraId="7A0D03D7" w14:textId="77777777" w:rsidR="00FF47B6" w:rsidRDefault="00FF47B6">
      <w:pPr>
        <w:sectPr w:rsidR="00FF47B6">
          <w:headerReference w:type="default" r:id="rId7"/>
          <w:headerReference w:type="first" r:id="rId8"/>
          <w:pgSz w:w="12240" w:h="15840"/>
          <w:pgMar w:top="1440" w:right="1440" w:bottom="1440" w:left="1440" w:header="708" w:footer="708" w:gutter="0"/>
          <w:pgNumType w:start="1"/>
          <w:cols w:space="720"/>
          <w:titlePg/>
          <w:docGrid w:linePitch="360"/>
        </w:sectPr>
      </w:pPr>
    </w:p>
    <w:p w14:paraId="60594B2F" w14:textId="55B1E0A5" w:rsidR="00FF47B6" w:rsidRPr="002D6EF1" w:rsidRDefault="00D41037" w:rsidP="002D6EF1">
      <w:pPr>
        <w:pStyle w:val="Heading1"/>
        <w:jc w:val="both"/>
        <w:rPr>
          <w:rFonts w:ascii="Times New Roman" w:hAnsi="Times New Roman" w:cs="Times New Roman"/>
          <w:sz w:val="24"/>
          <w:szCs w:val="24"/>
        </w:rPr>
      </w:pPr>
      <w:r>
        <w:rPr>
          <w:rFonts w:ascii="Times New Roman" w:hAnsi="Times New Roman" w:cs="Times New Roman"/>
          <w:sz w:val="24"/>
          <w:szCs w:val="24"/>
        </w:rPr>
        <w:lastRenderedPageBreak/>
        <w:t>INTRODUCTION</w:t>
      </w:r>
    </w:p>
    <w:p w14:paraId="143DC965" w14:textId="3F1F98AE" w:rsidR="004D4088" w:rsidRDefault="004D4088" w:rsidP="004D4088">
      <w:pPr>
        <w:pStyle w:val="font-claude-response-body"/>
        <w:jc w:val="both"/>
      </w:pPr>
      <w:r>
        <w:t>For 157 years, CIBC did what Canada's most trusted banks do best, it kept its clients' money safe, grew their wealth, and showed up reliably through every recession, crisis, and market shock the last century could throw at it. But the acquisition of a cloud-native digital insurance platform is a different kind of challenge entirely. This is not a new branch in a new city. This is a fundamentally different industry, with different regulators, different technology, different competitors, and a different definition of what it means to fail.</w:t>
      </w:r>
    </w:p>
    <w:p w14:paraId="2163E270" w14:textId="11468A0E" w:rsidR="004D4088" w:rsidRDefault="004D4088" w:rsidP="004D4088">
      <w:pPr>
        <w:pStyle w:val="font-claude-response-body"/>
        <w:jc w:val="both"/>
      </w:pPr>
      <w:r>
        <w:t>The opportunity is genuine. Canada's digital insurance market is growing fast, insurtech competitors like Lemonade and PolicyMe are moving faster, and CIBC's 11 million existing client relationships give it a cross-sell advantage that no pure-play insurtech can replicate. But walking into a new market while integrating an unfamiliar technology platform, satisfying ten provincial insurance regulators, managing a combined banking and health-data environment, and navigating Canada's tightening privacy legislation, all simultaneously, is not a strategy problem. It is a risk management problem.</w:t>
      </w:r>
    </w:p>
    <w:p w14:paraId="0FF2A5C0" w14:textId="4DD8F181" w:rsidR="004D4088" w:rsidRDefault="004D4088" w:rsidP="004D4088">
      <w:pPr>
        <w:pStyle w:val="font-claude-response-body"/>
        <w:jc w:val="both"/>
      </w:pPr>
      <w:r>
        <w:t>That is exactly what this report addresses. Building directly on the SWOT analysis completed in Module 1, it identifies three competitive risks, two negative and one positive, writes each in the required risk statement format, develops impact statements by risk type, translates each SWOT finding into a structured problem statement, and defines a Key Risk Indicator with Green, Amber, and red thresholds. The goal is not to argue against the acquisition. The goal is to ensure CIBC walks in knowing exactly what it is carrying and what it will cost if it does not.</w:t>
      </w:r>
    </w:p>
    <w:p w14:paraId="66EA2561" w14:textId="77777777" w:rsidR="0058767A" w:rsidRDefault="0058767A" w:rsidP="002D6EF1">
      <w:pPr>
        <w:pStyle w:val="Heading1"/>
        <w:jc w:val="both"/>
        <w:rPr>
          <w:rFonts w:ascii="Times New Roman" w:hAnsi="Times New Roman" w:cs="Times New Roman"/>
          <w:sz w:val="24"/>
          <w:szCs w:val="24"/>
        </w:rPr>
      </w:pPr>
    </w:p>
    <w:p w14:paraId="0F04E529" w14:textId="76BDB588" w:rsidR="00FF47B6" w:rsidRPr="002D6EF1" w:rsidRDefault="000D7C2C" w:rsidP="002D6EF1">
      <w:pPr>
        <w:pStyle w:val="Heading1"/>
        <w:jc w:val="both"/>
        <w:rPr>
          <w:rFonts w:ascii="Times New Roman" w:hAnsi="Times New Roman" w:cs="Times New Roman"/>
          <w:sz w:val="24"/>
          <w:szCs w:val="24"/>
        </w:rPr>
      </w:pPr>
      <w:r>
        <w:rPr>
          <w:rFonts w:ascii="Times New Roman" w:hAnsi="Times New Roman" w:cs="Times New Roman"/>
          <w:sz w:val="24"/>
          <w:szCs w:val="24"/>
        </w:rPr>
        <w:t>COMPANY BACKGROUND AND COMPETITIVE ENVIRONMENT</w:t>
      </w:r>
    </w:p>
    <w:p w14:paraId="49D8185B" w14:textId="77777777" w:rsidR="00FF47B6" w:rsidRPr="002D6EF1" w:rsidRDefault="000D7C2C" w:rsidP="002D6EF1">
      <w:pPr>
        <w:spacing w:before="80" w:after="80"/>
        <w:jc w:val="both"/>
        <w:rPr>
          <w:rFonts w:ascii="Times New Roman" w:hAnsi="Times New Roman" w:cs="Times New Roman"/>
          <w:sz w:val="24"/>
          <w:szCs w:val="24"/>
        </w:rPr>
      </w:pPr>
      <w:r>
        <w:rPr>
          <w:rFonts w:ascii="Times New Roman" w:hAnsi="Times New Roman" w:cs="Times New Roman"/>
          <w:sz w:val="24"/>
          <w:szCs w:val="24"/>
        </w:rPr>
        <w:t>CIBC reported revenues of approximately CAD $23.6 billion in fiscal year 2023 and operates under the oversight of the Office of the Superintendent of Financial Institutions (OSFI), the Financial Consumer Agency of Canada (FCAC), FINTRAC, and provincial insurance regulators across Canada. The bank's digital banking platform serves millions of clients daily and is the primary channel through which the new insurance products will be distributed.</w:t>
      </w:r>
    </w:p>
    <w:p w14:paraId="022B3953" w14:textId="77777777" w:rsidR="00FF47B6" w:rsidRPr="002D6EF1" w:rsidRDefault="00FF47B6" w:rsidP="002D6EF1">
      <w:pPr>
        <w:jc w:val="both"/>
        <w:rPr>
          <w:rFonts w:ascii="Times New Roman" w:hAnsi="Times New Roman" w:cs="Times New Roman"/>
          <w:sz w:val="24"/>
          <w:szCs w:val="24"/>
        </w:rPr>
      </w:pPr>
    </w:p>
    <w:p w14:paraId="4F42C598" w14:textId="77777777" w:rsidR="00FF47B6" w:rsidRPr="002D6EF1" w:rsidRDefault="000D7C2C" w:rsidP="002D6EF1">
      <w:pPr>
        <w:spacing w:before="80" w:after="80"/>
        <w:jc w:val="both"/>
        <w:rPr>
          <w:rFonts w:ascii="Times New Roman" w:hAnsi="Times New Roman" w:cs="Times New Roman"/>
          <w:sz w:val="24"/>
          <w:szCs w:val="24"/>
        </w:rPr>
      </w:pPr>
      <w:r>
        <w:rPr>
          <w:rFonts w:ascii="Times New Roman" w:hAnsi="Times New Roman" w:cs="Times New Roman"/>
          <w:sz w:val="24"/>
          <w:szCs w:val="24"/>
        </w:rPr>
        <w:t>The Canadian digital insurance market is growing at approximately 12% annually according to Swiss Re Institute (2023). Key competitors in this emerging space include Lemonade (US-based insurtech with Canadian operations), PolicyMe (Canadian digital life insurer), and traditional insurers Manulife, Sun Life, and Intact Financial, all of which are accelerating their digital distribution capabilities. TD Bank and RBC have announced digital insurance partnerships but have not yet launched fully integrated banking-and-insurance platforms, giving CIBC a narrow window to establish first-mover advantage.</w:t>
      </w:r>
    </w:p>
    <w:p w14:paraId="4FA34B03" w14:textId="77777777" w:rsidR="00FF47B6" w:rsidRPr="002D6EF1" w:rsidRDefault="00FF47B6" w:rsidP="002D6EF1">
      <w:pPr>
        <w:jc w:val="both"/>
        <w:rPr>
          <w:rFonts w:ascii="Times New Roman" w:hAnsi="Times New Roman" w:cs="Times New Roman"/>
          <w:sz w:val="24"/>
          <w:szCs w:val="24"/>
        </w:rPr>
      </w:pPr>
    </w:p>
    <w:p w14:paraId="4681870F" w14:textId="77777777" w:rsidR="00FF47B6" w:rsidRPr="002D6EF1" w:rsidRDefault="000D7C2C" w:rsidP="002D6EF1">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Research sources informing this risk analysis include: CIBC 2023 Annual Report; Office of the Privacy Commissioner of Canada guidance on Bill C-27 (Consumer Privacy Protection Act); OSFI </w:t>
      </w:r>
      <w:r>
        <w:rPr>
          <w:rFonts w:ascii="Times New Roman" w:hAnsi="Times New Roman" w:cs="Times New Roman"/>
          <w:sz w:val="24"/>
          <w:szCs w:val="24"/>
        </w:rPr>
        <w:lastRenderedPageBreak/>
        <w:t>Guideline E-13 on Regulatory Compliance Management; Swiss Re Institute Digital Insurance Market Report 2023; McKinsey Global Institute Consumer Financial Services Survey 2023; and news coverage of the Lemonade data breach (2022) and PolicyMe's 2023 growth announcement.</w:t>
      </w:r>
    </w:p>
    <w:p w14:paraId="72272389" w14:textId="77777777" w:rsidR="00FF47B6" w:rsidRPr="002D6EF1" w:rsidRDefault="00FF47B6" w:rsidP="002D6EF1">
      <w:pPr>
        <w:jc w:val="both"/>
        <w:rPr>
          <w:rFonts w:ascii="Times New Roman" w:hAnsi="Times New Roman" w:cs="Times New Roman"/>
          <w:sz w:val="24"/>
          <w:szCs w:val="24"/>
        </w:rPr>
      </w:pPr>
    </w:p>
    <w:p w14:paraId="628B3DD9" w14:textId="0875EBC6" w:rsidR="00FF47B6" w:rsidRPr="002D6EF1" w:rsidRDefault="004D4088" w:rsidP="002D6EF1">
      <w:pPr>
        <w:pStyle w:val="Heading1"/>
        <w:jc w:val="both"/>
        <w:rPr>
          <w:rFonts w:ascii="Times New Roman" w:hAnsi="Times New Roman" w:cs="Times New Roman"/>
          <w:sz w:val="24"/>
          <w:szCs w:val="24"/>
        </w:rPr>
      </w:pPr>
      <w:r>
        <w:rPr>
          <w:rFonts w:ascii="Times New Roman" w:hAnsi="Times New Roman" w:cs="Times New Roman"/>
          <w:sz w:val="24"/>
          <w:szCs w:val="24"/>
        </w:rPr>
        <w:t>SWOT FOUNDATION — COMPETITIVE RISKS IDENTIFIED</w:t>
      </w:r>
    </w:p>
    <w:p w14:paraId="12D08A12" w14:textId="77777777" w:rsidR="00FF47B6" w:rsidRPr="002D6EF1" w:rsidRDefault="000D7C2C" w:rsidP="002D6EF1">
      <w:pPr>
        <w:spacing w:before="80" w:after="80"/>
        <w:jc w:val="both"/>
        <w:rPr>
          <w:rFonts w:ascii="Times New Roman" w:hAnsi="Times New Roman" w:cs="Times New Roman"/>
          <w:sz w:val="24"/>
          <w:szCs w:val="24"/>
        </w:rPr>
      </w:pPr>
      <w:r>
        <w:rPr>
          <w:rFonts w:ascii="Times New Roman" w:hAnsi="Times New Roman" w:cs="Times New Roman"/>
          <w:sz w:val="24"/>
          <w:szCs w:val="24"/>
        </w:rPr>
        <w:t>The three competitive risks in this assignment are drawn directly from the SWOT analysis completed in Module 1. The Module 1 SWOT identified the following relevant threats and opportunities:</w:t>
      </w:r>
    </w:p>
    <w:p w14:paraId="654D9F04" w14:textId="77777777" w:rsidR="00FF47B6" w:rsidRDefault="00FF47B6"/>
    <w:p w14:paraId="1A00BC01" w14:textId="77777777" w:rsidR="00FF47B6" w:rsidRDefault="00FF47B6">
      <w:pPr>
        <w:spacing w:before="120" w:after="40"/>
        <w:rPr>
          <w:rFonts w:ascii="Times New Roman" w:hAnsi="Times New Roman" w:cs="Times New Roman"/>
          <w:b/>
          <w:bCs/>
        </w:rPr>
      </w:pPr>
      <w:r>
        <w:rPr>
          <w:rFonts w:ascii="Times New Roman" w:hAnsi="Times New Roman" w:cs="Times New Roman"/>
          <w:b/>
          <w:bCs/>
        </w:rPr>
        <w:t>Table 1: SWOT Foundation — Competitive Risks and Opportunities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F47B6" w:rsidRPr="002D6EF1" w14:paraId="22C431EE" w14:textId="77777777">
        <w:tc>
          <w:tcPr>
            <w:tcW w:w="468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6DDA4B6B"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THREATS (Source of Negative Risks)</w:t>
            </w:r>
          </w:p>
        </w:tc>
        <w:tc>
          <w:tcPr>
            <w:tcW w:w="468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6A8C4872"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OPPORTUNITY (Source of Positive Risk)</w:t>
            </w:r>
          </w:p>
        </w:tc>
      </w:tr>
      <w:tr w:rsidR="00FF47B6" w:rsidRPr="002D6EF1" w14:paraId="02DF000F"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BBC3C3E" w14:textId="447C033C"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rPr>
              <w:t>Threat 1: Holding both banking and insurance data in a connected ecosystem makes CIBC a high-value target for cyberattacks, a level of exposure and reputational consequence it has not previously faced at this scale.  Threat 2: The regulatory landscape around digital insurance, data privacy (PIPEDA, Bill C-27), and consumer protection is shifting quickly, and new obligations could emerge after the acquisition is already underway.</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F600CFC" w14:textId="2568CDA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rPr>
              <w:t>Opportunity: Canada's digital insurance market is growing fast, and an early move by a trusted bank brand like CIBC could carve out a meaningful competitive position before the space gets crowded. CIBC already has established client relationships, adding insurance to the mix gives advisors a practical reason to deepen those conversations and boost revenue per household.</w:t>
            </w:r>
          </w:p>
        </w:tc>
      </w:tr>
    </w:tbl>
    <w:p w14:paraId="4011F121" w14:textId="77777777" w:rsidR="00FF47B6" w:rsidRDefault="00FF47B6"/>
    <w:p w14:paraId="0B5C42E1" w14:textId="4939E9C6" w:rsidR="00FF47B6" w:rsidRPr="002D6EF1" w:rsidRDefault="004D4088">
      <w:pPr>
        <w:pStyle w:val="Heading1"/>
        <w:rPr>
          <w:rFonts w:ascii="Times New Roman" w:hAnsi="Times New Roman" w:cs="Times New Roman"/>
          <w:sz w:val="24"/>
          <w:szCs w:val="24"/>
        </w:rPr>
      </w:pPr>
      <w:r>
        <w:rPr>
          <w:rFonts w:ascii="Times New Roman" w:hAnsi="Times New Roman" w:cs="Times New Roman"/>
          <w:sz w:val="24"/>
          <w:szCs w:val="24"/>
        </w:rPr>
        <w:t>RISK ANALYSIS — THREE COMPETITIVE RISKS</w:t>
      </w:r>
    </w:p>
    <w:p w14:paraId="6D7E6B95" w14:textId="77777777" w:rsidR="00FF47B6" w:rsidRPr="002D6EF1" w:rsidRDefault="000D7C2C">
      <w:pPr>
        <w:spacing w:before="80" w:after="80"/>
        <w:rPr>
          <w:rFonts w:ascii="Times New Roman" w:hAnsi="Times New Roman" w:cs="Times New Roman"/>
          <w:sz w:val="24"/>
          <w:szCs w:val="24"/>
        </w:rPr>
      </w:pPr>
      <w:r>
        <w:rPr>
          <w:rFonts w:ascii="Times New Roman" w:hAnsi="Times New Roman" w:cs="Times New Roman"/>
          <w:sz w:val="24"/>
          <w:szCs w:val="24"/>
        </w:rPr>
        <w:t>Each risk is presented in four parts: (1) Problem Statement translated from the SWOT finding; (2) Risk Statement in the required format; (3) Impact Statement specific to the risk type; and (4) Key Risk Indicator with Green/Amber/Red thresholds.</w:t>
      </w:r>
    </w:p>
    <w:p w14:paraId="25F215A9" w14:textId="77777777" w:rsidR="00FF47B6" w:rsidRPr="002D6EF1" w:rsidRDefault="00FF47B6">
      <w:pPr>
        <w:rPr>
          <w:rFonts w:ascii="Times New Roman" w:hAnsi="Times New Roman" w:cs="Times New Roman"/>
          <w:sz w:val="24"/>
          <w:szCs w:val="24"/>
        </w:rPr>
      </w:pPr>
    </w:p>
    <w:p w14:paraId="5335C8D6" w14:textId="77777777" w:rsidR="00FF47B6" w:rsidRPr="002D6EF1" w:rsidRDefault="00FF47B6">
      <w:pPr>
        <w:pageBreakBefore/>
        <w:rPr>
          <w:rFonts w:ascii="Times New Roman" w:hAnsi="Times New Roman" w:cs="Times New Roman"/>
          <w:sz w:val="24"/>
          <w:szCs w:val="24"/>
        </w:rPr>
      </w:pPr>
    </w:p>
    <w:p w14:paraId="5166AEC8" w14:textId="77777777" w:rsidR="00FF47B6" w:rsidRPr="002D6EF1" w:rsidRDefault="000D7C2C">
      <w:pPr>
        <w:pStyle w:val="Heading2"/>
        <w:rPr>
          <w:rFonts w:ascii="Times New Roman" w:hAnsi="Times New Roman" w:cs="Times New Roman"/>
          <w:sz w:val="24"/>
          <w:szCs w:val="24"/>
        </w:rPr>
      </w:pPr>
      <w:r>
        <w:rPr>
          <w:rFonts w:ascii="Times New Roman" w:hAnsi="Times New Roman" w:cs="Times New Roman"/>
          <w:sz w:val="24"/>
          <w:szCs w:val="24"/>
        </w:rPr>
        <w:t>Risk 1 — Data Privacy Breach (Negative Risk)</w:t>
      </w:r>
    </w:p>
    <w:p w14:paraId="4DC83350" w14:textId="77777777" w:rsidR="0058767A" w:rsidRDefault="0058767A" w:rsidP="002D6EF1">
      <w:pPr>
        <w:spacing w:before="180" w:after="80"/>
        <w:jc w:val="both"/>
        <w:rPr>
          <w:rFonts w:ascii="Times New Roman" w:hAnsi="Times New Roman" w:cs="Times New Roman"/>
          <w:b/>
          <w:bCs/>
          <w:sz w:val="24"/>
          <w:szCs w:val="24"/>
        </w:rPr>
      </w:pPr>
    </w:p>
    <w:p w14:paraId="5D56942C" w14:textId="3FA8E78F" w:rsidR="00FF47B6" w:rsidRPr="002D6EF1" w:rsidRDefault="000D7C2C" w:rsidP="002D6EF1">
      <w:pPr>
        <w:spacing w:before="180" w:after="80"/>
        <w:jc w:val="both"/>
        <w:rPr>
          <w:rFonts w:ascii="Times New Roman" w:hAnsi="Times New Roman" w:cs="Times New Roman"/>
          <w:sz w:val="24"/>
          <w:szCs w:val="24"/>
        </w:rPr>
      </w:pPr>
      <w:r>
        <w:rPr>
          <w:rFonts w:ascii="Times New Roman" w:hAnsi="Times New Roman" w:cs="Times New Roman"/>
          <w:b/>
          <w:bCs/>
          <w:sz w:val="24"/>
          <w:szCs w:val="24"/>
        </w:rPr>
        <w:t>Problem</w:t>
      </w:r>
      <w:r>
        <w:rPr>
          <w:rFonts w:ascii="Times New Roman" w:hAnsi="Times New Roman" w:cs="Times New Roman"/>
          <w:b/>
          <w:bCs/>
          <w:sz w:val="24"/>
          <w:szCs w:val="24"/>
          <w:u w:val="single"/>
        </w:rPr>
        <w:t xml:space="preserve"> </w:t>
      </w:r>
      <w:r>
        <w:rPr>
          <w:rFonts w:ascii="Times New Roman" w:hAnsi="Times New Roman" w:cs="Times New Roman"/>
          <w:b/>
          <w:bCs/>
          <w:sz w:val="24"/>
          <w:szCs w:val="24"/>
        </w:rPr>
        <w:t>Statement</w:t>
      </w:r>
    </w:p>
    <w:p w14:paraId="5D7F3F1D" w14:textId="548C901A" w:rsidR="00FF47B6" w:rsidRPr="002D6EF1" w:rsidRDefault="000D7C2C" w:rsidP="002D6EF1">
      <w:pPr>
        <w:spacing w:before="80" w:after="80"/>
        <w:jc w:val="both"/>
        <w:rPr>
          <w:rFonts w:ascii="Times New Roman" w:hAnsi="Times New Roman" w:cs="Times New Roman"/>
          <w:sz w:val="24"/>
          <w:szCs w:val="24"/>
        </w:rPr>
      </w:pPr>
      <w:r>
        <w:rPr>
          <w:rFonts w:ascii="Times New Roman" w:hAnsi="Times New Roman" w:cs="Times New Roman"/>
          <w:sz w:val="24"/>
          <w:szCs w:val="24"/>
        </w:rPr>
        <w:t>SWOT Source: THREAT — "Holding both banking and insurance data in a connected ecosystem makes CIBC a high-value target for cyberattacks, a level of exposure it has not previously faced at this scale."</w:t>
      </w:r>
    </w:p>
    <w:p w14:paraId="5AFAE0FC" w14:textId="074C7B7A" w:rsidR="00FF47B6" w:rsidRPr="002D6EF1" w:rsidRDefault="000D7C2C" w:rsidP="002D6EF1">
      <w:pPr>
        <w:spacing w:before="80" w:after="80"/>
        <w:jc w:val="both"/>
        <w:rPr>
          <w:rFonts w:ascii="Times New Roman" w:hAnsi="Times New Roman" w:cs="Times New Roman"/>
          <w:sz w:val="24"/>
          <w:szCs w:val="24"/>
        </w:rPr>
      </w:pPr>
      <w:r>
        <w:rPr>
          <w:rFonts w:ascii="Times New Roman" w:hAnsi="Times New Roman" w:cs="Times New Roman"/>
          <w:sz w:val="24"/>
          <w:szCs w:val="24"/>
        </w:rPr>
        <w:t>Insurtech competitors have highlighted the dangers of combined financial and insurance data environments, Lemonade experienced a data breach in 2022 affecting policy holder records. CIBC is now building exactly this type of combined environment. The risk requires immediate monitoring because the integration window is the period of greatest vulnerability, PIPEDA and Bill C-27 impose strict breach notification obligations, and a breach during or immediately after launch would cause regulatory penalties and permanent reputational damage in a market CIBC has not yet established itself. A major data breach would directly weaken CIBC’s competitive position against digital insurers such as Lemonade and PolicyMe by eroding the client trust that is CIBC’s primary differentiator in this space, and would slow market adoption at precisely the moment the bank needs to capture first-mover share.</w:t>
      </w:r>
    </w:p>
    <w:p w14:paraId="6595F9F0" w14:textId="77777777" w:rsidR="00FF47B6" w:rsidRPr="002D6EF1" w:rsidRDefault="00FF47B6" w:rsidP="002D6EF1">
      <w:pPr>
        <w:jc w:val="both"/>
        <w:rPr>
          <w:rFonts w:ascii="Times New Roman" w:hAnsi="Times New Roman" w:cs="Times New Roman"/>
          <w:sz w:val="24"/>
          <w:szCs w:val="24"/>
        </w:rPr>
      </w:pPr>
    </w:p>
    <w:p w14:paraId="45A25696" w14:textId="744A39F7" w:rsidR="00FF47B6" w:rsidRPr="002D6EF1" w:rsidRDefault="000D7C2C">
      <w:pPr>
        <w:spacing w:before="180" w:after="80"/>
        <w:rPr>
          <w:rFonts w:ascii="Times New Roman" w:hAnsi="Times New Roman" w:cs="Times New Roman"/>
          <w:sz w:val="24"/>
          <w:szCs w:val="24"/>
        </w:rPr>
      </w:pPr>
      <w:r>
        <w:rPr>
          <w:rFonts w:ascii="Times New Roman" w:hAnsi="Times New Roman" w:cs="Times New Roman"/>
          <w:b/>
          <w:bCs/>
          <w:sz w:val="24"/>
          <w:szCs w:val="24"/>
        </w:rPr>
        <w:t>Risk Statement</w:t>
      </w:r>
    </w:p>
    <w:p w14:paraId="1A00BC02" w14:textId="77777777" w:rsidR="00FF47B6" w:rsidRDefault="00FF47B6">
      <w:pPr>
        <w:spacing w:before="120" w:after="40"/>
        <w:rPr>
          <w:rFonts w:ascii="Times New Roman" w:hAnsi="Times New Roman" w:cs="Times New Roman"/>
          <w:b/>
          <w:bCs/>
        </w:rPr>
      </w:pPr>
      <w:r>
        <w:rPr>
          <w:rFonts w:ascii="Times New Roman" w:hAnsi="Times New Roman" w:cs="Times New Roman"/>
          <w:b/>
          <w:bCs/>
        </w:rPr>
        <w:t>Table 2: Risk Statement — Risk 1: Data Privacy Breach (Negative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FF47B6" w:rsidRPr="002D6EF1" w14:paraId="5DB44EB2" w14:textId="77777777">
        <w:tc>
          <w:tcPr>
            <w:tcW w:w="18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7FE08FA1"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The risk of...</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4F31D34"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rPr>
              <w:t>A data privacy breach exposing combined banking and insurance client records</w:t>
            </w:r>
          </w:p>
        </w:tc>
      </w:tr>
      <w:tr w:rsidR="00FF47B6" w:rsidRPr="002D6EF1" w14:paraId="0EB71179"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10" w:type="dxa"/>
              <w:bottom w:w="80" w:type="dxa"/>
              <w:right w:w="110" w:type="dxa"/>
            </w:tcMar>
          </w:tcPr>
          <w:p w14:paraId="693BF7B3" w14:textId="77777777" w:rsidR="00FF47B6" w:rsidRPr="002D6EF1" w:rsidRDefault="000D7C2C">
            <w:pPr>
              <w:spacing w:before="30" w:after="30"/>
              <w:rPr>
                <w:rFonts w:ascii="Times New Roman" w:hAnsi="Times New Roman" w:cs="Times New Roman"/>
              </w:rPr>
            </w:pPr>
            <w:r>
              <w:rPr>
                <w:rFonts w:ascii="Times New Roman" w:hAnsi="Times New Roman" w:cs="Times New Roman"/>
                <w:b/>
                <w:bCs/>
              </w:rPr>
              <w:t>Caused by...</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C9A8397"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rPr>
              <w:t>Inadequate security controls and access management during the integration of a cloud-native insurance platform into CIBC's core banking infrastructure, creating a high-value combined data environment targeted by sophisticated threat actors</w:t>
            </w:r>
          </w:p>
        </w:tc>
      </w:tr>
      <w:tr w:rsidR="00FF47B6" w:rsidRPr="002D6EF1" w14:paraId="0964B379"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10" w:type="dxa"/>
              <w:bottom w:w="80" w:type="dxa"/>
              <w:right w:w="110" w:type="dxa"/>
            </w:tcMar>
          </w:tcPr>
          <w:p w14:paraId="20260BBA" w14:textId="77777777" w:rsidR="00FF47B6" w:rsidRPr="002D6EF1" w:rsidRDefault="000D7C2C">
            <w:pPr>
              <w:spacing w:before="30" w:after="30"/>
              <w:rPr>
                <w:rFonts w:ascii="Times New Roman" w:hAnsi="Times New Roman" w:cs="Times New Roman"/>
              </w:rPr>
            </w:pPr>
            <w:r>
              <w:rPr>
                <w:rFonts w:ascii="Times New Roman" w:hAnsi="Times New Roman" w:cs="Times New Roman"/>
                <w:b/>
                <w:bCs/>
              </w:rPr>
              <w:t>Resulting in...</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E9C9DF5"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rPr>
              <w:t>Mandatory breach notification obligations under PIPEDA, regulatory fines under Bill C-27, client trust erosion, and sustained reputational damage in a product category CIBC has just entered</w:t>
            </w:r>
          </w:p>
        </w:tc>
      </w:tr>
      <w:tr w:rsidR="00FF47B6" w:rsidRPr="002D6EF1" w14:paraId="60968C0E"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10" w:type="dxa"/>
              <w:bottom w:w="80" w:type="dxa"/>
              <w:right w:w="110" w:type="dxa"/>
            </w:tcMar>
          </w:tcPr>
          <w:p w14:paraId="7745D8FC" w14:textId="77777777" w:rsidR="00FF47B6" w:rsidRPr="002D6EF1" w:rsidRDefault="000D7C2C">
            <w:pPr>
              <w:spacing w:before="30" w:after="30"/>
              <w:rPr>
                <w:rFonts w:ascii="Times New Roman" w:hAnsi="Times New Roman" w:cs="Times New Roman"/>
              </w:rPr>
            </w:pPr>
            <w:r>
              <w:rPr>
                <w:rFonts w:ascii="Times New Roman" w:hAnsi="Times New Roman" w:cs="Times New Roman"/>
                <w:b/>
                <w:bCs/>
              </w:rPr>
              <w:t>Risk type</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DA225F2"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rPr>
              <w:t>Legal/Compliance; Reputational; Financial; Competitive</w:t>
            </w:r>
          </w:p>
        </w:tc>
      </w:tr>
      <w:tr w:rsidR="00FF47B6" w:rsidRPr="002D6EF1" w14:paraId="16FC8613"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10" w:type="dxa"/>
              <w:bottom w:w="80" w:type="dxa"/>
              <w:right w:w="110" w:type="dxa"/>
            </w:tcMar>
          </w:tcPr>
          <w:p w14:paraId="0A87D872" w14:textId="77777777" w:rsidR="00FF47B6" w:rsidRPr="002D6EF1" w:rsidRDefault="000D7C2C">
            <w:pPr>
              <w:spacing w:before="30" w:after="30"/>
              <w:rPr>
                <w:rFonts w:ascii="Times New Roman" w:hAnsi="Times New Roman" w:cs="Times New Roman"/>
              </w:rPr>
            </w:pPr>
            <w:r>
              <w:rPr>
                <w:rFonts w:ascii="Times New Roman" w:hAnsi="Times New Roman" w:cs="Times New Roman"/>
                <w:b/>
                <w:bCs/>
              </w:rPr>
              <w:t>Likelihood</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8873B59"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rPr>
              <w:t>9 / 9 — Very Likely</w:t>
            </w:r>
          </w:p>
        </w:tc>
      </w:tr>
      <w:tr w:rsidR="00FF47B6" w:rsidRPr="002D6EF1" w14:paraId="15DDC3AF"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10" w:type="dxa"/>
              <w:bottom w:w="80" w:type="dxa"/>
              <w:right w:w="110" w:type="dxa"/>
            </w:tcMar>
          </w:tcPr>
          <w:p w14:paraId="70B037FA" w14:textId="77777777" w:rsidR="00FF47B6" w:rsidRPr="002D6EF1" w:rsidRDefault="000D7C2C">
            <w:pPr>
              <w:spacing w:before="30" w:after="30"/>
              <w:rPr>
                <w:rFonts w:ascii="Times New Roman" w:hAnsi="Times New Roman" w:cs="Times New Roman"/>
              </w:rPr>
            </w:pPr>
            <w:r>
              <w:rPr>
                <w:rFonts w:ascii="Times New Roman" w:hAnsi="Times New Roman" w:cs="Times New Roman"/>
                <w:b/>
                <w:bCs/>
              </w:rPr>
              <w:t>Impact</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360710D"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rPr>
              <w:t>8 / 9 — Extremely High</w:t>
            </w:r>
          </w:p>
        </w:tc>
      </w:tr>
      <w:tr w:rsidR="00FF47B6" w:rsidRPr="002D6EF1" w14:paraId="641F8047"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10" w:type="dxa"/>
              <w:bottom w:w="80" w:type="dxa"/>
              <w:right w:w="110" w:type="dxa"/>
            </w:tcMar>
          </w:tcPr>
          <w:p w14:paraId="77A8E0BF" w14:textId="77777777" w:rsidR="00FF47B6" w:rsidRPr="002D6EF1" w:rsidRDefault="000D7C2C">
            <w:pPr>
              <w:spacing w:before="30" w:after="30"/>
              <w:rPr>
                <w:rFonts w:ascii="Times New Roman" w:hAnsi="Times New Roman" w:cs="Times New Roman"/>
              </w:rPr>
            </w:pPr>
            <w:r>
              <w:rPr>
                <w:rFonts w:ascii="Times New Roman" w:hAnsi="Times New Roman" w:cs="Times New Roman"/>
                <w:b/>
                <w:bCs/>
              </w:rPr>
              <w:t>Risk Score</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4C2E6DD"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b/>
                <w:bCs/>
              </w:rPr>
              <w:t>72 (High Priority — Score 36–81)</w:t>
            </w:r>
          </w:p>
        </w:tc>
      </w:tr>
    </w:tbl>
    <w:p w14:paraId="27891563" w14:textId="77777777" w:rsidR="00FF47B6" w:rsidRDefault="00FF47B6"/>
    <w:p w14:paraId="51063887" w14:textId="77777777" w:rsidR="00FF47B6" w:rsidRPr="004F6226" w:rsidRDefault="000D7C2C" w:rsidP="002D6EF1">
      <w:pPr>
        <w:spacing w:before="180" w:after="80"/>
        <w:jc w:val="both"/>
        <w:rPr>
          <w:rFonts w:ascii="Times New Roman" w:hAnsi="Times New Roman" w:cs="Times New Roman"/>
          <w:sz w:val="24"/>
          <w:szCs w:val="24"/>
        </w:rPr>
      </w:pPr>
      <w:r>
        <w:rPr>
          <w:rFonts w:ascii="Times New Roman" w:hAnsi="Times New Roman" w:cs="Times New Roman"/>
          <w:b/>
          <w:bCs/>
          <w:sz w:val="24"/>
          <w:szCs w:val="24"/>
        </w:rPr>
        <w:t>Impact Statement</w:t>
      </w:r>
    </w:p>
    <w:p w14:paraId="76B36A68" w14:textId="77777777" w:rsidR="00FF47B6" w:rsidRPr="002D6EF1" w:rsidRDefault="000D7C2C" w:rsidP="002D6EF1">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Financial impact: Regulatory fines under PIPEDA and Bill C-27 could reach CAD $25 million or more for a serious breach. Legal costs from class-action litigation by affected policyholders could exceed CAD $50 million. Operational impact: Platform shutdown and mandatory third-party audit could delay the digital insurance launch by 6 to 12 months. Legal/Compliance impact: OSFI may require CIBC to suspend insurance product sales pending a full compliance review. Reputational </w:t>
      </w:r>
      <w:r>
        <w:rPr>
          <w:rFonts w:ascii="Times New Roman" w:hAnsi="Times New Roman" w:cs="Times New Roman"/>
          <w:sz w:val="24"/>
          <w:szCs w:val="24"/>
        </w:rPr>
        <w:lastRenderedPageBreak/>
        <w:t>impact: A breach at launch would associate CIBC's new insurance brand with failure, causing client churn across both banking and insurance product lines and requiring years of brand recovery investment.</w:t>
      </w:r>
    </w:p>
    <w:p w14:paraId="5C06100A" w14:textId="77777777" w:rsidR="00FF47B6" w:rsidRPr="002D6EF1" w:rsidRDefault="00FF47B6" w:rsidP="002D6EF1">
      <w:pPr>
        <w:jc w:val="both"/>
        <w:rPr>
          <w:rFonts w:ascii="Times New Roman" w:hAnsi="Times New Roman" w:cs="Times New Roman"/>
          <w:sz w:val="24"/>
          <w:szCs w:val="24"/>
        </w:rPr>
      </w:pPr>
    </w:p>
    <w:p w14:paraId="6FA23E00" w14:textId="77777777" w:rsidR="00FF47B6" w:rsidRPr="004F6226" w:rsidRDefault="000D7C2C" w:rsidP="002D6EF1">
      <w:pPr>
        <w:spacing w:before="180" w:after="80"/>
        <w:jc w:val="both"/>
        <w:rPr>
          <w:rFonts w:ascii="Times New Roman" w:hAnsi="Times New Roman" w:cs="Times New Roman"/>
          <w:sz w:val="24"/>
          <w:szCs w:val="24"/>
        </w:rPr>
      </w:pPr>
      <w:r>
        <w:rPr>
          <w:rFonts w:ascii="Times New Roman" w:hAnsi="Times New Roman" w:cs="Times New Roman"/>
          <w:b/>
          <w:bCs/>
          <w:sz w:val="24"/>
          <w:szCs w:val="24"/>
        </w:rPr>
        <w:t>Key Risk Indicator (KRI) — Leading Indicator with Thresholds</w:t>
      </w:r>
    </w:p>
    <w:p w14:paraId="3E317532" w14:textId="77777777" w:rsidR="00FF47B6" w:rsidRPr="002D6EF1" w:rsidRDefault="000D7C2C" w:rsidP="002D6EF1">
      <w:pPr>
        <w:spacing w:before="80" w:after="80"/>
        <w:jc w:val="both"/>
        <w:rPr>
          <w:rFonts w:ascii="Times New Roman" w:hAnsi="Times New Roman" w:cs="Times New Roman"/>
          <w:sz w:val="24"/>
          <w:szCs w:val="24"/>
        </w:rPr>
      </w:pPr>
      <w:r>
        <w:rPr>
          <w:rFonts w:ascii="Times New Roman" w:hAnsi="Times New Roman" w:cs="Times New Roman"/>
          <w:sz w:val="24"/>
          <w:szCs w:val="24"/>
        </w:rPr>
        <w:t>Selected KRI: Number of critical security vulnerabilities remaining unpatched beyond 72 hours (Leading Indicator — predicts future breach likelihood before an incident occurs)</w:t>
      </w:r>
    </w:p>
    <w:p w14:paraId="0A69C7EC" w14:textId="77777777" w:rsidR="00FF47B6" w:rsidRDefault="00FF47B6"/>
    <w:p w14:paraId="1A00BC03" w14:textId="77777777" w:rsidR="00FF47B6" w:rsidRDefault="00FF47B6">
      <w:pPr>
        <w:spacing w:before="120" w:after="40"/>
        <w:rPr>
          <w:rFonts w:ascii="Times New Roman" w:hAnsi="Times New Roman" w:cs="Times New Roman"/>
          <w:b/>
          <w:bCs/>
        </w:rPr>
      </w:pPr>
      <w:r>
        <w:rPr>
          <w:rFonts w:ascii="Times New Roman" w:hAnsi="Times New Roman" w:cs="Times New Roman"/>
          <w:b/>
          <w:bCs/>
        </w:rPr>
        <w:t>Table 3: Key Risk Indicator Thresholds — Risk 1: Data Privacy Breach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6160"/>
      </w:tblGrid>
      <w:tr w:rsidR="00FF47B6" w:rsidRPr="002D6EF1" w14:paraId="086E0F63" w14:textId="77777777">
        <w:tc>
          <w:tcPr>
            <w:tcW w:w="15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17276A86"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Level</w:t>
            </w:r>
          </w:p>
        </w:tc>
        <w:tc>
          <w:tcPr>
            <w:tcW w:w="17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5E2E5C96"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Status</w:t>
            </w:r>
          </w:p>
        </w:tc>
        <w:tc>
          <w:tcPr>
            <w:tcW w:w="616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33A2D264"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Threshold Definition and Required Action</w:t>
            </w:r>
          </w:p>
        </w:tc>
      </w:tr>
      <w:tr w:rsidR="00FF47B6" w:rsidRPr="002D6EF1" w14:paraId="275177A7" w14:textId="77777777">
        <w:tc>
          <w:tcPr>
            <w:tcW w:w="1500" w:type="dxa"/>
            <w:tcBorders>
              <w:top w:val="single" w:sz="4" w:space="0" w:color="000000"/>
              <w:left w:val="single" w:sz="4" w:space="0" w:color="000000"/>
              <w:bottom w:val="single" w:sz="4" w:space="0" w:color="000000"/>
              <w:right w:val="single" w:sz="4" w:space="0" w:color="000000"/>
            </w:tcBorders>
            <w:shd w:val="clear" w:color="auto" w:fill="C6EFCE"/>
            <w:tcMar>
              <w:top w:w="80" w:type="dxa"/>
              <w:left w:w="110" w:type="dxa"/>
              <w:bottom w:w="80" w:type="dxa"/>
              <w:right w:w="110" w:type="dxa"/>
            </w:tcMar>
          </w:tcPr>
          <w:p w14:paraId="01510044" w14:textId="77777777" w:rsidR="00FF47B6" w:rsidRPr="002D6EF1" w:rsidRDefault="000D7C2C">
            <w:pPr>
              <w:spacing w:before="30" w:after="30"/>
              <w:rPr>
                <w:rFonts w:ascii="Times New Roman" w:hAnsi="Times New Roman" w:cs="Times New Roman"/>
              </w:rPr>
            </w:pPr>
            <w:r>
              <w:rPr>
                <w:rFonts w:ascii="Times New Roman" w:hAnsi="Times New Roman" w:cs="Times New Roman"/>
                <w:b/>
                <w:bCs/>
              </w:rPr>
              <w:t>GREEN</w:t>
            </w:r>
          </w:p>
        </w:tc>
        <w:tc>
          <w:tcPr>
            <w:tcW w:w="1700" w:type="dxa"/>
            <w:tcBorders>
              <w:top w:val="single" w:sz="4" w:space="0" w:color="000000"/>
              <w:left w:val="single" w:sz="4" w:space="0" w:color="000000"/>
              <w:bottom w:val="single" w:sz="4" w:space="0" w:color="000000"/>
              <w:right w:val="single" w:sz="4" w:space="0" w:color="000000"/>
            </w:tcBorders>
            <w:shd w:val="clear" w:color="auto" w:fill="C6EFCE"/>
            <w:tcMar>
              <w:top w:w="80" w:type="dxa"/>
              <w:left w:w="110" w:type="dxa"/>
              <w:bottom w:w="80" w:type="dxa"/>
              <w:right w:w="110" w:type="dxa"/>
            </w:tcMar>
          </w:tcPr>
          <w:p w14:paraId="1B83E621" w14:textId="77777777" w:rsidR="00FF47B6" w:rsidRPr="002D6EF1" w:rsidRDefault="000D7C2C">
            <w:pPr>
              <w:spacing w:before="30" w:after="30"/>
              <w:rPr>
                <w:rFonts w:ascii="Times New Roman" w:hAnsi="Times New Roman" w:cs="Times New Roman"/>
              </w:rPr>
            </w:pPr>
            <w:r>
              <w:rPr>
                <w:rFonts w:ascii="Times New Roman" w:hAnsi="Times New Roman" w:cs="Times New Roman"/>
              </w:rPr>
              <w:t>Optimized — Within Risk Appetite</w:t>
            </w:r>
          </w:p>
        </w:tc>
        <w:tc>
          <w:tcPr>
            <w:tcW w:w="6160" w:type="dxa"/>
            <w:tcBorders>
              <w:top w:val="single" w:sz="4" w:space="0" w:color="000000"/>
              <w:left w:val="single" w:sz="4" w:space="0" w:color="000000"/>
              <w:bottom w:val="single" w:sz="4" w:space="0" w:color="000000"/>
              <w:right w:val="single" w:sz="4" w:space="0" w:color="000000"/>
            </w:tcBorders>
            <w:shd w:val="clear" w:color="auto" w:fill="C6EFCE"/>
            <w:tcMar>
              <w:top w:w="80" w:type="dxa"/>
              <w:left w:w="110" w:type="dxa"/>
              <w:bottom w:w="80" w:type="dxa"/>
              <w:right w:w="110" w:type="dxa"/>
            </w:tcMar>
          </w:tcPr>
          <w:p w14:paraId="2E204706"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rPr>
              <w:t>Zero critical vulnerabilities unpatched beyond 72 hours. Security posture is within CIBC's defined risk appetite.</w:t>
            </w:r>
          </w:p>
        </w:tc>
      </w:tr>
      <w:tr w:rsidR="00FF47B6" w:rsidRPr="002D6EF1" w14:paraId="3290A7B4" w14:textId="77777777">
        <w:tc>
          <w:tcPr>
            <w:tcW w:w="1500" w:type="dxa"/>
            <w:tcBorders>
              <w:top w:val="single" w:sz="4" w:space="0" w:color="000000"/>
              <w:left w:val="single" w:sz="4" w:space="0" w:color="000000"/>
              <w:bottom w:val="single" w:sz="4" w:space="0" w:color="000000"/>
              <w:right w:val="single" w:sz="4" w:space="0" w:color="000000"/>
            </w:tcBorders>
            <w:shd w:val="clear" w:color="auto" w:fill="FFEB9C"/>
            <w:tcMar>
              <w:top w:w="80" w:type="dxa"/>
              <w:left w:w="110" w:type="dxa"/>
              <w:bottom w:w="80" w:type="dxa"/>
              <w:right w:w="110" w:type="dxa"/>
            </w:tcMar>
          </w:tcPr>
          <w:p w14:paraId="7B6801EA" w14:textId="77777777" w:rsidR="00FF47B6" w:rsidRPr="002D6EF1" w:rsidRDefault="000D7C2C">
            <w:pPr>
              <w:spacing w:before="30" w:after="30"/>
              <w:rPr>
                <w:rFonts w:ascii="Times New Roman" w:hAnsi="Times New Roman" w:cs="Times New Roman"/>
              </w:rPr>
            </w:pPr>
            <w:r>
              <w:rPr>
                <w:rFonts w:ascii="Times New Roman" w:hAnsi="Times New Roman" w:cs="Times New Roman"/>
                <w:b/>
                <w:bCs/>
              </w:rPr>
              <w:t>AMBER</w:t>
            </w:r>
          </w:p>
        </w:tc>
        <w:tc>
          <w:tcPr>
            <w:tcW w:w="1700" w:type="dxa"/>
            <w:tcBorders>
              <w:top w:val="single" w:sz="4" w:space="0" w:color="000000"/>
              <w:left w:val="single" w:sz="4" w:space="0" w:color="000000"/>
              <w:bottom w:val="single" w:sz="4" w:space="0" w:color="000000"/>
              <w:right w:val="single" w:sz="4" w:space="0" w:color="000000"/>
            </w:tcBorders>
            <w:shd w:val="clear" w:color="auto" w:fill="FFEB9C"/>
            <w:tcMar>
              <w:top w:w="80" w:type="dxa"/>
              <w:left w:w="110" w:type="dxa"/>
              <w:bottom w:w="80" w:type="dxa"/>
              <w:right w:w="110" w:type="dxa"/>
            </w:tcMar>
          </w:tcPr>
          <w:p w14:paraId="601E7810" w14:textId="77777777" w:rsidR="00FF47B6" w:rsidRPr="002D6EF1" w:rsidRDefault="000D7C2C">
            <w:pPr>
              <w:spacing w:before="30" w:after="30"/>
              <w:rPr>
                <w:rFonts w:ascii="Times New Roman" w:hAnsi="Times New Roman" w:cs="Times New Roman"/>
              </w:rPr>
            </w:pPr>
            <w:r>
              <w:rPr>
                <w:rFonts w:ascii="Times New Roman" w:hAnsi="Times New Roman" w:cs="Times New Roman"/>
              </w:rPr>
              <w:t>Warning — Risk Increasing</w:t>
            </w:r>
          </w:p>
        </w:tc>
        <w:tc>
          <w:tcPr>
            <w:tcW w:w="6160" w:type="dxa"/>
            <w:tcBorders>
              <w:top w:val="single" w:sz="4" w:space="0" w:color="000000"/>
              <w:left w:val="single" w:sz="4" w:space="0" w:color="000000"/>
              <w:bottom w:val="single" w:sz="4" w:space="0" w:color="000000"/>
              <w:right w:val="single" w:sz="4" w:space="0" w:color="000000"/>
            </w:tcBorders>
            <w:shd w:val="clear" w:color="auto" w:fill="FFEB9C"/>
            <w:tcMar>
              <w:top w:w="80" w:type="dxa"/>
              <w:left w:w="110" w:type="dxa"/>
              <w:bottom w:w="80" w:type="dxa"/>
              <w:right w:w="110" w:type="dxa"/>
            </w:tcMar>
          </w:tcPr>
          <w:p w14:paraId="0BF0DE66"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rPr>
              <w:t>1 critical vulnerability unpatched beyond 72 hours. Integration security team notified. Patch timeline escalated to CISO. Weekly reporting to senior leadership begins.</w:t>
            </w:r>
          </w:p>
        </w:tc>
      </w:tr>
      <w:tr w:rsidR="00FF47B6" w:rsidRPr="002D6EF1" w14:paraId="382D8402" w14:textId="77777777">
        <w:tc>
          <w:tcPr>
            <w:tcW w:w="1500" w:type="dxa"/>
            <w:tcBorders>
              <w:top w:val="single" w:sz="4" w:space="0" w:color="000000"/>
              <w:left w:val="single" w:sz="4" w:space="0" w:color="000000"/>
              <w:bottom w:val="single" w:sz="4" w:space="0" w:color="000000"/>
              <w:right w:val="single" w:sz="4" w:space="0" w:color="000000"/>
            </w:tcBorders>
            <w:shd w:val="clear" w:color="auto" w:fill="FFC7CE"/>
            <w:tcMar>
              <w:top w:w="80" w:type="dxa"/>
              <w:left w:w="110" w:type="dxa"/>
              <w:bottom w:w="80" w:type="dxa"/>
              <w:right w:w="110" w:type="dxa"/>
            </w:tcMar>
          </w:tcPr>
          <w:p w14:paraId="727E6427" w14:textId="77777777" w:rsidR="00FF47B6" w:rsidRPr="002D6EF1" w:rsidRDefault="000D7C2C">
            <w:pPr>
              <w:spacing w:before="30" w:after="30"/>
              <w:rPr>
                <w:rFonts w:ascii="Times New Roman" w:hAnsi="Times New Roman" w:cs="Times New Roman"/>
              </w:rPr>
            </w:pPr>
            <w:r>
              <w:rPr>
                <w:rFonts w:ascii="Times New Roman" w:hAnsi="Times New Roman" w:cs="Times New Roman"/>
                <w:b/>
                <w:bCs/>
              </w:rPr>
              <w:t>RED</w:t>
            </w:r>
          </w:p>
        </w:tc>
        <w:tc>
          <w:tcPr>
            <w:tcW w:w="1700" w:type="dxa"/>
            <w:tcBorders>
              <w:top w:val="single" w:sz="4" w:space="0" w:color="000000"/>
              <w:left w:val="single" w:sz="4" w:space="0" w:color="000000"/>
              <w:bottom w:val="single" w:sz="4" w:space="0" w:color="000000"/>
              <w:right w:val="single" w:sz="4" w:space="0" w:color="000000"/>
            </w:tcBorders>
            <w:shd w:val="clear" w:color="auto" w:fill="FFC7CE"/>
            <w:tcMar>
              <w:top w:w="80" w:type="dxa"/>
              <w:left w:w="110" w:type="dxa"/>
              <w:bottom w:w="80" w:type="dxa"/>
              <w:right w:w="110" w:type="dxa"/>
            </w:tcMar>
          </w:tcPr>
          <w:p w14:paraId="75D51C1C" w14:textId="77777777" w:rsidR="00FF47B6" w:rsidRPr="002D6EF1" w:rsidRDefault="000D7C2C">
            <w:pPr>
              <w:spacing w:before="30" w:after="30"/>
              <w:rPr>
                <w:rFonts w:ascii="Times New Roman" w:hAnsi="Times New Roman" w:cs="Times New Roman"/>
              </w:rPr>
            </w:pPr>
            <w:r>
              <w:rPr>
                <w:rFonts w:ascii="Times New Roman" w:hAnsi="Times New Roman" w:cs="Times New Roman"/>
              </w:rPr>
              <w:t>Critical — Immediate Action</w:t>
            </w:r>
          </w:p>
        </w:tc>
        <w:tc>
          <w:tcPr>
            <w:tcW w:w="6160" w:type="dxa"/>
            <w:tcBorders>
              <w:top w:val="single" w:sz="4" w:space="0" w:color="000000"/>
              <w:left w:val="single" w:sz="4" w:space="0" w:color="000000"/>
              <w:bottom w:val="single" w:sz="4" w:space="0" w:color="000000"/>
              <w:right w:val="single" w:sz="4" w:space="0" w:color="000000"/>
            </w:tcBorders>
            <w:shd w:val="clear" w:color="auto" w:fill="FFC7CE"/>
            <w:tcMar>
              <w:top w:w="80" w:type="dxa"/>
              <w:left w:w="110" w:type="dxa"/>
              <w:bottom w:w="80" w:type="dxa"/>
              <w:right w:w="110" w:type="dxa"/>
            </w:tcMar>
          </w:tcPr>
          <w:p w14:paraId="0BA44667"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rPr>
              <w:t>2 or more critical vulnerabilities unpatched beyond 72 hours OR any confirmed unauthorized access attempt targeting the insurance platform. Immediate CISO escalation to CEO and board. Platform integration paused pending security audit.</w:t>
            </w:r>
          </w:p>
        </w:tc>
      </w:tr>
    </w:tbl>
    <w:p w14:paraId="452E091B" w14:textId="77777777" w:rsidR="00FF47B6" w:rsidRDefault="00FF47B6"/>
    <w:p w14:paraId="12203C7C" w14:textId="77777777" w:rsidR="00FF47B6" w:rsidRDefault="00FF47B6">
      <w:pPr>
        <w:pageBreakBefore/>
      </w:pPr>
    </w:p>
    <w:p w14:paraId="79BD1532" w14:textId="77777777" w:rsidR="00FF47B6" w:rsidRPr="002D6EF1" w:rsidRDefault="000D7C2C" w:rsidP="002D6EF1">
      <w:pPr>
        <w:pStyle w:val="Heading2"/>
        <w:jc w:val="both"/>
        <w:rPr>
          <w:rFonts w:ascii="Times New Roman" w:hAnsi="Times New Roman" w:cs="Times New Roman"/>
          <w:sz w:val="24"/>
          <w:szCs w:val="24"/>
        </w:rPr>
      </w:pPr>
      <w:r>
        <w:rPr>
          <w:rFonts w:ascii="Times New Roman" w:hAnsi="Times New Roman" w:cs="Times New Roman"/>
          <w:sz w:val="24"/>
          <w:szCs w:val="24"/>
        </w:rPr>
        <w:t>Risk 2 — Regulatory and Compliance Exposure (Negative Risk)</w:t>
      </w:r>
    </w:p>
    <w:p w14:paraId="65E30930" w14:textId="77777777" w:rsidR="00FF47B6" w:rsidRPr="002D6EF1" w:rsidRDefault="00FF47B6" w:rsidP="002D6EF1">
      <w:pPr>
        <w:jc w:val="both"/>
        <w:rPr>
          <w:rFonts w:ascii="Times New Roman" w:hAnsi="Times New Roman" w:cs="Times New Roman"/>
          <w:sz w:val="24"/>
          <w:szCs w:val="24"/>
        </w:rPr>
      </w:pPr>
    </w:p>
    <w:p w14:paraId="51E4512D" w14:textId="77777777" w:rsidR="00FF47B6" w:rsidRPr="004F6226" w:rsidRDefault="000D7C2C" w:rsidP="002D6EF1">
      <w:pPr>
        <w:spacing w:before="180" w:after="80"/>
        <w:jc w:val="both"/>
        <w:rPr>
          <w:rFonts w:ascii="Times New Roman" w:hAnsi="Times New Roman" w:cs="Times New Roman"/>
          <w:sz w:val="24"/>
          <w:szCs w:val="24"/>
        </w:rPr>
      </w:pPr>
      <w:r>
        <w:rPr>
          <w:rFonts w:ascii="Times New Roman" w:hAnsi="Times New Roman" w:cs="Times New Roman"/>
          <w:b/>
          <w:bCs/>
          <w:sz w:val="24"/>
          <w:szCs w:val="24"/>
        </w:rPr>
        <w:t>Problem Statement</w:t>
      </w:r>
    </w:p>
    <w:p w14:paraId="3F0B03EA" w14:textId="77777777" w:rsidR="00FF47B6" w:rsidRPr="002D6EF1" w:rsidRDefault="000D7C2C" w:rsidP="002D6EF1">
      <w:pPr>
        <w:spacing w:before="80" w:after="80"/>
        <w:jc w:val="both"/>
        <w:rPr>
          <w:rFonts w:ascii="Times New Roman" w:hAnsi="Times New Roman" w:cs="Times New Roman"/>
          <w:sz w:val="24"/>
          <w:szCs w:val="24"/>
        </w:rPr>
      </w:pPr>
      <w:r>
        <w:rPr>
          <w:rFonts w:ascii="Times New Roman" w:hAnsi="Times New Roman" w:cs="Times New Roman"/>
          <w:sz w:val="24"/>
          <w:szCs w:val="24"/>
        </w:rPr>
        <w:t>SWOT Source: THREAT — "The regulatory landscape around digital insurance, data privacy (PIPEDA, Bill C-27), and consumer protection is shifting quickly, and new obligations could emerge after the acquisition is already underway."</w:t>
      </w:r>
    </w:p>
    <w:p w14:paraId="24A1F64F" w14:textId="77777777" w:rsidR="00FF47B6" w:rsidRPr="002D6EF1" w:rsidRDefault="00FF47B6" w:rsidP="002D6EF1">
      <w:pPr>
        <w:jc w:val="both"/>
        <w:rPr>
          <w:rFonts w:ascii="Times New Roman" w:hAnsi="Times New Roman" w:cs="Times New Roman"/>
          <w:sz w:val="24"/>
          <w:szCs w:val="24"/>
        </w:rPr>
      </w:pPr>
    </w:p>
    <w:p w14:paraId="7473076B" w14:textId="77777777" w:rsidR="00FF47B6" w:rsidRPr="002D6EF1" w:rsidRDefault="000D7C2C" w:rsidP="002D6EF1">
      <w:pPr>
        <w:spacing w:before="80" w:after="80"/>
        <w:jc w:val="both"/>
        <w:rPr>
          <w:rFonts w:ascii="Times New Roman" w:hAnsi="Times New Roman" w:cs="Times New Roman"/>
          <w:sz w:val="24"/>
          <w:szCs w:val="24"/>
        </w:rPr>
      </w:pPr>
      <w:r>
        <w:rPr>
          <w:rFonts w:ascii="Times New Roman" w:hAnsi="Times New Roman" w:cs="Times New Roman"/>
          <w:sz w:val="24"/>
          <w:szCs w:val="24"/>
        </w:rPr>
        <w:t>In 2023, Canada’s federal government tabled Bill C-27 which, when passed, will significantly strengthen PIPEDA obligations and introduce AI transparency requirements directly relevant to CIBC’s planned AI-assisted underwriting processes. Simultaneously, provincial insurance regulators across Ontario, Quebec, and British Columbia have issued updated digital distribution guidelines that CIBC’s new platform must comply with before selling insurance products in those provinces. The risk requires immediate monitoring because non-compliance identified after go-live — rather than before — would force CIBC to halt sales, refund premiums already collected, and potentially face enforcement action from multiple regulators simultaneously. Regulatory delays or a compliance-driven product halt could allow competitors such as Lemonade and PolicyMe to accelerate their Canadian market penetration while CIBC is sidelined, permanently reducing the bank’s ability to establish market leadership in a window that is already closing.</w:t>
      </w:r>
    </w:p>
    <w:p w14:paraId="7BF08216" w14:textId="77777777" w:rsidR="00FF47B6" w:rsidRDefault="00FF47B6"/>
    <w:p w14:paraId="54BB8DB0" w14:textId="77777777" w:rsidR="00FF47B6" w:rsidRPr="0058767A" w:rsidRDefault="000D7C2C">
      <w:pPr>
        <w:spacing w:before="180" w:after="80"/>
      </w:pPr>
      <w:r>
        <w:rPr>
          <w:b/>
          <w:bCs/>
          <w:sz w:val="21"/>
          <w:szCs w:val="21"/>
        </w:rPr>
        <w:t>Risk Statement</w:t>
      </w:r>
    </w:p>
    <w:p w14:paraId="1A00BC04" w14:textId="77777777" w:rsidR="00FF47B6" w:rsidRDefault="00FF47B6">
      <w:pPr>
        <w:spacing w:before="120" w:after="40"/>
        <w:rPr>
          <w:rFonts w:ascii="Times New Roman" w:hAnsi="Times New Roman" w:cs="Times New Roman"/>
          <w:b/>
          <w:bCs/>
        </w:rPr>
      </w:pPr>
      <w:r>
        <w:rPr>
          <w:rFonts w:ascii="Times New Roman" w:hAnsi="Times New Roman" w:cs="Times New Roman"/>
          <w:b/>
          <w:bCs/>
        </w:rPr>
        <w:t>Table 4: Risk Statement — Risk 2: Regulatory and Compliance Exposure (Negative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FF47B6" w:rsidRPr="002D6EF1" w14:paraId="29F9A8BF" w14:textId="77777777">
        <w:tc>
          <w:tcPr>
            <w:tcW w:w="18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3A3770FB"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The risk of...</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BF61111"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rPr>
              <w:t>Regulatory non-compliance with provincial insurance licensing rules and federal data privacy legislation</w:t>
            </w:r>
          </w:p>
        </w:tc>
      </w:tr>
      <w:tr w:rsidR="00FF47B6" w:rsidRPr="002D6EF1" w14:paraId="29ED7F5F"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10" w:type="dxa"/>
              <w:bottom w:w="80" w:type="dxa"/>
              <w:right w:w="110" w:type="dxa"/>
            </w:tcMar>
          </w:tcPr>
          <w:p w14:paraId="69CB6CB1" w14:textId="77777777" w:rsidR="00FF47B6" w:rsidRPr="002D6EF1" w:rsidRDefault="000D7C2C">
            <w:pPr>
              <w:spacing w:before="30" w:after="30"/>
              <w:rPr>
                <w:rFonts w:ascii="Times New Roman" w:hAnsi="Times New Roman" w:cs="Times New Roman"/>
              </w:rPr>
            </w:pPr>
            <w:r>
              <w:rPr>
                <w:rFonts w:ascii="Times New Roman" w:hAnsi="Times New Roman" w:cs="Times New Roman"/>
                <w:b/>
                <w:bCs/>
              </w:rPr>
              <w:t>Caused by...</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C15C32E"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rPr>
              <w:t>The rapidly evolving regulatory landscape governing digital insurance distribution, AI-assisted underwriting decisions, and personal health data privacy under PIPEDA and the forthcoming Bill C-27, combined with CIBC's limited prior experience operating in the federally and provincially regulated insurance sector</w:t>
            </w:r>
          </w:p>
        </w:tc>
      </w:tr>
      <w:tr w:rsidR="00FF47B6" w:rsidRPr="002D6EF1" w14:paraId="53A19356"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10" w:type="dxa"/>
              <w:bottom w:w="80" w:type="dxa"/>
              <w:right w:w="110" w:type="dxa"/>
            </w:tcMar>
          </w:tcPr>
          <w:p w14:paraId="173C3A2E" w14:textId="77777777" w:rsidR="00FF47B6" w:rsidRPr="002D6EF1" w:rsidRDefault="000D7C2C">
            <w:pPr>
              <w:spacing w:before="30" w:after="30"/>
              <w:rPr>
                <w:rFonts w:ascii="Times New Roman" w:hAnsi="Times New Roman" w:cs="Times New Roman"/>
              </w:rPr>
            </w:pPr>
            <w:r>
              <w:rPr>
                <w:rFonts w:ascii="Times New Roman" w:hAnsi="Times New Roman" w:cs="Times New Roman"/>
                <w:b/>
                <w:bCs/>
              </w:rPr>
              <w:t>Resulting in...</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C90A1F1"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rPr>
              <w:t>Regulatory fines, mandatory product withdrawal from non-compliant provinces, forced system modifications to the insurance platform, and reputational harm from public regulatory action</w:t>
            </w:r>
          </w:p>
        </w:tc>
      </w:tr>
      <w:tr w:rsidR="00FF47B6" w:rsidRPr="002D6EF1" w14:paraId="0BCC0573"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10" w:type="dxa"/>
              <w:bottom w:w="80" w:type="dxa"/>
              <w:right w:w="110" w:type="dxa"/>
            </w:tcMar>
          </w:tcPr>
          <w:p w14:paraId="789E1C96" w14:textId="77777777" w:rsidR="00FF47B6" w:rsidRPr="002D6EF1" w:rsidRDefault="000D7C2C">
            <w:pPr>
              <w:spacing w:before="30" w:after="30"/>
              <w:rPr>
                <w:rFonts w:ascii="Times New Roman" w:hAnsi="Times New Roman" w:cs="Times New Roman"/>
              </w:rPr>
            </w:pPr>
            <w:r>
              <w:rPr>
                <w:rFonts w:ascii="Times New Roman" w:hAnsi="Times New Roman" w:cs="Times New Roman"/>
                <w:b/>
                <w:bCs/>
              </w:rPr>
              <w:t>Risk type</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4BB983B"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rPr>
              <w:t>Legal/Compliance; Financial; Operational; Competitive</w:t>
            </w:r>
          </w:p>
        </w:tc>
      </w:tr>
      <w:tr w:rsidR="00FF47B6" w:rsidRPr="002D6EF1" w14:paraId="442F4635"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10" w:type="dxa"/>
              <w:bottom w:w="80" w:type="dxa"/>
              <w:right w:w="110" w:type="dxa"/>
            </w:tcMar>
          </w:tcPr>
          <w:p w14:paraId="2CF9C37A" w14:textId="77777777" w:rsidR="00FF47B6" w:rsidRPr="002D6EF1" w:rsidRDefault="000D7C2C">
            <w:pPr>
              <w:spacing w:before="30" w:after="30"/>
              <w:rPr>
                <w:rFonts w:ascii="Times New Roman" w:hAnsi="Times New Roman" w:cs="Times New Roman"/>
              </w:rPr>
            </w:pPr>
            <w:r>
              <w:rPr>
                <w:rFonts w:ascii="Times New Roman" w:hAnsi="Times New Roman" w:cs="Times New Roman"/>
                <w:b/>
                <w:bCs/>
              </w:rPr>
              <w:t>Likelihood</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4CCE9BA"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rPr>
              <w:t>7 / 9 — Somewhat Likely</w:t>
            </w:r>
          </w:p>
        </w:tc>
      </w:tr>
      <w:tr w:rsidR="00FF47B6" w:rsidRPr="002D6EF1" w14:paraId="401DEA28"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10" w:type="dxa"/>
              <w:bottom w:w="80" w:type="dxa"/>
              <w:right w:w="110" w:type="dxa"/>
            </w:tcMar>
          </w:tcPr>
          <w:p w14:paraId="64A53D96" w14:textId="77777777" w:rsidR="00FF47B6" w:rsidRPr="002D6EF1" w:rsidRDefault="000D7C2C">
            <w:pPr>
              <w:spacing w:before="30" w:after="30"/>
              <w:rPr>
                <w:rFonts w:ascii="Times New Roman" w:hAnsi="Times New Roman" w:cs="Times New Roman"/>
              </w:rPr>
            </w:pPr>
            <w:r>
              <w:rPr>
                <w:rFonts w:ascii="Times New Roman" w:hAnsi="Times New Roman" w:cs="Times New Roman"/>
                <w:b/>
                <w:bCs/>
              </w:rPr>
              <w:t>Impact</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23897A2"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rPr>
              <w:t>8 / 9 — Extremely High</w:t>
            </w:r>
          </w:p>
        </w:tc>
      </w:tr>
      <w:tr w:rsidR="00FF47B6" w:rsidRPr="002D6EF1" w14:paraId="3E871E9C"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10" w:type="dxa"/>
              <w:bottom w:w="80" w:type="dxa"/>
              <w:right w:w="110" w:type="dxa"/>
            </w:tcMar>
          </w:tcPr>
          <w:p w14:paraId="56ACE53C" w14:textId="77777777" w:rsidR="00FF47B6" w:rsidRPr="002D6EF1" w:rsidRDefault="000D7C2C">
            <w:pPr>
              <w:spacing w:before="30" w:after="30"/>
              <w:rPr>
                <w:rFonts w:ascii="Times New Roman" w:hAnsi="Times New Roman" w:cs="Times New Roman"/>
              </w:rPr>
            </w:pPr>
            <w:r>
              <w:rPr>
                <w:rFonts w:ascii="Times New Roman" w:hAnsi="Times New Roman" w:cs="Times New Roman"/>
                <w:b/>
                <w:bCs/>
              </w:rPr>
              <w:t>Risk Score</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1E30D6E"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b/>
                <w:bCs/>
              </w:rPr>
              <w:t>56 (High Priority — Score 36–81)</w:t>
            </w:r>
          </w:p>
        </w:tc>
      </w:tr>
    </w:tbl>
    <w:p w14:paraId="60AE24DB" w14:textId="77777777" w:rsidR="00FF47B6" w:rsidRDefault="00FF47B6"/>
    <w:p w14:paraId="13C8CBC4" w14:textId="77777777" w:rsidR="00FF47B6" w:rsidRPr="004F6226" w:rsidRDefault="000D7C2C" w:rsidP="002D6EF1">
      <w:pPr>
        <w:spacing w:before="180" w:after="80"/>
        <w:jc w:val="both"/>
        <w:rPr>
          <w:rFonts w:ascii="Times New Roman" w:hAnsi="Times New Roman" w:cs="Times New Roman"/>
          <w:sz w:val="24"/>
          <w:szCs w:val="24"/>
        </w:rPr>
      </w:pPr>
      <w:r>
        <w:rPr>
          <w:rFonts w:ascii="Times New Roman" w:hAnsi="Times New Roman" w:cs="Times New Roman"/>
          <w:b/>
          <w:bCs/>
          <w:sz w:val="24"/>
          <w:szCs w:val="24"/>
        </w:rPr>
        <w:t>Impact Statement</w:t>
      </w:r>
    </w:p>
    <w:p w14:paraId="193DC864" w14:textId="77777777" w:rsidR="00FF47B6" w:rsidRPr="002D6EF1" w:rsidRDefault="000D7C2C" w:rsidP="002D6EF1">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Financial impact: Regulatory fines from the Privacy Commissioner and provincial insurance regulators could reach CAD $10 million per incident. Premium refunds to clients in non-compliant provinces could cost CAD $5 to 20 million depending on policy volumes at time of enforcement. Operational impact: A regulatory halt requiring system modification could delay platform operations by 3 to 9 months and consume significant engineering resources originally allocated to feature development. Legal/Compliance impact: OSFI may impose enhanced compliance oversight conditions on CIBC's banking licence if insurance compliance failures are deemed to reflect broader governance weaknesses. Reputational impact: Public enforcement action by a provincial insurance regulator would generate national media coverage, undermining client trust in CIBC's competence to operate in the insurance sector and damaging the bank's brand with prospective insurance clients.</w:t>
      </w:r>
    </w:p>
    <w:p w14:paraId="723D61EB" w14:textId="77777777" w:rsidR="00FF47B6" w:rsidRPr="002D6EF1" w:rsidRDefault="00FF47B6" w:rsidP="002D6EF1">
      <w:pPr>
        <w:jc w:val="both"/>
        <w:rPr>
          <w:rFonts w:ascii="Times New Roman" w:hAnsi="Times New Roman" w:cs="Times New Roman"/>
          <w:sz w:val="24"/>
          <w:szCs w:val="24"/>
        </w:rPr>
      </w:pPr>
    </w:p>
    <w:p w14:paraId="37E25A0D" w14:textId="77777777" w:rsidR="00FF47B6" w:rsidRPr="004F6226" w:rsidRDefault="000D7C2C" w:rsidP="002D6EF1">
      <w:pPr>
        <w:spacing w:before="180" w:after="80"/>
        <w:jc w:val="both"/>
        <w:rPr>
          <w:rFonts w:ascii="Times New Roman" w:hAnsi="Times New Roman" w:cs="Times New Roman"/>
          <w:sz w:val="24"/>
          <w:szCs w:val="24"/>
        </w:rPr>
      </w:pPr>
      <w:r>
        <w:rPr>
          <w:rFonts w:ascii="Times New Roman" w:hAnsi="Times New Roman" w:cs="Times New Roman"/>
          <w:b/>
          <w:bCs/>
          <w:sz w:val="24"/>
          <w:szCs w:val="24"/>
        </w:rPr>
        <w:t>Key Risk Indicator (KRI) — Leading Indicator with Thresholds</w:t>
      </w:r>
    </w:p>
    <w:p w14:paraId="01A56AEF" w14:textId="07BAAC91" w:rsidR="00FF47B6" w:rsidRPr="002D6EF1" w:rsidRDefault="000D7C2C" w:rsidP="002D6EF1">
      <w:pPr>
        <w:spacing w:before="80" w:after="80"/>
        <w:jc w:val="both"/>
        <w:rPr>
          <w:rFonts w:ascii="Times New Roman" w:hAnsi="Times New Roman" w:cs="Times New Roman"/>
          <w:sz w:val="24"/>
          <w:szCs w:val="24"/>
        </w:rPr>
      </w:pPr>
      <w:r>
        <w:rPr>
          <w:rFonts w:ascii="Times New Roman" w:hAnsi="Times New Roman" w:cs="Times New Roman"/>
          <w:sz w:val="24"/>
          <w:szCs w:val="24"/>
        </w:rPr>
        <w:t>Selected KRI: Number of open regulatory compliance findings or unimplemented regulatory changes older than 30 days (Leading Indicator , predicts future enforcement action before a violation is formally issued)</w:t>
      </w:r>
    </w:p>
    <w:p w14:paraId="42040DDE" w14:textId="77777777" w:rsidR="00FF47B6" w:rsidRDefault="00FF47B6"/>
    <w:p w14:paraId="1A00BC05" w14:textId="77777777" w:rsidR="00FF47B6" w:rsidRDefault="00FF47B6">
      <w:pPr>
        <w:spacing w:before="120" w:after="40"/>
        <w:rPr>
          <w:rFonts w:ascii="Times New Roman" w:hAnsi="Times New Roman" w:cs="Times New Roman"/>
          <w:b/>
          <w:bCs/>
        </w:rPr>
      </w:pPr>
      <w:r>
        <w:rPr>
          <w:rFonts w:ascii="Times New Roman" w:hAnsi="Times New Roman" w:cs="Times New Roman"/>
          <w:b/>
          <w:bCs/>
        </w:rPr>
        <w:t>Table 5: Key Risk Indicator Thresholds — Risk 2: Regulatory and Compliance Exposure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6160"/>
      </w:tblGrid>
      <w:tr w:rsidR="00FF47B6" w:rsidRPr="002D6EF1" w14:paraId="51D0B01A" w14:textId="77777777">
        <w:tc>
          <w:tcPr>
            <w:tcW w:w="15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3094DC96"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Level</w:t>
            </w:r>
          </w:p>
        </w:tc>
        <w:tc>
          <w:tcPr>
            <w:tcW w:w="17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59DF2AC0"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Status</w:t>
            </w:r>
          </w:p>
        </w:tc>
        <w:tc>
          <w:tcPr>
            <w:tcW w:w="616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6177F3CB"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Threshold Definition and Required Action</w:t>
            </w:r>
          </w:p>
        </w:tc>
      </w:tr>
      <w:tr w:rsidR="00FF47B6" w:rsidRPr="002D6EF1" w14:paraId="07B63411" w14:textId="77777777">
        <w:tc>
          <w:tcPr>
            <w:tcW w:w="1500" w:type="dxa"/>
            <w:tcBorders>
              <w:top w:val="single" w:sz="4" w:space="0" w:color="000000"/>
              <w:left w:val="single" w:sz="4" w:space="0" w:color="000000"/>
              <w:bottom w:val="single" w:sz="4" w:space="0" w:color="000000"/>
              <w:right w:val="single" w:sz="4" w:space="0" w:color="000000"/>
            </w:tcBorders>
            <w:shd w:val="clear" w:color="auto" w:fill="C6EFCE"/>
            <w:tcMar>
              <w:top w:w="80" w:type="dxa"/>
              <w:left w:w="110" w:type="dxa"/>
              <w:bottom w:w="80" w:type="dxa"/>
              <w:right w:w="110" w:type="dxa"/>
            </w:tcMar>
          </w:tcPr>
          <w:p w14:paraId="4E00AADD" w14:textId="77777777" w:rsidR="00FF47B6" w:rsidRPr="002D6EF1" w:rsidRDefault="000D7C2C">
            <w:pPr>
              <w:spacing w:before="30" w:after="30"/>
              <w:rPr>
                <w:rFonts w:ascii="Times New Roman" w:hAnsi="Times New Roman" w:cs="Times New Roman"/>
              </w:rPr>
            </w:pPr>
            <w:r>
              <w:rPr>
                <w:rFonts w:ascii="Times New Roman" w:hAnsi="Times New Roman" w:cs="Times New Roman"/>
                <w:b/>
                <w:bCs/>
              </w:rPr>
              <w:t>GREEN</w:t>
            </w:r>
          </w:p>
        </w:tc>
        <w:tc>
          <w:tcPr>
            <w:tcW w:w="1700" w:type="dxa"/>
            <w:tcBorders>
              <w:top w:val="single" w:sz="4" w:space="0" w:color="000000"/>
              <w:left w:val="single" w:sz="4" w:space="0" w:color="000000"/>
              <w:bottom w:val="single" w:sz="4" w:space="0" w:color="000000"/>
              <w:right w:val="single" w:sz="4" w:space="0" w:color="000000"/>
            </w:tcBorders>
            <w:shd w:val="clear" w:color="auto" w:fill="C6EFCE"/>
            <w:tcMar>
              <w:top w:w="80" w:type="dxa"/>
              <w:left w:w="110" w:type="dxa"/>
              <w:bottom w:w="80" w:type="dxa"/>
              <w:right w:w="110" w:type="dxa"/>
            </w:tcMar>
          </w:tcPr>
          <w:p w14:paraId="0AA7BCD3" w14:textId="77777777" w:rsidR="00FF47B6" w:rsidRPr="002D6EF1" w:rsidRDefault="000D7C2C">
            <w:pPr>
              <w:spacing w:before="30" w:after="30"/>
              <w:rPr>
                <w:rFonts w:ascii="Times New Roman" w:hAnsi="Times New Roman" w:cs="Times New Roman"/>
              </w:rPr>
            </w:pPr>
            <w:r>
              <w:rPr>
                <w:rFonts w:ascii="Times New Roman" w:hAnsi="Times New Roman" w:cs="Times New Roman"/>
              </w:rPr>
              <w:t>Optimized — Within Risk Appetite</w:t>
            </w:r>
          </w:p>
        </w:tc>
        <w:tc>
          <w:tcPr>
            <w:tcW w:w="6160" w:type="dxa"/>
            <w:tcBorders>
              <w:top w:val="single" w:sz="4" w:space="0" w:color="000000"/>
              <w:left w:val="single" w:sz="4" w:space="0" w:color="000000"/>
              <w:bottom w:val="single" w:sz="4" w:space="0" w:color="000000"/>
              <w:right w:val="single" w:sz="4" w:space="0" w:color="000000"/>
            </w:tcBorders>
            <w:shd w:val="clear" w:color="auto" w:fill="C6EFCE"/>
            <w:tcMar>
              <w:top w:w="80" w:type="dxa"/>
              <w:left w:w="110" w:type="dxa"/>
              <w:bottom w:w="80" w:type="dxa"/>
              <w:right w:w="110" w:type="dxa"/>
            </w:tcMar>
          </w:tcPr>
          <w:p w14:paraId="6003AAA4"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rPr>
              <w:t>Zero open compliance findings or outstanding regulatory changes beyond 30 days. All provincial licensing requirements confirmed complete before launch in each province.</w:t>
            </w:r>
          </w:p>
        </w:tc>
      </w:tr>
      <w:tr w:rsidR="00FF47B6" w:rsidRPr="002D6EF1" w14:paraId="7EFC1ACC" w14:textId="77777777">
        <w:tc>
          <w:tcPr>
            <w:tcW w:w="1500" w:type="dxa"/>
            <w:tcBorders>
              <w:top w:val="single" w:sz="4" w:space="0" w:color="000000"/>
              <w:left w:val="single" w:sz="4" w:space="0" w:color="000000"/>
              <w:bottom w:val="single" w:sz="4" w:space="0" w:color="000000"/>
              <w:right w:val="single" w:sz="4" w:space="0" w:color="000000"/>
            </w:tcBorders>
            <w:shd w:val="clear" w:color="auto" w:fill="FFEB9C"/>
            <w:tcMar>
              <w:top w:w="80" w:type="dxa"/>
              <w:left w:w="110" w:type="dxa"/>
              <w:bottom w:w="80" w:type="dxa"/>
              <w:right w:w="110" w:type="dxa"/>
            </w:tcMar>
          </w:tcPr>
          <w:p w14:paraId="73F82586" w14:textId="77777777" w:rsidR="00FF47B6" w:rsidRPr="002D6EF1" w:rsidRDefault="000D7C2C">
            <w:pPr>
              <w:spacing w:before="30" w:after="30"/>
              <w:rPr>
                <w:rFonts w:ascii="Times New Roman" w:hAnsi="Times New Roman" w:cs="Times New Roman"/>
              </w:rPr>
            </w:pPr>
            <w:r>
              <w:rPr>
                <w:rFonts w:ascii="Times New Roman" w:hAnsi="Times New Roman" w:cs="Times New Roman"/>
                <w:b/>
                <w:bCs/>
              </w:rPr>
              <w:t>AMBER</w:t>
            </w:r>
          </w:p>
        </w:tc>
        <w:tc>
          <w:tcPr>
            <w:tcW w:w="1700" w:type="dxa"/>
            <w:tcBorders>
              <w:top w:val="single" w:sz="4" w:space="0" w:color="000000"/>
              <w:left w:val="single" w:sz="4" w:space="0" w:color="000000"/>
              <w:bottom w:val="single" w:sz="4" w:space="0" w:color="000000"/>
              <w:right w:val="single" w:sz="4" w:space="0" w:color="000000"/>
            </w:tcBorders>
            <w:shd w:val="clear" w:color="auto" w:fill="FFEB9C"/>
            <w:tcMar>
              <w:top w:w="80" w:type="dxa"/>
              <w:left w:w="110" w:type="dxa"/>
              <w:bottom w:w="80" w:type="dxa"/>
              <w:right w:w="110" w:type="dxa"/>
            </w:tcMar>
          </w:tcPr>
          <w:p w14:paraId="11C46C1C" w14:textId="77777777" w:rsidR="00FF47B6" w:rsidRPr="002D6EF1" w:rsidRDefault="000D7C2C">
            <w:pPr>
              <w:spacing w:before="30" w:after="30"/>
              <w:rPr>
                <w:rFonts w:ascii="Times New Roman" w:hAnsi="Times New Roman" w:cs="Times New Roman"/>
              </w:rPr>
            </w:pPr>
            <w:r>
              <w:rPr>
                <w:rFonts w:ascii="Times New Roman" w:hAnsi="Times New Roman" w:cs="Times New Roman"/>
              </w:rPr>
              <w:t>Warning — Risk Increasing</w:t>
            </w:r>
          </w:p>
        </w:tc>
        <w:tc>
          <w:tcPr>
            <w:tcW w:w="6160" w:type="dxa"/>
            <w:tcBorders>
              <w:top w:val="single" w:sz="4" w:space="0" w:color="000000"/>
              <w:left w:val="single" w:sz="4" w:space="0" w:color="000000"/>
              <w:bottom w:val="single" w:sz="4" w:space="0" w:color="000000"/>
              <w:right w:val="single" w:sz="4" w:space="0" w:color="000000"/>
            </w:tcBorders>
            <w:shd w:val="clear" w:color="auto" w:fill="FFEB9C"/>
            <w:tcMar>
              <w:top w:w="80" w:type="dxa"/>
              <w:left w:w="110" w:type="dxa"/>
              <w:bottom w:w="80" w:type="dxa"/>
              <w:right w:w="110" w:type="dxa"/>
            </w:tcMar>
          </w:tcPr>
          <w:p w14:paraId="37742D56"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rPr>
              <w:t>1 to 2 open compliance findings or regulatory changes not yet implemented within 30 days. Compliance committee convened. Remediation timeline approved by Chief Compliance Officer. Monthly board reporting begins.</w:t>
            </w:r>
          </w:p>
        </w:tc>
      </w:tr>
      <w:tr w:rsidR="00FF47B6" w:rsidRPr="002D6EF1" w14:paraId="0E0032FC" w14:textId="77777777">
        <w:tc>
          <w:tcPr>
            <w:tcW w:w="1500" w:type="dxa"/>
            <w:tcBorders>
              <w:top w:val="single" w:sz="4" w:space="0" w:color="000000"/>
              <w:left w:val="single" w:sz="4" w:space="0" w:color="000000"/>
              <w:bottom w:val="single" w:sz="4" w:space="0" w:color="000000"/>
              <w:right w:val="single" w:sz="4" w:space="0" w:color="000000"/>
            </w:tcBorders>
            <w:shd w:val="clear" w:color="auto" w:fill="FFC7CE"/>
            <w:tcMar>
              <w:top w:w="80" w:type="dxa"/>
              <w:left w:w="110" w:type="dxa"/>
              <w:bottom w:w="80" w:type="dxa"/>
              <w:right w:w="110" w:type="dxa"/>
            </w:tcMar>
          </w:tcPr>
          <w:p w14:paraId="289D0D28" w14:textId="77777777" w:rsidR="00FF47B6" w:rsidRPr="002D6EF1" w:rsidRDefault="000D7C2C">
            <w:pPr>
              <w:spacing w:before="30" w:after="30"/>
              <w:rPr>
                <w:rFonts w:ascii="Times New Roman" w:hAnsi="Times New Roman" w:cs="Times New Roman"/>
              </w:rPr>
            </w:pPr>
            <w:r>
              <w:rPr>
                <w:rFonts w:ascii="Times New Roman" w:hAnsi="Times New Roman" w:cs="Times New Roman"/>
                <w:b/>
                <w:bCs/>
              </w:rPr>
              <w:t>RED</w:t>
            </w:r>
          </w:p>
        </w:tc>
        <w:tc>
          <w:tcPr>
            <w:tcW w:w="1700" w:type="dxa"/>
            <w:tcBorders>
              <w:top w:val="single" w:sz="4" w:space="0" w:color="000000"/>
              <w:left w:val="single" w:sz="4" w:space="0" w:color="000000"/>
              <w:bottom w:val="single" w:sz="4" w:space="0" w:color="000000"/>
              <w:right w:val="single" w:sz="4" w:space="0" w:color="000000"/>
            </w:tcBorders>
            <w:shd w:val="clear" w:color="auto" w:fill="FFC7CE"/>
            <w:tcMar>
              <w:top w:w="80" w:type="dxa"/>
              <w:left w:w="110" w:type="dxa"/>
              <w:bottom w:w="80" w:type="dxa"/>
              <w:right w:w="110" w:type="dxa"/>
            </w:tcMar>
          </w:tcPr>
          <w:p w14:paraId="2C0E738D" w14:textId="77777777" w:rsidR="00FF47B6" w:rsidRPr="002D6EF1" w:rsidRDefault="000D7C2C">
            <w:pPr>
              <w:spacing w:before="30" w:after="30"/>
              <w:rPr>
                <w:rFonts w:ascii="Times New Roman" w:hAnsi="Times New Roman" w:cs="Times New Roman"/>
              </w:rPr>
            </w:pPr>
            <w:r>
              <w:rPr>
                <w:rFonts w:ascii="Times New Roman" w:hAnsi="Times New Roman" w:cs="Times New Roman"/>
              </w:rPr>
              <w:t>Critical — Immediate Action</w:t>
            </w:r>
          </w:p>
        </w:tc>
        <w:tc>
          <w:tcPr>
            <w:tcW w:w="6160" w:type="dxa"/>
            <w:tcBorders>
              <w:top w:val="single" w:sz="4" w:space="0" w:color="000000"/>
              <w:left w:val="single" w:sz="4" w:space="0" w:color="000000"/>
              <w:bottom w:val="single" w:sz="4" w:space="0" w:color="000000"/>
              <w:right w:val="single" w:sz="4" w:space="0" w:color="000000"/>
            </w:tcBorders>
            <w:shd w:val="clear" w:color="auto" w:fill="FFC7CE"/>
            <w:tcMar>
              <w:top w:w="80" w:type="dxa"/>
              <w:left w:w="110" w:type="dxa"/>
              <w:bottom w:w="80" w:type="dxa"/>
              <w:right w:w="110" w:type="dxa"/>
            </w:tcMar>
          </w:tcPr>
          <w:p w14:paraId="4173AEA8"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rPr>
              <w:t>3 or more open compliance findings unresolved beyond 30 days OR a formal regulatory inquiry received from any provincial insurance regulator or the Privacy Commissioner of Canada. Immediate escalation to CEO and board. Legal counsel engaged. Platform sales halted in affected province(s) pending resolution.</w:t>
            </w:r>
          </w:p>
        </w:tc>
      </w:tr>
    </w:tbl>
    <w:p w14:paraId="38B099C1" w14:textId="77777777" w:rsidR="00FF47B6" w:rsidRDefault="00FF47B6"/>
    <w:p w14:paraId="6A076165" w14:textId="77777777" w:rsidR="00FF47B6" w:rsidRDefault="00FF47B6">
      <w:pPr>
        <w:pageBreakBefore/>
      </w:pPr>
    </w:p>
    <w:p w14:paraId="38304931" w14:textId="77777777" w:rsidR="00FF47B6" w:rsidRPr="002D6EF1" w:rsidRDefault="000D7C2C" w:rsidP="002D6EF1">
      <w:pPr>
        <w:pStyle w:val="Heading2"/>
        <w:jc w:val="both"/>
        <w:rPr>
          <w:rFonts w:ascii="Times New Roman" w:hAnsi="Times New Roman" w:cs="Times New Roman"/>
          <w:sz w:val="24"/>
          <w:szCs w:val="24"/>
        </w:rPr>
      </w:pPr>
      <w:r>
        <w:rPr>
          <w:rFonts w:ascii="Times New Roman" w:hAnsi="Times New Roman" w:cs="Times New Roman"/>
          <w:sz w:val="24"/>
          <w:szCs w:val="24"/>
        </w:rPr>
        <w:t>Risk 3 — First-Mover Market Capture (Positive Risk)</w:t>
      </w:r>
    </w:p>
    <w:p w14:paraId="2F74AD0D" w14:textId="77777777" w:rsidR="00FF47B6" w:rsidRPr="002D6EF1" w:rsidRDefault="00FF47B6" w:rsidP="002D6EF1">
      <w:pPr>
        <w:jc w:val="both"/>
        <w:rPr>
          <w:rFonts w:ascii="Times New Roman" w:hAnsi="Times New Roman" w:cs="Times New Roman"/>
          <w:sz w:val="24"/>
          <w:szCs w:val="24"/>
        </w:rPr>
      </w:pPr>
    </w:p>
    <w:p w14:paraId="2A1F93CE" w14:textId="77777777" w:rsidR="00FF47B6" w:rsidRPr="002D6EF1" w:rsidRDefault="000D7C2C" w:rsidP="002D6EF1">
      <w:pPr>
        <w:spacing w:before="180" w:after="80"/>
        <w:jc w:val="both"/>
        <w:rPr>
          <w:rFonts w:ascii="Times New Roman" w:hAnsi="Times New Roman" w:cs="Times New Roman"/>
          <w:sz w:val="24"/>
          <w:szCs w:val="24"/>
        </w:rPr>
      </w:pPr>
      <w:r>
        <w:rPr>
          <w:rFonts w:ascii="Times New Roman" w:hAnsi="Times New Roman" w:cs="Times New Roman"/>
          <w:b/>
          <w:bCs/>
          <w:sz w:val="24"/>
          <w:szCs w:val="24"/>
          <w:u w:val="single"/>
        </w:rPr>
        <w:t>Problem Statement</w:t>
      </w:r>
    </w:p>
    <w:p w14:paraId="187615A3" w14:textId="77777777" w:rsidR="00FF47B6" w:rsidRPr="002D6EF1" w:rsidRDefault="000D7C2C" w:rsidP="002D6EF1">
      <w:pPr>
        <w:spacing w:before="80" w:after="80"/>
        <w:jc w:val="both"/>
        <w:rPr>
          <w:rFonts w:ascii="Times New Roman" w:hAnsi="Times New Roman" w:cs="Times New Roman"/>
          <w:sz w:val="24"/>
          <w:szCs w:val="24"/>
        </w:rPr>
      </w:pPr>
      <w:r>
        <w:rPr>
          <w:rFonts w:ascii="Times New Roman" w:hAnsi="Times New Roman" w:cs="Times New Roman"/>
          <w:sz w:val="24"/>
          <w:szCs w:val="24"/>
        </w:rPr>
        <w:t>SWOT Source: OPPORTUNITY — "Canada's digital insurance market is growing fast, and an early move by a trusted bank brand like CIBC could carve out a meaningful competitive position before the space gets crowded."</w:t>
      </w:r>
    </w:p>
    <w:p w14:paraId="0528D2DA" w14:textId="77777777" w:rsidR="00FF47B6" w:rsidRPr="002D6EF1" w:rsidRDefault="00FF47B6" w:rsidP="002D6EF1">
      <w:pPr>
        <w:jc w:val="both"/>
        <w:rPr>
          <w:rFonts w:ascii="Times New Roman" w:hAnsi="Times New Roman" w:cs="Times New Roman"/>
          <w:sz w:val="24"/>
          <w:szCs w:val="24"/>
        </w:rPr>
      </w:pPr>
    </w:p>
    <w:p w14:paraId="0A2DB75C" w14:textId="49B20920" w:rsidR="00FF47B6" w:rsidRPr="002D6EF1" w:rsidRDefault="000D7C2C" w:rsidP="002D6EF1">
      <w:pPr>
        <w:spacing w:before="80" w:after="80"/>
        <w:jc w:val="both"/>
        <w:rPr>
          <w:rFonts w:ascii="Times New Roman" w:hAnsi="Times New Roman" w:cs="Times New Roman"/>
          <w:sz w:val="24"/>
          <w:szCs w:val="24"/>
        </w:rPr>
      </w:pPr>
      <w:r>
        <w:rPr>
          <w:rFonts w:ascii="Times New Roman" w:hAnsi="Times New Roman" w:cs="Times New Roman"/>
          <w:sz w:val="24"/>
          <w:szCs w:val="24"/>
        </w:rPr>
        <w:t>Market research by McKinsey (2023) indicates that Canadian consumers are significantly more willing to purchase insurance from their primary bank than from a standalone insurtech provider, citing trust and convenience as the top drivers. PolicyMe reported 40% year-over-year premium growth in 2023, confirming that digital insurance demand in Canada is real and accelerating. CIBC's opportunity window is narrow , TD and RBC have both announced digital insurance partnerships but have not yet launched integrated products. The positive risk requires monitoring now because if CIBC executes well and captures early adopters, those clients are highly unlikely to switch — creating a durable revenue stream. If CIBC moves too slowly, this opportunity becomes a permanent competitive loss.</w:t>
      </w:r>
    </w:p>
    <w:p w14:paraId="16E006D0" w14:textId="77777777" w:rsidR="00FF47B6" w:rsidRPr="002D6EF1" w:rsidRDefault="00FF47B6" w:rsidP="002D6EF1">
      <w:pPr>
        <w:jc w:val="both"/>
        <w:rPr>
          <w:rFonts w:ascii="Times New Roman" w:hAnsi="Times New Roman" w:cs="Times New Roman"/>
          <w:sz w:val="24"/>
          <w:szCs w:val="24"/>
        </w:rPr>
      </w:pPr>
    </w:p>
    <w:p w14:paraId="2B720A7E" w14:textId="77777777" w:rsidR="00FF47B6" w:rsidRDefault="000D7C2C">
      <w:pPr>
        <w:spacing w:before="180" w:after="80"/>
      </w:pPr>
      <w:r>
        <w:rPr>
          <w:b/>
          <w:bCs/>
          <w:sz w:val="21"/>
          <w:szCs w:val="21"/>
        </w:rPr>
        <w:t>Risk</w:t>
      </w:r>
      <w:r>
        <w:rPr>
          <w:b/>
          <w:bCs/>
          <w:sz w:val="21"/>
          <w:szCs w:val="21"/>
          <w:u w:val="single"/>
        </w:rPr>
        <w:t xml:space="preserve"> </w:t>
      </w:r>
      <w:r>
        <w:rPr>
          <w:b/>
          <w:bCs/>
          <w:sz w:val="21"/>
          <w:szCs w:val="21"/>
        </w:rPr>
        <w:t>Statement</w:t>
      </w:r>
    </w:p>
    <w:p w14:paraId="1A00BC06" w14:textId="77777777" w:rsidR="00FF47B6" w:rsidRDefault="00FF47B6">
      <w:pPr>
        <w:spacing w:before="120" w:after="40"/>
        <w:rPr>
          <w:rFonts w:ascii="Times New Roman" w:hAnsi="Times New Roman" w:cs="Times New Roman"/>
          <w:b/>
          <w:bCs/>
        </w:rPr>
      </w:pPr>
      <w:r>
        <w:rPr>
          <w:rFonts w:ascii="Times New Roman" w:hAnsi="Times New Roman" w:cs="Times New Roman"/>
          <w:b/>
          <w:bCs/>
        </w:rPr>
        <w:t>Table 6: Risk Statement — Risk 3: First-Mover Market Capture (Positive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FF47B6" w:rsidRPr="002D6EF1" w14:paraId="10B2A5E8" w14:textId="77777777">
        <w:tc>
          <w:tcPr>
            <w:tcW w:w="18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51094EB3" w14:textId="77777777" w:rsidR="00FF47B6" w:rsidRPr="002D6EF1" w:rsidRDefault="000D7C2C" w:rsidP="004D4088">
            <w:pPr>
              <w:jc w:val="both"/>
              <w:rPr>
                <w:rFonts w:ascii="Times New Roman" w:hAnsi="Times New Roman" w:cs="Times New Roman"/>
              </w:rPr>
            </w:pPr>
            <w:r>
              <w:rPr>
                <w:rFonts w:ascii="Times New Roman" w:hAnsi="Times New Roman" w:cs="Times New Roman"/>
                <w:b/>
                <w:bCs/>
                <w:color w:val="FFFFFF"/>
              </w:rPr>
              <w:t>The risk of...</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D1D1B71"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rPr>
              <w:t>Capturing significant first-mover advantage in the Canadian digital banking-and-insurance integration market</w:t>
            </w:r>
          </w:p>
        </w:tc>
      </w:tr>
      <w:tr w:rsidR="00FF47B6" w:rsidRPr="002D6EF1" w14:paraId="568BBCC0"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10" w:type="dxa"/>
              <w:bottom w:w="80" w:type="dxa"/>
              <w:right w:w="110" w:type="dxa"/>
            </w:tcMar>
          </w:tcPr>
          <w:p w14:paraId="30935F78"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b/>
                <w:bCs/>
              </w:rPr>
              <w:t>Caused by...</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0C23C30"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rPr>
              <w:t>CIBC's early entry into integrated digital insurance distribution leveraging its existing base of 11 million banking clients and trusted brand, ahead of insurtech competitors like Lemonade and PolicyMe who lack banking relationships, and rival Canadian banks that have not yet launched equivalent integrated platforms</w:t>
            </w:r>
          </w:p>
        </w:tc>
      </w:tr>
      <w:tr w:rsidR="00FF47B6" w:rsidRPr="002D6EF1" w14:paraId="7B160034"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10" w:type="dxa"/>
              <w:bottom w:w="80" w:type="dxa"/>
              <w:right w:w="110" w:type="dxa"/>
            </w:tcMar>
          </w:tcPr>
          <w:p w14:paraId="49D4FE3F"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b/>
                <w:bCs/>
              </w:rPr>
              <w:t>Resulting in...</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B2A9154"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rPr>
              <w:t>Substantial digital insurance market share gain, increased revenue per household, deeper and more durable client relationships, and a sustainable competitive advantage that is difficult for either pure insurtech or pure banking competitors to replicate</w:t>
            </w:r>
          </w:p>
        </w:tc>
      </w:tr>
      <w:tr w:rsidR="00FF47B6" w:rsidRPr="002D6EF1" w14:paraId="7798E75E"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10" w:type="dxa"/>
              <w:bottom w:w="80" w:type="dxa"/>
              <w:right w:w="110" w:type="dxa"/>
            </w:tcMar>
          </w:tcPr>
          <w:p w14:paraId="1612D00B"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b/>
                <w:bCs/>
              </w:rPr>
              <w:t>Risk type</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AC3E0ED"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rPr>
              <w:t>Strategic; Financial; Competitive</w:t>
            </w:r>
          </w:p>
        </w:tc>
      </w:tr>
      <w:tr w:rsidR="00FF47B6" w:rsidRPr="002D6EF1" w14:paraId="6D389149"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10" w:type="dxa"/>
              <w:bottom w:w="80" w:type="dxa"/>
              <w:right w:w="110" w:type="dxa"/>
            </w:tcMar>
          </w:tcPr>
          <w:p w14:paraId="3FF10A58"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b/>
                <w:bCs/>
              </w:rPr>
              <w:t>Likelihood</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D269BED"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rPr>
              <w:t>7 / 9 — Somewhat Likely</w:t>
            </w:r>
          </w:p>
        </w:tc>
      </w:tr>
      <w:tr w:rsidR="00FF47B6" w:rsidRPr="002D6EF1" w14:paraId="48376156"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10" w:type="dxa"/>
              <w:bottom w:w="80" w:type="dxa"/>
              <w:right w:w="110" w:type="dxa"/>
            </w:tcMar>
          </w:tcPr>
          <w:p w14:paraId="2E2A9495"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b/>
                <w:bCs/>
              </w:rPr>
              <w:t>Impact</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292E3BC"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rPr>
              <w:t>8 / 9 — Extremely High</w:t>
            </w:r>
          </w:p>
        </w:tc>
      </w:tr>
      <w:tr w:rsidR="00FF47B6" w:rsidRPr="002D6EF1" w14:paraId="1946CA0F"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10" w:type="dxa"/>
              <w:bottom w:w="80" w:type="dxa"/>
              <w:right w:w="110" w:type="dxa"/>
            </w:tcMar>
          </w:tcPr>
          <w:p w14:paraId="0F9E095F"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b/>
                <w:bCs/>
              </w:rPr>
              <w:t>Risk Score</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CDA2EEB" w14:textId="77777777" w:rsidR="00FF47B6" w:rsidRPr="002D6EF1" w:rsidRDefault="000D7C2C" w:rsidP="004D4088">
            <w:pPr>
              <w:spacing w:before="30" w:after="30"/>
              <w:jc w:val="both"/>
              <w:rPr>
                <w:rFonts w:ascii="Times New Roman" w:hAnsi="Times New Roman" w:cs="Times New Roman"/>
              </w:rPr>
            </w:pPr>
            <w:r>
              <w:rPr>
                <w:rFonts w:ascii="Times New Roman" w:hAnsi="Times New Roman" w:cs="Times New Roman"/>
                <w:b/>
                <w:bCs/>
              </w:rPr>
              <w:t>56 (High Priority — Score 36–81)</w:t>
            </w:r>
          </w:p>
        </w:tc>
      </w:tr>
    </w:tbl>
    <w:p w14:paraId="4BC26F60" w14:textId="77777777" w:rsidR="00FF47B6" w:rsidRDefault="00FF47B6" w:rsidP="004D4088">
      <w:pPr>
        <w:jc w:val="both"/>
      </w:pPr>
    </w:p>
    <w:p w14:paraId="7D378C1D" w14:textId="77777777" w:rsidR="00FF47B6" w:rsidRPr="004F6226" w:rsidRDefault="000D7C2C" w:rsidP="002D6EF1">
      <w:pPr>
        <w:spacing w:before="180" w:after="80"/>
        <w:jc w:val="both"/>
        <w:rPr>
          <w:rFonts w:ascii="Times New Roman" w:hAnsi="Times New Roman" w:cs="Times New Roman"/>
          <w:sz w:val="24"/>
          <w:szCs w:val="24"/>
        </w:rPr>
      </w:pPr>
      <w:r>
        <w:rPr>
          <w:rFonts w:ascii="Times New Roman" w:hAnsi="Times New Roman" w:cs="Times New Roman"/>
          <w:b/>
          <w:bCs/>
          <w:sz w:val="24"/>
          <w:szCs w:val="24"/>
        </w:rPr>
        <w:t>Impact Statement</w:t>
      </w:r>
    </w:p>
    <w:p w14:paraId="4AE3A3F5" w14:textId="50A0CEB8" w:rsidR="00FF47B6" w:rsidRDefault="000D7C2C" w:rsidP="004F6226">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Financial impact (positive): Achieving 5% adoption among 11 million clients within 18 months would generate approximately CAD $165 million in annual insurance premiums at average policy values, creating a new non-interest revenue stream that meaningfully offsets declining net interest </w:t>
      </w:r>
      <w:r>
        <w:rPr>
          <w:rFonts w:ascii="Times New Roman" w:hAnsi="Times New Roman" w:cs="Times New Roman"/>
          <w:sz w:val="24"/>
          <w:szCs w:val="24"/>
        </w:rPr>
        <w:lastRenderedPageBreak/>
        <w:t>margins. Strategic impact (positive): Market share captured from banking clients is highly sticky, research shows that bundled financial services clients have attrition rates 60% lower than single-product clients, providing a long-term revenue and relationship advantage. Competitive impact (positive): Establishing CIBC as the leading integrated banking-and-insurance provider in Canada creates a brand differentiation that pure insurtechs cannot replicate without banking licences and that banking competitors cannot quickly replicate without equivalent technical investment. Financial impact if opportunity is missed (negative): If Lemonade, PolicyMe, or a rival Canadian bank captures this market segment first, CIBC's cost of entering an already-competitive market rises significantly. estimated at CAD $40 to 60 million in additional marketing and incentive costs to achieve equivalent market penetration three to four years later.</w:t>
      </w:r>
    </w:p>
    <w:p w14:paraId="623AF240" w14:textId="77777777" w:rsidR="004F6226" w:rsidRPr="002D6EF1" w:rsidRDefault="004F6226" w:rsidP="004F6226">
      <w:pPr>
        <w:spacing w:before="80" w:after="80"/>
        <w:jc w:val="both"/>
        <w:rPr>
          <w:rFonts w:ascii="Times New Roman" w:hAnsi="Times New Roman" w:cs="Times New Roman"/>
          <w:sz w:val="24"/>
          <w:szCs w:val="24"/>
        </w:rPr>
      </w:pPr>
    </w:p>
    <w:p w14:paraId="1A15B830" w14:textId="2A35D8DF" w:rsidR="00FF47B6" w:rsidRPr="004F6226" w:rsidRDefault="000D7C2C" w:rsidP="002D6EF1">
      <w:pPr>
        <w:spacing w:before="180" w:after="80"/>
        <w:jc w:val="both"/>
        <w:rPr>
          <w:rFonts w:ascii="Times New Roman" w:hAnsi="Times New Roman" w:cs="Times New Roman"/>
          <w:sz w:val="24"/>
          <w:szCs w:val="24"/>
        </w:rPr>
      </w:pPr>
      <w:r>
        <w:rPr>
          <w:rFonts w:ascii="Times New Roman" w:hAnsi="Times New Roman" w:cs="Times New Roman"/>
          <w:b/>
          <w:bCs/>
          <w:sz w:val="24"/>
          <w:szCs w:val="24"/>
        </w:rPr>
        <w:t>Key Risk Indicator (KRI) — Leading Indicator with Thresholds</w:t>
      </w:r>
    </w:p>
    <w:p w14:paraId="4E47B62B" w14:textId="53A2FE83" w:rsidR="00FF47B6" w:rsidRPr="002D6EF1" w:rsidRDefault="000D7C2C" w:rsidP="002D6EF1">
      <w:pPr>
        <w:spacing w:before="80" w:after="80"/>
        <w:jc w:val="both"/>
        <w:rPr>
          <w:rFonts w:ascii="Times New Roman" w:hAnsi="Times New Roman" w:cs="Times New Roman"/>
          <w:sz w:val="24"/>
          <w:szCs w:val="24"/>
        </w:rPr>
      </w:pPr>
      <w:r>
        <w:rPr>
          <w:rFonts w:ascii="Times New Roman" w:hAnsi="Times New Roman" w:cs="Times New Roman"/>
          <w:sz w:val="24"/>
          <w:szCs w:val="24"/>
        </w:rPr>
        <w:t>Selected KRI: Monthly digital insurance client adoption rate, percentage of active CIBC digital banking clients who have purchased at least one insurance product through the platform (Leading Indicator, predicts future revenue trajectory and market share position before financial results are reported)</w:t>
      </w:r>
    </w:p>
    <w:p w14:paraId="30247A52" w14:textId="77777777" w:rsidR="00FF47B6" w:rsidRDefault="00FF47B6"/>
    <w:p w14:paraId="1A00BC07" w14:textId="77777777" w:rsidR="00FF47B6" w:rsidRDefault="00FF47B6">
      <w:pPr>
        <w:spacing w:before="120" w:after="40"/>
        <w:rPr>
          <w:rFonts w:ascii="Times New Roman" w:hAnsi="Times New Roman" w:cs="Times New Roman"/>
          <w:b/>
          <w:bCs/>
        </w:rPr>
      </w:pPr>
      <w:r>
        <w:rPr>
          <w:rFonts w:ascii="Times New Roman" w:hAnsi="Times New Roman" w:cs="Times New Roman"/>
          <w:b/>
          <w:bCs/>
        </w:rPr>
        <w:t>Table 7: Key Risk Indicator Thresholds — Risk 3: First-Mover Market Capture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6160"/>
      </w:tblGrid>
      <w:tr w:rsidR="00FF47B6" w:rsidRPr="002D6EF1" w14:paraId="619A430F" w14:textId="77777777">
        <w:tc>
          <w:tcPr>
            <w:tcW w:w="15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02756872"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Level</w:t>
            </w:r>
          </w:p>
        </w:tc>
        <w:tc>
          <w:tcPr>
            <w:tcW w:w="17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6D3489EB"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Status</w:t>
            </w:r>
          </w:p>
        </w:tc>
        <w:tc>
          <w:tcPr>
            <w:tcW w:w="616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139BF888"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Threshold Definition and Required Action</w:t>
            </w:r>
          </w:p>
        </w:tc>
      </w:tr>
      <w:tr w:rsidR="00FF47B6" w:rsidRPr="002D6EF1" w14:paraId="3E7DC64D" w14:textId="77777777">
        <w:tc>
          <w:tcPr>
            <w:tcW w:w="1500" w:type="dxa"/>
            <w:tcBorders>
              <w:top w:val="single" w:sz="4" w:space="0" w:color="000000"/>
              <w:left w:val="single" w:sz="4" w:space="0" w:color="000000"/>
              <w:bottom w:val="single" w:sz="4" w:space="0" w:color="000000"/>
              <w:right w:val="single" w:sz="4" w:space="0" w:color="000000"/>
            </w:tcBorders>
            <w:shd w:val="clear" w:color="auto" w:fill="C6EFCE"/>
            <w:tcMar>
              <w:top w:w="80" w:type="dxa"/>
              <w:left w:w="110" w:type="dxa"/>
              <w:bottom w:w="80" w:type="dxa"/>
              <w:right w:w="110" w:type="dxa"/>
            </w:tcMar>
          </w:tcPr>
          <w:p w14:paraId="760B857D" w14:textId="77777777" w:rsidR="00FF47B6" w:rsidRPr="002D6EF1" w:rsidRDefault="000D7C2C" w:rsidP="004F6226">
            <w:pPr>
              <w:spacing w:before="30" w:after="30"/>
              <w:jc w:val="both"/>
              <w:rPr>
                <w:rFonts w:ascii="Times New Roman" w:hAnsi="Times New Roman" w:cs="Times New Roman"/>
              </w:rPr>
            </w:pPr>
            <w:r>
              <w:rPr>
                <w:rFonts w:ascii="Times New Roman" w:hAnsi="Times New Roman" w:cs="Times New Roman"/>
                <w:b/>
                <w:bCs/>
              </w:rPr>
              <w:t>GREEN</w:t>
            </w:r>
          </w:p>
        </w:tc>
        <w:tc>
          <w:tcPr>
            <w:tcW w:w="1700" w:type="dxa"/>
            <w:tcBorders>
              <w:top w:val="single" w:sz="4" w:space="0" w:color="000000"/>
              <w:left w:val="single" w:sz="4" w:space="0" w:color="000000"/>
              <w:bottom w:val="single" w:sz="4" w:space="0" w:color="000000"/>
              <w:right w:val="single" w:sz="4" w:space="0" w:color="000000"/>
            </w:tcBorders>
            <w:shd w:val="clear" w:color="auto" w:fill="C6EFCE"/>
            <w:tcMar>
              <w:top w:w="80" w:type="dxa"/>
              <w:left w:w="110" w:type="dxa"/>
              <w:bottom w:w="80" w:type="dxa"/>
              <w:right w:w="110" w:type="dxa"/>
            </w:tcMar>
          </w:tcPr>
          <w:p w14:paraId="330D13F5" w14:textId="77777777" w:rsidR="00FF47B6" w:rsidRPr="002D6EF1" w:rsidRDefault="000D7C2C" w:rsidP="004F6226">
            <w:pPr>
              <w:spacing w:before="30" w:after="30"/>
              <w:jc w:val="both"/>
              <w:rPr>
                <w:rFonts w:ascii="Times New Roman" w:hAnsi="Times New Roman" w:cs="Times New Roman"/>
              </w:rPr>
            </w:pPr>
            <w:r>
              <w:rPr>
                <w:rFonts w:ascii="Times New Roman" w:hAnsi="Times New Roman" w:cs="Times New Roman"/>
              </w:rPr>
              <w:t>Optimized — Within Risk Appetite</w:t>
            </w:r>
          </w:p>
        </w:tc>
        <w:tc>
          <w:tcPr>
            <w:tcW w:w="6160" w:type="dxa"/>
            <w:tcBorders>
              <w:top w:val="single" w:sz="4" w:space="0" w:color="000000"/>
              <w:left w:val="single" w:sz="4" w:space="0" w:color="000000"/>
              <w:bottom w:val="single" w:sz="4" w:space="0" w:color="000000"/>
              <w:right w:val="single" w:sz="4" w:space="0" w:color="000000"/>
            </w:tcBorders>
            <w:shd w:val="clear" w:color="auto" w:fill="C6EFCE"/>
            <w:tcMar>
              <w:top w:w="80" w:type="dxa"/>
              <w:left w:w="110" w:type="dxa"/>
              <w:bottom w:w="80" w:type="dxa"/>
              <w:right w:w="110" w:type="dxa"/>
            </w:tcMar>
          </w:tcPr>
          <w:p w14:paraId="17C3681C" w14:textId="77777777" w:rsidR="00FF47B6" w:rsidRPr="002D6EF1" w:rsidRDefault="000D7C2C" w:rsidP="004F6226">
            <w:pPr>
              <w:spacing w:before="30" w:after="30"/>
              <w:jc w:val="both"/>
              <w:rPr>
                <w:rFonts w:ascii="Times New Roman" w:hAnsi="Times New Roman" w:cs="Times New Roman"/>
              </w:rPr>
            </w:pPr>
            <w:r>
              <w:rPr>
                <w:rFonts w:ascii="Times New Roman" w:hAnsi="Times New Roman" w:cs="Times New Roman"/>
              </w:rPr>
              <w:t>Adoption rate above 5% of active digital banking clients within 12 months of launch. Platform is capturing early market share ahead of projections. Cross-sell programme is performing as planned.</w:t>
            </w:r>
          </w:p>
        </w:tc>
      </w:tr>
      <w:tr w:rsidR="00FF47B6" w:rsidRPr="002D6EF1" w14:paraId="5247655D" w14:textId="77777777">
        <w:tc>
          <w:tcPr>
            <w:tcW w:w="1500" w:type="dxa"/>
            <w:tcBorders>
              <w:top w:val="single" w:sz="4" w:space="0" w:color="000000"/>
              <w:left w:val="single" w:sz="4" w:space="0" w:color="000000"/>
              <w:bottom w:val="single" w:sz="4" w:space="0" w:color="000000"/>
              <w:right w:val="single" w:sz="4" w:space="0" w:color="000000"/>
            </w:tcBorders>
            <w:shd w:val="clear" w:color="auto" w:fill="FFEB9C"/>
            <w:tcMar>
              <w:top w:w="80" w:type="dxa"/>
              <w:left w:w="110" w:type="dxa"/>
              <w:bottom w:w="80" w:type="dxa"/>
              <w:right w:w="110" w:type="dxa"/>
            </w:tcMar>
          </w:tcPr>
          <w:p w14:paraId="7A2D406D" w14:textId="77777777" w:rsidR="00FF47B6" w:rsidRPr="002D6EF1" w:rsidRDefault="000D7C2C" w:rsidP="004F6226">
            <w:pPr>
              <w:spacing w:before="30" w:after="30"/>
              <w:jc w:val="both"/>
              <w:rPr>
                <w:rFonts w:ascii="Times New Roman" w:hAnsi="Times New Roman" w:cs="Times New Roman"/>
              </w:rPr>
            </w:pPr>
            <w:r>
              <w:rPr>
                <w:rFonts w:ascii="Times New Roman" w:hAnsi="Times New Roman" w:cs="Times New Roman"/>
                <w:b/>
                <w:bCs/>
              </w:rPr>
              <w:t>AMBER</w:t>
            </w:r>
          </w:p>
        </w:tc>
        <w:tc>
          <w:tcPr>
            <w:tcW w:w="1700" w:type="dxa"/>
            <w:tcBorders>
              <w:top w:val="single" w:sz="4" w:space="0" w:color="000000"/>
              <w:left w:val="single" w:sz="4" w:space="0" w:color="000000"/>
              <w:bottom w:val="single" w:sz="4" w:space="0" w:color="000000"/>
              <w:right w:val="single" w:sz="4" w:space="0" w:color="000000"/>
            </w:tcBorders>
            <w:shd w:val="clear" w:color="auto" w:fill="FFEB9C"/>
            <w:tcMar>
              <w:top w:w="80" w:type="dxa"/>
              <w:left w:w="110" w:type="dxa"/>
              <w:bottom w:w="80" w:type="dxa"/>
              <w:right w:w="110" w:type="dxa"/>
            </w:tcMar>
          </w:tcPr>
          <w:p w14:paraId="350D883D" w14:textId="77777777" w:rsidR="00FF47B6" w:rsidRPr="002D6EF1" w:rsidRDefault="000D7C2C" w:rsidP="004F6226">
            <w:pPr>
              <w:spacing w:before="30" w:after="30"/>
              <w:jc w:val="both"/>
              <w:rPr>
                <w:rFonts w:ascii="Times New Roman" w:hAnsi="Times New Roman" w:cs="Times New Roman"/>
              </w:rPr>
            </w:pPr>
            <w:r>
              <w:rPr>
                <w:rFonts w:ascii="Times New Roman" w:hAnsi="Times New Roman" w:cs="Times New Roman"/>
              </w:rPr>
              <w:t>Warning — Risk Increasing</w:t>
            </w:r>
          </w:p>
        </w:tc>
        <w:tc>
          <w:tcPr>
            <w:tcW w:w="6160" w:type="dxa"/>
            <w:tcBorders>
              <w:top w:val="single" w:sz="4" w:space="0" w:color="000000"/>
              <w:left w:val="single" w:sz="4" w:space="0" w:color="000000"/>
              <w:bottom w:val="single" w:sz="4" w:space="0" w:color="000000"/>
              <w:right w:val="single" w:sz="4" w:space="0" w:color="000000"/>
            </w:tcBorders>
            <w:shd w:val="clear" w:color="auto" w:fill="FFEB9C"/>
            <w:tcMar>
              <w:top w:w="80" w:type="dxa"/>
              <w:left w:w="110" w:type="dxa"/>
              <w:bottom w:w="80" w:type="dxa"/>
              <w:right w:w="110" w:type="dxa"/>
            </w:tcMar>
          </w:tcPr>
          <w:p w14:paraId="633062B3" w14:textId="77777777" w:rsidR="00FF47B6" w:rsidRPr="002D6EF1" w:rsidRDefault="000D7C2C" w:rsidP="004F6226">
            <w:pPr>
              <w:spacing w:before="30" w:after="30"/>
              <w:jc w:val="both"/>
              <w:rPr>
                <w:rFonts w:ascii="Times New Roman" w:hAnsi="Times New Roman" w:cs="Times New Roman"/>
              </w:rPr>
            </w:pPr>
            <w:r>
              <w:rPr>
                <w:rFonts w:ascii="Times New Roman" w:hAnsi="Times New Roman" w:cs="Times New Roman"/>
              </w:rPr>
              <w:t>Adoption rate between 2% and 5% at 12 months post-launch. Marketing effectiveness reviewed. Advisor cross-sell incentive programme reassessed. Competitive benchmarking analysis commissioned to identify gap versus projections.</w:t>
            </w:r>
          </w:p>
        </w:tc>
      </w:tr>
      <w:tr w:rsidR="00FF47B6" w:rsidRPr="002D6EF1" w14:paraId="1E7EE320" w14:textId="77777777">
        <w:tc>
          <w:tcPr>
            <w:tcW w:w="1500" w:type="dxa"/>
            <w:tcBorders>
              <w:top w:val="single" w:sz="4" w:space="0" w:color="000000"/>
              <w:left w:val="single" w:sz="4" w:space="0" w:color="000000"/>
              <w:bottom w:val="single" w:sz="4" w:space="0" w:color="000000"/>
              <w:right w:val="single" w:sz="4" w:space="0" w:color="000000"/>
            </w:tcBorders>
            <w:shd w:val="clear" w:color="auto" w:fill="FFC7CE"/>
            <w:tcMar>
              <w:top w:w="80" w:type="dxa"/>
              <w:left w:w="110" w:type="dxa"/>
              <w:bottom w:w="80" w:type="dxa"/>
              <w:right w:w="110" w:type="dxa"/>
            </w:tcMar>
          </w:tcPr>
          <w:p w14:paraId="18086FB0" w14:textId="77777777" w:rsidR="00FF47B6" w:rsidRPr="002D6EF1" w:rsidRDefault="000D7C2C" w:rsidP="004F6226">
            <w:pPr>
              <w:spacing w:before="30" w:after="30"/>
              <w:jc w:val="both"/>
              <w:rPr>
                <w:rFonts w:ascii="Times New Roman" w:hAnsi="Times New Roman" w:cs="Times New Roman"/>
              </w:rPr>
            </w:pPr>
            <w:r>
              <w:rPr>
                <w:rFonts w:ascii="Times New Roman" w:hAnsi="Times New Roman" w:cs="Times New Roman"/>
                <w:b/>
                <w:bCs/>
              </w:rPr>
              <w:t>RED</w:t>
            </w:r>
          </w:p>
        </w:tc>
        <w:tc>
          <w:tcPr>
            <w:tcW w:w="1700" w:type="dxa"/>
            <w:tcBorders>
              <w:top w:val="single" w:sz="4" w:space="0" w:color="000000"/>
              <w:left w:val="single" w:sz="4" w:space="0" w:color="000000"/>
              <w:bottom w:val="single" w:sz="4" w:space="0" w:color="000000"/>
              <w:right w:val="single" w:sz="4" w:space="0" w:color="000000"/>
            </w:tcBorders>
            <w:shd w:val="clear" w:color="auto" w:fill="FFC7CE"/>
            <w:tcMar>
              <w:top w:w="80" w:type="dxa"/>
              <w:left w:w="110" w:type="dxa"/>
              <w:bottom w:w="80" w:type="dxa"/>
              <w:right w:w="110" w:type="dxa"/>
            </w:tcMar>
          </w:tcPr>
          <w:p w14:paraId="16B170AE" w14:textId="77777777" w:rsidR="00FF47B6" w:rsidRPr="002D6EF1" w:rsidRDefault="000D7C2C" w:rsidP="004F6226">
            <w:pPr>
              <w:spacing w:before="30" w:after="30"/>
              <w:jc w:val="both"/>
              <w:rPr>
                <w:rFonts w:ascii="Times New Roman" w:hAnsi="Times New Roman" w:cs="Times New Roman"/>
              </w:rPr>
            </w:pPr>
            <w:r>
              <w:rPr>
                <w:rFonts w:ascii="Times New Roman" w:hAnsi="Times New Roman" w:cs="Times New Roman"/>
              </w:rPr>
              <w:t>Critical — Immediate Action</w:t>
            </w:r>
          </w:p>
        </w:tc>
        <w:tc>
          <w:tcPr>
            <w:tcW w:w="6160" w:type="dxa"/>
            <w:tcBorders>
              <w:top w:val="single" w:sz="4" w:space="0" w:color="000000"/>
              <w:left w:val="single" w:sz="4" w:space="0" w:color="000000"/>
              <w:bottom w:val="single" w:sz="4" w:space="0" w:color="000000"/>
              <w:right w:val="single" w:sz="4" w:space="0" w:color="000000"/>
            </w:tcBorders>
            <w:shd w:val="clear" w:color="auto" w:fill="FFC7CE"/>
            <w:tcMar>
              <w:top w:w="80" w:type="dxa"/>
              <w:left w:w="110" w:type="dxa"/>
              <w:bottom w:w="80" w:type="dxa"/>
              <w:right w:w="110" w:type="dxa"/>
            </w:tcMar>
          </w:tcPr>
          <w:p w14:paraId="303C9077" w14:textId="77777777" w:rsidR="00FF47B6" w:rsidRPr="002D6EF1" w:rsidRDefault="000D7C2C" w:rsidP="004F6226">
            <w:pPr>
              <w:spacing w:before="30" w:after="30"/>
              <w:jc w:val="both"/>
              <w:rPr>
                <w:rFonts w:ascii="Times New Roman" w:hAnsi="Times New Roman" w:cs="Times New Roman"/>
              </w:rPr>
            </w:pPr>
            <w:r>
              <w:rPr>
                <w:rFonts w:ascii="Times New Roman" w:hAnsi="Times New Roman" w:cs="Times New Roman"/>
              </w:rPr>
              <w:t>Adoption rate below 2% at 12 months post-launch OR a major Canadian bank competitor launches an integrated banking-and-insurance platform before CIBC achieves meaningful market share. Immediate strategy committee review. CEO briefed. Assessment of whether additional product features, pricing adjustments, or partnership arrangements are required to defend the market position.</w:t>
            </w:r>
          </w:p>
        </w:tc>
      </w:tr>
    </w:tbl>
    <w:p w14:paraId="04DBF774" w14:textId="77777777" w:rsidR="00FF47B6" w:rsidRDefault="00FF47B6" w:rsidP="004F6226">
      <w:pPr>
        <w:jc w:val="both"/>
      </w:pPr>
    </w:p>
    <w:p w14:paraId="05B0D2CB" w14:textId="77777777" w:rsidR="00FF47B6" w:rsidRDefault="00FF47B6">
      <w:pPr>
        <w:pageBreakBefore/>
      </w:pPr>
    </w:p>
    <w:p w14:paraId="6B936B51" w14:textId="4CC7D252" w:rsidR="00FF47B6" w:rsidRPr="002D6EF1" w:rsidRDefault="004F6226" w:rsidP="002D6EF1">
      <w:pPr>
        <w:pStyle w:val="Heading1"/>
        <w:jc w:val="both"/>
        <w:rPr>
          <w:rFonts w:ascii="Times New Roman" w:hAnsi="Times New Roman" w:cs="Times New Roman"/>
          <w:sz w:val="24"/>
          <w:szCs w:val="24"/>
        </w:rPr>
      </w:pPr>
      <w:r>
        <w:rPr>
          <w:rFonts w:ascii="Times New Roman" w:hAnsi="Times New Roman" w:cs="Times New Roman"/>
          <w:sz w:val="24"/>
          <w:szCs w:val="24"/>
        </w:rPr>
        <w:t>CONCLUSION</w:t>
      </w:r>
    </w:p>
    <w:p w14:paraId="1188FDC3" w14:textId="7DAF0F5C" w:rsidR="00FF47B6" w:rsidRPr="002D6EF1" w:rsidRDefault="000D7C2C" w:rsidP="002D6EF1">
      <w:pPr>
        <w:spacing w:before="80" w:after="80"/>
        <w:jc w:val="both"/>
        <w:rPr>
          <w:rFonts w:ascii="Times New Roman" w:hAnsi="Times New Roman" w:cs="Times New Roman"/>
          <w:sz w:val="24"/>
          <w:szCs w:val="24"/>
        </w:rPr>
      </w:pPr>
      <w:r>
        <w:rPr>
          <w:rFonts w:ascii="Times New Roman" w:hAnsi="Times New Roman" w:cs="Times New Roman"/>
          <w:sz w:val="24"/>
          <w:szCs w:val="24"/>
        </w:rPr>
        <w:t>This risk identification report has identified two negative competitive risks and one positive competitive risk for CIBC's digital insurance platform acquisition, using the SWOT analysis from Module 1 as its foundation. The two negative risks, data privacy breach and regulatory non-compliance, reflect the genuinely new and complex risk environment CIBC enters when it combines banking and insurance operations in a digital channel. Both carry High priority scores driven by very high likelihood of occurrence and extremely high potential impact. The positive risk, first-mover market capture, reflects a real and time-sensitive opportunity that is directly supported by market research and competitive intelligence.</w:t>
      </w:r>
    </w:p>
    <w:p w14:paraId="4F7BD4B7" w14:textId="77777777" w:rsidR="00FF47B6" w:rsidRPr="002D6EF1" w:rsidRDefault="00FF47B6" w:rsidP="002D6EF1">
      <w:pPr>
        <w:jc w:val="both"/>
        <w:rPr>
          <w:rFonts w:ascii="Times New Roman" w:hAnsi="Times New Roman" w:cs="Times New Roman"/>
          <w:sz w:val="24"/>
          <w:szCs w:val="24"/>
        </w:rPr>
      </w:pPr>
    </w:p>
    <w:p w14:paraId="5C9C5721" w14:textId="244571A8" w:rsidR="00FF47B6" w:rsidRPr="002D6EF1" w:rsidRDefault="000D7C2C" w:rsidP="002D6EF1">
      <w:pPr>
        <w:spacing w:before="80" w:after="80"/>
        <w:jc w:val="both"/>
        <w:rPr>
          <w:rFonts w:ascii="Times New Roman" w:hAnsi="Times New Roman" w:cs="Times New Roman"/>
          <w:sz w:val="24"/>
          <w:szCs w:val="24"/>
        </w:rPr>
      </w:pPr>
      <w:r>
        <w:rPr>
          <w:rFonts w:ascii="Times New Roman" w:hAnsi="Times New Roman" w:cs="Times New Roman"/>
          <w:sz w:val="24"/>
          <w:szCs w:val="24"/>
        </w:rPr>
        <w:t>Each risk has been given a leading Key Risk Indicator with specific, measurable green, amber, and red thresholds that give CIBC's management and board actionable signals before a risk event occurs not after. This is the fundamental purpose of KRIs in an ERM framework: to shift the organisation from reactive crisis management to proactive risk governance. The Risk Register (Table 8) and KRI Summary (Table 9) consolidating all three risks in the required template format are presented after the References section.</w:t>
      </w:r>
    </w:p>
    <w:p w14:paraId="74C78758" w14:textId="77777777" w:rsidR="00FF47B6" w:rsidRPr="002D6EF1" w:rsidRDefault="00FF47B6" w:rsidP="002D6EF1">
      <w:pPr>
        <w:jc w:val="both"/>
        <w:rPr>
          <w:rFonts w:ascii="Times New Roman" w:hAnsi="Times New Roman" w:cs="Times New Roman"/>
          <w:sz w:val="24"/>
          <w:szCs w:val="24"/>
        </w:rPr>
      </w:pPr>
    </w:p>
    <w:p w14:paraId="3A54EEAC" w14:textId="77777777" w:rsidR="002D6EF1" w:rsidRDefault="002D6EF1">
      <w:pPr>
        <w:pStyle w:val="Heading1"/>
      </w:pPr>
    </w:p>
    <w:p w14:paraId="428ECAA2" w14:textId="77777777" w:rsidR="002D6EF1" w:rsidRDefault="002D6EF1">
      <w:pPr>
        <w:pStyle w:val="Heading1"/>
      </w:pPr>
    </w:p>
    <w:p w14:paraId="5B04D01B" w14:textId="77777777" w:rsidR="002D6EF1" w:rsidRDefault="002D6EF1">
      <w:pPr>
        <w:pStyle w:val="Heading1"/>
      </w:pPr>
    </w:p>
    <w:p w14:paraId="26BAF1AF" w14:textId="77777777" w:rsidR="002D6EF1" w:rsidRDefault="002D6EF1">
      <w:pPr>
        <w:pStyle w:val="Heading1"/>
      </w:pPr>
    </w:p>
    <w:p w14:paraId="005659E0" w14:textId="77777777" w:rsidR="002D6EF1" w:rsidRDefault="002D6EF1">
      <w:pPr>
        <w:pStyle w:val="Heading1"/>
      </w:pPr>
    </w:p>
    <w:p w14:paraId="41F7247E" w14:textId="77777777" w:rsidR="002D6EF1" w:rsidRDefault="002D6EF1">
      <w:pPr>
        <w:pStyle w:val="Heading1"/>
      </w:pPr>
    </w:p>
    <w:p w14:paraId="4714FAD1" w14:textId="77777777" w:rsidR="002D6EF1" w:rsidRDefault="002D6EF1">
      <w:pPr>
        <w:pStyle w:val="Heading1"/>
      </w:pPr>
    </w:p>
    <w:p w14:paraId="5B9F0E7E" w14:textId="77777777" w:rsidR="002D6EF1" w:rsidRDefault="002D6EF1">
      <w:pPr>
        <w:pStyle w:val="Heading1"/>
      </w:pPr>
    </w:p>
    <w:p w14:paraId="7DB8E245" w14:textId="77777777" w:rsidR="002D6EF1" w:rsidRDefault="002D6EF1">
      <w:pPr>
        <w:pStyle w:val="Heading1"/>
      </w:pPr>
    </w:p>
    <w:p w14:paraId="39EFD34D" w14:textId="77777777" w:rsidR="002D6EF1" w:rsidRDefault="002D6EF1">
      <w:pPr>
        <w:pStyle w:val="Heading1"/>
      </w:pPr>
    </w:p>
    <w:p w14:paraId="08DC559D" w14:textId="77777777" w:rsidR="002D6EF1" w:rsidRDefault="002D6EF1">
      <w:pPr>
        <w:pStyle w:val="Heading1"/>
      </w:pPr>
    </w:p>
    <w:p w14:paraId="602FBE95" w14:textId="77777777" w:rsidR="002D6EF1" w:rsidRDefault="002D6EF1">
      <w:pPr>
        <w:pStyle w:val="Heading1"/>
      </w:pPr>
    </w:p>
    <w:p w14:paraId="25A02C90" w14:textId="07CD0B1B" w:rsidR="00FF47B6" w:rsidRPr="002D6EF1" w:rsidRDefault="000D7C2C">
      <w:pPr>
        <w:pStyle w:val="Heading1"/>
        <w:rPr>
          <w:rFonts w:ascii="Times New Roman" w:hAnsi="Times New Roman" w:cs="Times New Roman"/>
          <w:sz w:val="24"/>
          <w:szCs w:val="24"/>
        </w:rPr>
      </w:pPr>
      <w:r>
        <w:rPr>
          <w:rFonts w:ascii="Times New Roman" w:hAnsi="Times New Roman" w:cs="Times New Roman"/>
          <w:sz w:val="24"/>
          <w:szCs w:val="24"/>
        </w:rPr>
        <w:t>REFERENCES</w:t>
      </w:r>
    </w:p>
    <w:p w14:paraId="0CDA51E1" w14:textId="77777777" w:rsidR="00FF47B6" w:rsidRPr="002D6EF1" w:rsidRDefault="000D7C2C">
      <w:pPr>
        <w:spacing w:before="80" w:after="80"/>
        <w:ind w:left="720" w:hanging="720"/>
        <w:rPr>
          <w:rFonts w:ascii="Times New Roman" w:hAnsi="Times New Roman" w:cs="Times New Roman"/>
          <w:sz w:val="24"/>
          <w:szCs w:val="24"/>
        </w:rPr>
      </w:pPr>
      <w:r>
        <w:rPr>
          <w:rFonts w:ascii="Times New Roman" w:hAnsi="Times New Roman" w:cs="Times New Roman"/>
          <w:sz w:val="24"/>
          <w:szCs w:val="24"/>
        </w:rPr>
        <w:t xml:space="preserve">Beasley, M. S., Branson, B. C., &amp; Hancock, B. V. (2010). </w:t>
      </w:r>
      <w:r>
        <w:rPr>
          <w:rFonts w:ascii="Times New Roman" w:hAnsi="Times New Roman" w:cs="Times New Roman"/>
          <w:i/>
          <w:iCs/>
          <w:sz w:val="24"/>
          <w:szCs w:val="24"/>
        </w:rPr>
        <w:t>Developing key risk indicators to strengthen enterprise risk management.</w:t>
      </w:r>
      <w:r>
        <w:rPr>
          <w:rFonts w:ascii="Times New Roman" w:hAnsi="Times New Roman" w:cs="Times New Roman"/>
          <w:sz w:val="24"/>
          <w:szCs w:val="24"/>
        </w:rPr>
        <w:t xml:space="preserve"> Committee of Sponsoring Organizations of the Treadway Commission. https://www.coso.org</w:t>
      </w:r>
    </w:p>
    <w:p w14:paraId="2E83D5BE" w14:textId="77777777" w:rsidR="00FF47B6" w:rsidRPr="002D6EF1" w:rsidRDefault="000D7C2C">
      <w:pPr>
        <w:spacing w:before="80" w:after="80"/>
        <w:ind w:left="720" w:hanging="720"/>
        <w:rPr>
          <w:rFonts w:ascii="Times New Roman" w:hAnsi="Times New Roman" w:cs="Times New Roman"/>
          <w:sz w:val="24"/>
          <w:szCs w:val="24"/>
        </w:rPr>
      </w:pPr>
      <w:r>
        <w:rPr>
          <w:rFonts w:ascii="Times New Roman" w:hAnsi="Times New Roman" w:cs="Times New Roman"/>
          <w:sz w:val="24"/>
          <w:szCs w:val="24"/>
        </w:rPr>
        <w:t xml:space="preserve">CIBC. (2023). </w:t>
      </w:r>
      <w:r>
        <w:rPr>
          <w:rFonts w:ascii="Times New Roman" w:hAnsi="Times New Roman" w:cs="Times New Roman"/>
          <w:i/>
          <w:iCs/>
          <w:sz w:val="24"/>
          <w:szCs w:val="24"/>
        </w:rPr>
        <w:t>2023 annual report.</w:t>
      </w:r>
      <w:r>
        <w:rPr>
          <w:rFonts w:ascii="Times New Roman" w:hAnsi="Times New Roman" w:cs="Times New Roman"/>
          <w:sz w:val="24"/>
          <w:szCs w:val="24"/>
        </w:rPr>
        <w:t xml:space="preserve"> https://www.cibc.com/content/dam/about_cibc/investor_relations/pdfs/annual_accounts/2023ar-en.pdf</w:t>
      </w:r>
    </w:p>
    <w:p w14:paraId="12ABABEC" w14:textId="77777777" w:rsidR="00FF47B6" w:rsidRPr="002D6EF1" w:rsidRDefault="000D7C2C">
      <w:pPr>
        <w:spacing w:before="80" w:after="80"/>
        <w:ind w:left="720" w:hanging="720"/>
        <w:rPr>
          <w:rFonts w:ascii="Times New Roman" w:hAnsi="Times New Roman" w:cs="Times New Roman"/>
          <w:sz w:val="24"/>
          <w:szCs w:val="24"/>
        </w:rPr>
      </w:pPr>
      <w:r>
        <w:rPr>
          <w:rFonts w:ascii="Times New Roman" w:hAnsi="Times New Roman" w:cs="Times New Roman"/>
          <w:sz w:val="24"/>
          <w:szCs w:val="24"/>
        </w:rPr>
        <w:t xml:space="preserve">Curtis, P., &amp; Carey, M. (2012). </w:t>
      </w:r>
      <w:r>
        <w:rPr>
          <w:rFonts w:ascii="Times New Roman" w:hAnsi="Times New Roman" w:cs="Times New Roman"/>
          <w:i/>
          <w:iCs/>
          <w:sz w:val="24"/>
          <w:szCs w:val="24"/>
        </w:rPr>
        <w:t>Risk assessment in practice.</w:t>
      </w:r>
      <w:r>
        <w:rPr>
          <w:rFonts w:ascii="Times New Roman" w:hAnsi="Times New Roman" w:cs="Times New Roman"/>
          <w:sz w:val="24"/>
          <w:szCs w:val="24"/>
        </w:rPr>
        <w:t xml:space="preserve"> Deloitte &amp; Touche LLP &amp; Committee of Sponsoring Organizations of the Treadway Commission. https://www.coso.org</w:t>
      </w:r>
    </w:p>
    <w:p w14:paraId="5EEF44AA" w14:textId="77777777" w:rsidR="00FF47B6" w:rsidRPr="002D6EF1" w:rsidRDefault="000D7C2C">
      <w:pPr>
        <w:spacing w:before="80" w:after="80"/>
        <w:ind w:left="720" w:hanging="720"/>
        <w:rPr>
          <w:rFonts w:ascii="Times New Roman" w:hAnsi="Times New Roman" w:cs="Times New Roman"/>
          <w:sz w:val="24"/>
          <w:szCs w:val="24"/>
        </w:rPr>
      </w:pPr>
      <w:r>
        <w:rPr>
          <w:rFonts w:ascii="Times New Roman" w:hAnsi="Times New Roman" w:cs="Times New Roman"/>
          <w:sz w:val="24"/>
          <w:szCs w:val="24"/>
        </w:rPr>
        <w:t xml:space="preserve">Deloitte. (2013). </w:t>
      </w:r>
      <w:r>
        <w:rPr>
          <w:rFonts w:ascii="Times New Roman" w:hAnsi="Times New Roman" w:cs="Times New Roman"/>
          <w:i/>
          <w:iCs/>
          <w:sz w:val="24"/>
          <w:szCs w:val="24"/>
        </w:rPr>
        <w:t>Exploring strategic risk: 300 executives around the world say their view of strategic risk is changing.</w:t>
      </w:r>
      <w:r>
        <w:rPr>
          <w:rFonts w:ascii="Times New Roman" w:hAnsi="Times New Roman" w:cs="Times New Roman"/>
          <w:sz w:val="24"/>
          <w:szCs w:val="24"/>
        </w:rPr>
        <w:t xml:space="preserve"> Deloitte/Forbes Insights. https://www.deloitte.com/strategicrisksurvey</w:t>
      </w:r>
    </w:p>
    <w:p w14:paraId="1C2A15FC" w14:textId="77777777" w:rsidR="00FF47B6" w:rsidRPr="002D6EF1" w:rsidRDefault="000D7C2C">
      <w:pPr>
        <w:spacing w:before="80" w:after="80"/>
        <w:ind w:left="720" w:hanging="720"/>
        <w:rPr>
          <w:rFonts w:ascii="Times New Roman" w:hAnsi="Times New Roman" w:cs="Times New Roman"/>
          <w:sz w:val="24"/>
          <w:szCs w:val="24"/>
        </w:rPr>
      </w:pPr>
      <w:r>
        <w:rPr>
          <w:rFonts w:ascii="Times New Roman" w:hAnsi="Times New Roman" w:cs="Times New Roman"/>
          <w:sz w:val="24"/>
          <w:szCs w:val="24"/>
        </w:rPr>
        <w:t xml:space="preserve">McKinsey Global Institute. (2023). </w:t>
      </w:r>
      <w:r>
        <w:rPr>
          <w:rFonts w:ascii="Times New Roman" w:hAnsi="Times New Roman" w:cs="Times New Roman"/>
          <w:i/>
          <w:iCs/>
          <w:sz w:val="24"/>
          <w:szCs w:val="24"/>
        </w:rPr>
        <w:t>Consumer financial services survey: Banking and insurance integration preferences.</w:t>
      </w:r>
      <w:r>
        <w:rPr>
          <w:rFonts w:ascii="Times New Roman" w:hAnsi="Times New Roman" w:cs="Times New Roman"/>
          <w:sz w:val="24"/>
          <w:szCs w:val="24"/>
        </w:rPr>
        <w:t xml:space="preserve"> McKinsey &amp; Company.</w:t>
      </w:r>
    </w:p>
    <w:p w14:paraId="159A316D" w14:textId="77777777" w:rsidR="00FF47B6" w:rsidRPr="002D6EF1" w:rsidRDefault="000D7C2C">
      <w:pPr>
        <w:spacing w:before="80" w:after="80"/>
        <w:ind w:left="720" w:hanging="720"/>
        <w:rPr>
          <w:rFonts w:ascii="Times New Roman" w:hAnsi="Times New Roman" w:cs="Times New Roman"/>
          <w:sz w:val="24"/>
          <w:szCs w:val="24"/>
        </w:rPr>
      </w:pPr>
      <w:r>
        <w:rPr>
          <w:rFonts w:ascii="Times New Roman" w:hAnsi="Times New Roman" w:cs="Times New Roman"/>
          <w:sz w:val="24"/>
          <w:szCs w:val="24"/>
        </w:rPr>
        <w:t xml:space="preserve">Office of the Privacy Commissioner of Canada. (2023). </w:t>
      </w:r>
      <w:r>
        <w:rPr>
          <w:rFonts w:ascii="Times New Roman" w:hAnsi="Times New Roman" w:cs="Times New Roman"/>
          <w:i/>
          <w:iCs/>
          <w:sz w:val="24"/>
          <w:szCs w:val="24"/>
        </w:rPr>
        <w:t>Guidance on the Consumer Privacy Protection Act (Bill C-27).</w:t>
      </w:r>
      <w:r>
        <w:rPr>
          <w:rFonts w:ascii="Times New Roman" w:hAnsi="Times New Roman" w:cs="Times New Roman"/>
          <w:sz w:val="24"/>
          <w:szCs w:val="24"/>
        </w:rPr>
        <w:t xml:space="preserve"> https://www.priv.gc.ca</w:t>
      </w:r>
    </w:p>
    <w:p w14:paraId="5766E402" w14:textId="77777777" w:rsidR="00FF47B6" w:rsidRPr="002D6EF1" w:rsidRDefault="000D7C2C">
      <w:pPr>
        <w:spacing w:before="80" w:after="80"/>
        <w:ind w:left="720" w:hanging="720"/>
        <w:rPr>
          <w:rFonts w:ascii="Times New Roman" w:hAnsi="Times New Roman" w:cs="Times New Roman"/>
          <w:sz w:val="24"/>
          <w:szCs w:val="24"/>
        </w:rPr>
      </w:pPr>
      <w:r>
        <w:rPr>
          <w:rFonts w:ascii="Times New Roman" w:hAnsi="Times New Roman" w:cs="Times New Roman"/>
          <w:sz w:val="24"/>
          <w:szCs w:val="24"/>
        </w:rPr>
        <w:t xml:space="preserve">Swiss Re Institute. (2023). </w:t>
      </w:r>
      <w:r>
        <w:rPr>
          <w:rFonts w:ascii="Times New Roman" w:hAnsi="Times New Roman" w:cs="Times New Roman"/>
          <w:i/>
          <w:iCs/>
          <w:sz w:val="24"/>
          <w:szCs w:val="24"/>
        </w:rPr>
        <w:t>Digital insurance market report 2023.</w:t>
      </w:r>
      <w:r>
        <w:rPr>
          <w:rFonts w:ascii="Times New Roman" w:hAnsi="Times New Roman" w:cs="Times New Roman"/>
          <w:sz w:val="24"/>
          <w:szCs w:val="24"/>
        </w:rPr>
        <w:t xml:space="preserve"> Swiss Re Group.</w:t>
      </w:r>
    </w:p>
    <w:p w14:paraId="21461086" w14:textId="77777777" w:rsidR="00FF47B6" w:rsidRPr="0058767A" w:rsidRDefault="00FF47B6">
      <w:pPr>
        <w:rPr>
          <w:rFonts w:ascii="Times New Roman" w:hAnsi="Times New Roman" w:cs="Times New Roman"/>
          <w:sz w:val="24"/>
          <w:szCs w:val="24"/>
        </w:rPr>
        <w:sectPr w:rsidR="00FF47B6" w:rsidRPr="0058767A">
          <w:headerReference w:type="default" r:id="rId9"/>
          <w:pgSz w:w="12240" w:h="15840"/>
          <w:pgMar w:top="1440" w:right="1440" w:bottom="1440" w:left="1440" w:header="708" w:footer="708" w:gutter="0"/>
          <w:pgNumType w:start="2"/>
          <w:cols w:space="720"/>
          <w:docGrid w:linePitch="360"/>
        </w:sectPr>
      </w:pPr>
    </w:p>
    <w:p w14:paraId="402733D8" w14:textId="3F66C45D" w:rsidR="00FF47B6" w:rsidRPr="0058767A" w:rsidRDefault="000D7C2C" w:rsidP="0058767A">
      <w:pPr>
        <w:spacing w:after="120"/>
        <w:rPr>
          <w:rFonts w:ascii="Times New Roman" w:hAnsi="Times New Roman" w:cs="Times New Roman"/>
          <w:sz w:val="24"/>
          <w:szCs w:val="24"/>
        </w:rPr>
      </w:pPr>
      <w:r>
        <w:rPr>
          <w:rFonts w:ascii="Times New Roman" w:hAnsi="Times New Roman" w:cs="Times New Roman"/>
          <w:b/>
          <w:bCs/>
          <w:sz w:val="24"/>
          <w:szCs w:val="24"/>
        </w:rPr>
        <w:lastRenderedPageBreak/>
        <w:t>Risk Register — CIBC Digital Insurance Platform Acquisition</w:t>
      </w:r>
    </w:p>
    <w:p w14:paraId="1A00BC08" w14:textId="77777777" w:rsidR="00FF47B6" w:rsidRDefault="00FF47B6">
      <w:pPr>
        <w:spacing w:before="120" w:after="40"/>
        <w:rPr>
          <w:rFonts w:ascii="Times New Roman" w:hAnsi="Times New Roman" w:cs="Times New Roman"/>
          <w:b/>
          <w:bCs/>
        </w:rPr>
      </w:pPr>
      <w:r>
        <w:rPr>
          <w:rFonts w:ascii="Times New Roman" w:hAnsi="Times New Roman" w:cs="Times New Roman"/>
          <w:b/>
          <w:bCs/>
        </w:rPr>
        <w:t>Table 8: Risk Register — CIBC Digital Insurance Platform Acquisition</w:t>
      </w:r>
    </w:p>
    <w:tbl>
      <w:tblPr>
        <w:tblW w:w="14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8"/>
        <w:gridCol w:w="708"/>
        <w:gridCol w:w="1147"/>
        <w:gridCol w:w="1507"/>
        <w:gridCol w:w="1544"/>
        <w:gridCol w:w="1539"/>
        <w:gridCol w:w="1693"/>
        <w:gridCol w:w="638"/>
        <w:gridCol w:w="772"/>
        <w:gridCol w:w="638"/>
        <w:gridCol w:w="871"/>
        <w:gridCol w:w="1718"/>
        <w:gridCol w:w="1127"/>
      </w:tblGrid>
      <w:tr w:rsidR="00FF47B6" w:rsidRPr="002D6EF1" w14:paraId="24F4CDEB" w14:textId="77777777">
        <w:tc>
          <w:tcPr>
            <w:tcW w:w="380" w:type="dxa"/>
            <w:tcBorders>
              <w:top w:val="single" w:sz="4" w:space="0" w:color="000000"/>
              <w:left w:val="single" w:sz="4" w:space="0" w:color="000000"/>
              <w:bottom w:val="single" w:sz="4" w:space="0" w:color="000000"/>
              <w:right w:val="single" w:sz="4" w:space="0" w:color="000000"/>
            </w:tcBorders>
            <w:shd w:val="clear" w:color="auto" w:fill="1A1A1A"/>
            <w:tcMar>
              <w:top w:w="70" w:type="dxa"/>
              <w:left w:w="80" w:type="dxa"/>
              <w:bottom w:w="70" w:type="dxa"/>
              <w:right w:w="80" w:type="dxa"/>
            </w:tcMar>
            <w:vAlign w:val="center"/>
          </w:tcPr>
          <w:p w14:paraId="3AFCB531"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w:t>
            </w:r>
          </w:p>
        </w:tc>
        <w:tc>
          <w:tcPr>
            <w:tcW w:w="740" w:type="dxa"/>
            <w:tcBorders>
              <w:top w:val="single" w:sz="4" w:space="0" w:color="000000"/>
              <w:left w:val="single" w:sz="4" w:space="0" w:color="000000"/>
              <w:bottom w:val="single" w:sz="4" w:space="0" w:color="000000"/>
              <w:right w:val="single" w:sz="4" w:space="0" w:color="000000"/>
            </w:tcBorders>
            <w:shd w:val="clear" w:color="auto" w:fill="1A1A1A"/>
            <w:tcMar>
              <w:top w:w="70" w:type="dxa"/>
              <w:left w:w="80" w:type="dxa"/>
              <w:bottom w:w="70" w:type="dxa"/>
              <w:right w:w="80" w:type="dxa"/>
            </w:tcMar>
            <w:vAlign w:val="center"/>
          </w:tcPr>
          <w:p w14:paraId="0BBFFCD5"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Date</w:t>
            </w:r>
          </w:p>
        </w:tc>
        <w:tc>
          <w:tcPr>
            <w:tcW w:w="1200" w:type="dxa"/>
            <w:tcBorders>
              <w:top w:val="single" w:sz="4" w:space="0" w:color="000000"/>
              <w:left w:val="single" w:sz="4" w:space="0" w:color="000000"/>
              <w:bottom w:val="single" w:sz="4" w:space="0" w:color="000000"/>
              <w:right w:val="single" w:sz="4" w:space="0" w:color="000000"/>
            </w:tcBorders>
            <w:shd w:val="clear" w:color="auto" w:fill="1A1A1A"/>
            <w:tcMar>
              <w:top w:w="70" w:type="dxa"/>
              <w:left w:w="80" w:type="dxa"/>
              <w:bottom w:w="70" w:type="dxa"/>
              <w:right w:w="80" w:type="dxa"/>
            </w:tcMar>
            <w:vAlign w:val="center"/>
          </w:tcPr>
          <w:p w14:paraId="5F533DA9"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Positive / Negative</w:t>
            </w:r>
          </w:p>
        </w:tc>
        <w:tc>
          <w:tcPr>
            <w:tcW w:w="1600" w:type="dxa"/>
            <w:tcBorders>
              <w:top w:val="single" w:sz="4" w:space="0" w:color="000000"/>
              <w:left w:val="single" w:sz="4" w:space="0" w:color="000000"/>
              <w:bottom w:val="single" w:sz="4" w:space="0" w:color="000000"/>
              <w:right w:val="single" w:sz="4" w:space="0" w:color="000000"/>
            </w:tcBorders>
            <w:shd w:val="clear" w:color="auto" w:fill="1A1A1A"/>
            <w:tcMar>
              <w:top w:w="70" w:type="dxa"/>
              <w:left w:w="80" w:type="dxa"/>
              <w:bottom w:w="70" w:type="dxa"/>
              <w:right w:w="80" w:type="dxa"/>
            </w:tcMar>
            <w:vAlign w:val="center"/>
          </w:tcPr>
          <w:p w14:paraId="177164C6"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The Risk of / That</w:t>
            </w:r>
          </w:p>
        </w:tc>
        <w:tc>
          <w:tcPr>
            <w:tcW w:w="1600" w:type="dxa"/>
            <w:tcBorders>
              <w:top w:val="single" w:sz="4" w:space="0" w:color="000000"/>
              <w:left w:val="single" w:sz="4" w:space="0" w:color="000000"/>
              <w:bottom w:val="single" w:sz="4" w:space="0" w:color="000000"/>
              <w:right w:val="single" w:sz="4" w:space="0" w:color="000000"/>
            </w:tcBorders>
            <w:shd w:val="clear" w:color="auto" w:fill="1A1A1A"/>
            <w:tcMar>
              <w:top w:w="70" w:type="dxa"/>
              <w:left w:w="80" w:type="dxa"/>
              <w:bottom w:w="70" w:type="dxa"/>
              <w:right w:w="80" w:type="dxa"/>
            </w:tcMar>
            <w:vAlign w:val="center"/>
          </w:tcPr>
          <w:p w14:paraId="7433B460"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Caused by</w:t>
            </w:r>
          </w:p>
        </w:tc>
        <w:tc>
          <w:tcPr>
            <w:tcW w:w="1600" w:type="dxa"/>
            <w:tcBorders>
              <w:top w:val="single" w:sz="4" w:space="0" w:color="000000"/>
              <w:left w:val="single" w:sz="4" w:space="0" w:color="000000"/>
              <w:bottom w:val="single" w:sz="4" w:space="0" w:color="000000"/>
              <w:right w:val="single" w:sz="4" w:space="0" w:color="000000"/>
            </w:tcBorders>
            <w:shd w:val="clear" w:color="auto" w:fill="1A1A1A"/>
            <w:tcMar>
              <w:top w:w="70" w:type="dxa"/>
              <w:left w:w="80" w:type="dxa"/>
              <w:bottom w:w="70" w:type="dxa"/>
              <w:right w:w="80" w:type="dxa"/>
            </w:tcMar>
            <w:vAlign w:val="center"/>
          </w:tcPr>
          <w:p w14:paraId="7E9BCCC5"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Resulting In</w:t>
            </w:r>
          </w:p>
        </w:tc>
        <w:tc>
          <w:tcPr>
            <w:tcW w:w="960" w:type="dxa"/>
            <w:tcBorders>
              <w:top w:val="single" w:sz="4" w:space="0" w:color="000000"/>
              <w:left w:val="single" w:sz="4" w:space="0" w:color="000000"/>
              <w:bottom w:val="single" w:sz="4" w:space="0" w:color="000000"/>
              <w:right w:val="single" w:sz="4" w:space="0" w:color="000000"/>
            </w:tcBorders>
            <w:shd w:val="clear" w:color="auto" w:fill="1A1A1A"/>
            <w:tcMar>
              <w:top w:w="70" w:type="dxa"/>
              <w:left w:w="80" w:type="dxa"/>
              <w:bottom w:w="70" w:type="dxa"/>
              <w:right w:w="80" w:type="dxa"/>
            </w:tcMar>
            <w:vAlign w:val="center"/>
          </w:tcPr>
          <w:p w14:paraId="3A0B922F"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Consequence / Impact</w:t>
            </w:r>
          </w:p>
        </w:tc>
        <w:tc>
          <w:tcPr>
            <w:tcW w:w="540" w:type="dxa"/>
            <w:tcBorders>
              <w:top w:val="single" w:sz="4" w:space="0" w:color="000000"/>
              <w:left w:val="single" w:sz="4" w:space="0" w:color="000000"/>
              <w:bottom w:val="single" w:sz="4" w:space="0" w:color="000000"/>
              <w:right w:val="single" w:sz="4" w:space="0" w:color="000000"/>
            </w:tcBorders>
            <w:shd w:val="clear" w:color="auto" w:fill="1A1A1A"/>
            <w:tcMar>
              <w:top w:w="70" w:type="dxa"/>
              <w:left w:w="80" w:type="dxa"/>
              <w:bottom w:w="70" w:type="dxa"/>
              <w:right w:w="80" w:type="dxa"/>
            </w:tcMar>
            <w:vAlign w:val="center"/>
          </w:tcPr>
          <w:p w14:paraId="68F3EF36"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Like. Score</w:t>
            </w:r>
          </w:p>
        </w:tc>
        <w:tc>
          <w:tcPr>
            <w:tcW w:w="540" w:type="dxa"/>
            <w:tcBorders>
              <w:top w:val="single" w:sz="4" w:space="0" w:color="000000"/>
              <w:left w:val="single" w:sz="4" w:space="0" w:color="000000"/>
              <w:bottom w:val="single" w:sz="4" w:space="0" w:color="000000"/>
              <w:right w:val="single" w:sz="4" w:space="0" w:color="000000"/>
            </w:tcBorders>
            <w:shd w:val="clear" w:color="auto" w:fill="1A1A1A"/>
            <w:tcMar>
              <w:top w:w="70" w:type="dxa"/>
              <w:left w:w="80" w:type="dxa"/>
              <w:bottom w:w="70" w:type="dxa"/>
              <w:right w:w="80" w:type="dxa"/>
            </w:tcMar>
            <w:vAlign w:val="center"/>
          </w:tcPr>
          <w:p w14:paraId="712CD829"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Impact Score</w:t>
            </w:r>
          </w:p>
        </w:tc>
        <w:tc>
          <w:tcPr>
            <w:tcW w:w="540" w:type="dxa"/>
            <w:tcBorders>
              <w:top w:val="single" w:sz="4" w:space="0" w:color="000000"/>
              <w:left w:val="single" w:sz="4" w:space="0" w:color="000000"/>
              <w:bottom w:val="single" w:sz="4" w:space="0" w:color="000000"/>
              <w:right w:val="single" w:sz="4" w:space="0" w:color="000000"/>
            </w:tcBorders>
            <w:shd w:val="clear" w:color="auto" w:fill="1A1A1A"/>
            <w:tcMar>
              <w:top w:w="70" w:type="dxa"/>
              <w:left w:w="80" w:type="dxa"/>
              <w:bottom w:w="70" w:type="dxa"/>
              <w:right w:w="80" w:type="dxa"/>
            </w:tcMar>
            <w:vAlign w:val="center"/>
          </w:tcPr>
          <w:p w14:paraId="606D8C29"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Risk Score</w:t>
            </w:r>
          </w:p>
        </w:tc>
        <w:tc>
          <w:tcPr>
            <w:tcW w:w="600" w:type="dxa"/>
            <w:tcBorders>
              <w:top w:val="single" w:sz="4" w:space="0" w:color="000000"/>
              <w:left w:val="single" w:sz="4" w:space="0" w:color="000000"/>
              <w:bottom w:val="single" w:sz="4" w:space="0" w:color="000000"/>
              <w:right w:val="single" w:sz="4" w:space="0" w:color="000000"/>
            </w:tcBorders>
            <w:shd w:val="clear" w:color="auto" w:fill="1A1A1A"/>
            <w:tcMar>
              <w:top w:w="70" w:type="dxa"/>
              <w:left w:w="80" w:type="dxa"/>
              <w:bottom w:w="70" w:type="dxa"/>
              <w:right w:w="80" w:type="dxa"/>
            </w:tcMar>
            <w:vAlign w:val="center"/>
          </w:tcPr>
          <w:p w14:paraId="65A6F70E"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Priority (H,M,L)</w:t>
            </w:r>
          </w:p>
        </w:tc>
        <w:tc>
          <w:tcPr>
            <w:tcW w:w="1840" w:type="dxa"/>
            <w:tcBorders>
              <w:top w:val="single" w:sz="4" w:space="0" w:color="000000"/>
              <w:left w:val="single" w:sz="4" w:space="0" w:color="000000"/>
              <w:bottom w:val="single" w:sz="4" w:space="0" w:color="000000"/>
              <w:right w:val="single" w:sz="4" w:space="0" w:color="000000"/>
            </w:tcBorders>
            <w:shd w:val="clear" w:color="auto" w:fill="1A1A1A"/>
            <w:tcMar>
              <w:top w:w="70" w:type="dxa"/>
              <w:left w:w="80" w:type="dxa"/>
              <w:bottom w:w="70" w:type="dxa"/>
              <w:right w:w="80" w:type="dxa"/>
            </w:tcMar>
            <w:vAlign w:val="center"/>
          </w:tcPr>
          <w:p w14:paraId="5160BF15"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Mitigation / Controls</w:t>
            </w:r>
          </w:p>
        </w:tc>
        <w:tc>
          <w:tcPr>
            <w:tcW w:w="660" w:type="dxa"/>
            <w:tcBorders>
              <w:top w:val="single" w:sz="4" w:space="0" w:color="000000"/>
              <w:left w:val="single" w:sz="4" w:space="0" w:color="000000"/>
              <w:bottom w:val="single" w:sz="4" w:space="0" w:color="000000"/>
              <w:right w:val="single" w:sz="4" w:space="0" w:color="000000"/>
            </w:tcBorders>
            <w:shd w:val="clear" w:color="auto" w:fill="1A1A1A"/>
            <w:tcMar>
              <w:top w:w="70" w:type="dxa"/>
              <w:left w:w="80" w:type="dxa"/>
              <w:bottom w:w="70" w:type="dxa"/>
              <w:right w:w="80" w:type="dxa"/>
            </w:tcMar>
            <w:vAlign w:val="center"/>
          </w:tcPr>
          <w:p w14:paraId="078F7128"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Risk Owner</w:t>
            </w:r>
          </w:p>
        </w:tc>
      </w:tr>
      <w:tr w:rsidR="00FF47B6" w:rsidRPr="002D6EF1" w14:paraId="316B8175" w14:textId="77777777">
        <w:tc>
          <w:tcPr>
            <w:tcW w:w="38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E8C87A9" w14:textId="77777777" w:rsidR="00FF47B6" w:rsidRPr="002D6EF1" w:rsidRDefault="000D7C2C">
            <w:pPr>
              <w:spacing w:before="20" w:after="20"/>
              <w:rPr>
                <w:rFonts w:ascii="Times New Roman" w:hAnsi="Times New Roman" w:cs="Times New Roman"/>
              </w:rPr>
            </w:pPr>
            <w:r>
              <w:rPr>
                <w:rFonts w:ascii="Times New Roman" w:hAnsi="Times New Roman" w:cs="Times New Roman"/>
                <w:b/>
                <w:bCs/>
              </w:rPr>
              <w:t>1</w:t>
            </w: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03D4FAF" w14:textId="77777777" w:rsidR="00FF47B6" w:rsidRPr="002D6EF1" w:rsidRDefault="000D7C2C">
            <w:pPr>
              <w:spacing w:before="20" w:after="20"/>
              <w:rPr>
                <w:rFonts w:ascii="Times New Roman" w:hAnsi="Times New Roman" w:cs="Times New Roman"/>
              </w:rPr>
            </w:pPr>
            <w:r>
              <w:rPr>
                <w:rFonts w:ascii="Times New Roman" w:hAnsi="Times New Roman" w:cs="Times New Roman"/>
              </w:rPr>
              <w:t>June 2026</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B26DEFD" w14:textId="77777777" w:rsidR="00FF47B6" w:rsidRPr="002D6EF1" w:rsidRDefault="000D7C2C">
            <w:pPr>
              <w:spacing w:before="20" w:after="20"/>
              <w:rPr>
                <w:rFonts w:ascii="Times New Roman" w:hAnsi="Times New Roman" w:cs="Times New Roman"/>
              </w:rPr>
            </w:pPr>
            <w:r>
              <w:rPr>
                <w:rFonts w:ascii="Times New Roman" w:hAnsi="Times New Roman" w:cs="Times New Roman"/>
                <w:b/>
                <w:bCs/>
              </w:rPr>
              <w:t>Negative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D4577C2" w14:textId="77777777" w:rsidR="00FF47B6" w:rsidRPr="002D6EF1" w:rsidRDefault="000D7C2C">
            <w:pPr>
              <w:spacing w:before="20" w:after="20"/>
              <w:rPr>
                <w:rFonts w:ascii="Times New Roman" w:hAnsi="Times New Roman" w:cs="Times New Roman"/>
              </w:rPr>
            </w:pPr>
            <w:r>
              <w:rPr>
                <w:rFonts w:ascii="Times New Roman" w:hAnsi="Times New Roman" w:cs="Times New Roman"/>
              </w:rPr>
              <w:t>A data privacy breach exposing combined banking and insurance client records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6D10443C" w14:textId="77777777" w:rsidR="00FF47B6" w:rsidRPr="002D6EF1" w:rsidRDefault="000D7C2C">
            <w:pPr>
              <w:spacing w:before="20" w:after="20"/>
              <w:rPr>
                <w:rFonts w:ascii="Times New Roman" w:hAnsi="Times New Roman" w:cs="Times New Roman"/>
              </w:rPr>
            </w:pPr>
            <w:r>
              <w:rPr>
                <w:rFonts w:ascii="Times New Roman" w:hAnsi="Times New Roman" w:cs="Times New Roman"/>
              </w:rPr>
              <w:t>Inadequate security controls and access management during the integration of a cloud-native insurance platform into CIBC's core banking infrastructure, creating a high-value combined data environment targeted by sophisticated threat actors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416AE41" w14:textId="77777777" w:rsidR="00FF47B6" w:rsidRPr="002D6EF1" w:rsidRDefault="000D7C2C">
            <w:pPr>
              <w:spacing w:before="20" w:after="20"/>
              <w:rPr>
                <w:rFonts w:ascii="Times New Roman" w:hAnsi="Times New Roman" w:cs="Times New Roman"/>
              </w:rPr>
            </w:pPr>
            <w:r>
              <w:rPr>
                <w:rFonts w:ascii="Times New Roman" w:hAnsi="Times New Roman" w:cs="Times New Roman"/>
              </w:rPr>
              <w:t>Mandatory breach notification obligations under PIPEDA, regulatory fines under Bill C-27, client trust erosion, and sustained reputational damage in a product category CIBC has just entered</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527C237" w14:textId="77777777" w:rsidR="00FF47B6" w:rsidRPr="002D6EF1" w:rsidRDefault="000D7C2C">
            <w:pPr>
              <w:spacing w:before="20" w:after="20"/>
              <w:rPr>
                <w:rFonts w:ascii="Times New Roman" w:hAnsi="Times New Roman" w:cs="Times New Roman"/>
              </w:rPr>
            </w:pPr>
            <w:r>
              <w:rPr>
                <w:rFonts w:ascii="Times New Roman" w:hAnsi="Times New Roman" w:cs="Times New Roman"/>
              </w:rPr>
              <w:t>Legal/Compliance; Reputational; Financial; Competitive</w:t>
            </w:r>
          </w:p>
        </w:tc>
        <w:tc>
          <w:tcPr>
            <w:tcW w:w="5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1528036" w14:textId="77777777" w:rsidR="00FF47B6" w:rsidRPr="002D6EF1" w:rsidRDefault="000D7C2C">
            <w:pPr>
              <w:spacing w:before="20" w:after="20"/>
              <w:rPr>
                <w:rFonts w:ascii="Times New Roman" w:hAnsi="Times New Roman" w:cs="Times New Roman"/>
              </w:rPr>
            </w:pPr>
            <w:r>
              <w:rPr>
                <w:rFonts w:ascii="Times New Roman" w:hAnsi="Times New Roman" w:cs="Times New Roman"/>
                <w:b/>
                <w:bCs/>
              </w:rPr>
              <w:t>9</w:t>
            </w:r>
          </w:p>
        </w:tc>
        <w:tc>
          <w:tcPr>
            <w:tcW w:w="5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50D755A" w14:textId="77777777" w:rsidR="00FF47B6" w:rsidRPr="002D6EF1" w:rsidRDefault="000D7C2C">
            <w:pPr>
              <w:spacing w:before="20" w:after="20"/>
              <w:rPr>
                <w:rFonts w:ascii="Times New Roman" w:hAnsi="Times New Roman" w:cs="Times New Roman"/>
              </w:rPr>
            </w:pPr>
            <w:r>
              <w:rPr>
                <w:rFonts w:ascii="Times New Roman" w:hAnsi="Times New Roman" w:cs="Times New Roman"/>
                <w:b/>
                <w:bCs/>
              </w:rPr>
              <w:t>8</w:t>
            </w:r>
          </w:p>
        </w:tc>
        <w:tc>
          <w:tcPr>
            <w:tcW w:w="5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05BE074" w14:textId="77777777" w:rsidR="00FF47B6" w:rsidRPr="002D6EF1" w:rsidRDefault="000D7C2C">
            <w:pPr>
              <w:spacing w:before="20" w:after="20"/>
              <w:rPr>
                <w:rFonts w:ascii="Times New Roman" w:hAnsi="Times New Roman" w:cs="Times New Roman"/>
              </w:rPr>
            </w:pPr>
            <w:r>
              <w:rPr>
                <w:rFonts w:ascii="Times New Roman" w:hAnsi="Times New Roman" w:cs="Times New Roman"/>
                <w:b/>
                <w:bCs/>
              </w:rPr>
              <w:t>72</w:t>
            </w:r>
          </w:p>
        </w:tc>
        <w:tc>
          <w:tcPr>
            <w:tcW w:w="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FBE850D" w14:textId="77777777" w:rsidR="00FF47B6" w:rsidRPr="002D6EF1" w:rsidRDefault="000D7C2C">
            <w:pPr>
              <w:spacing w:before="20" w:after="20"/>
              <w:rPr>
                <w:rFonts w:ascii="Times New Roman" w:hAnsi="Times New Roman" w:cs="Times New Roman"/>
              </w:rPr>
            </w:pPr>
            <w:r>
              <w:rPr>
                <w:rFonts w:ascii="Times New Roman" w:hAnsi="Times New Roman" w:cs="Times New Roman"/>
                <w:b/>
                <w:bCs/>
              </w:rPr>
              <w:t>H</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B03256E" w14:textId="77777777" w:rsidR="00FF47B6" w:rsidRPr="002D6EF1" w:rsidRDefault="000D7C2C">
            <w:pPr>
              <w:spacing w:before="20" w:after="20"/>
              <w:rPr>
                <w:rFonts w:ascii="Times New Roman" w:hAnsi="Times New Roman" w:cs="Times New Roman"/>
              </w:rPr>
            </w:pPr>
            <w:r>
              <w:rPr>
                <w:rFonts w:ascii="Times New Roman" w:hAnsi="Times New Roman" w:cs="Times New Roman"/>
              </w:rPr>
              <w:t>Zero-trust architecture; end-to-end encryption; Privacy Impact Assessment before go-live; CISO-led 24/7 Security Operations Centre; mandatory breach notification procedures</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2BFC168" w14:textId="77777777" w:rsidR="00FF47B6" w:rsidRPr="002D6EF1" w:rsidRDefault="000D7C2C">
            <w:pPr>
              <w:spacing w:before="20" w:after="20"/>
              <w:rPr>
                <w:rFonts w:ascii="Times New Roman" w:hAnsi="Times New Roman" w:cs="Times New Roman"/>
              </w:rPr>
            </w:pPr>
            <w:r>
              <w:rPr>
                <w:rFonts w:ascii="Times New Roman" w:hAnsi="Times New Roman" w:cs="Times New Roman"/>
              </w:rPr>
              <w:t>CISO / Chief Compliance Officer</w:t>
            </w:r>
          </w:p>
        </w:tc>
      </w:tr>
      <w:tr w:rsidR="00FF47B6" w:rsidRPr="002D6EF1" w14:paraId="40932B08" w14:textId="77777777">
        <w:tc>
          <w:tcPr>
            <w:tcW w:w="38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45234B5" w14:textId="77777777" w:rsidR="00FF47B6" w:rsidRPr="002D6EF1" w:rsidRDefault="000D7C2C">
            <w:pPr>
              <w:spacing w:before="20" w:after="20"/>
              <w:rPr>
                <w:rFonts w:ascii="Times New Roman" w:hAnsi="Times New Roman" w:cs="Times New Roman"/>
              </w:rPr>
            </w:pPr>
            <w:r>
              <w:rPr>
                <w:rFonts w:ascii="Times New Roman" w:hAnsi="Times New Roman" w:cs="Times New Roman"/>
                <w:b/>
                <w:bCs/>
              </w:rPr>
              <w:t>2</w:t>
            </w: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60BCB701" w14:textId="77777777" w:rsidR="00FF47B6" w:rsidRPr="002D6EF1" w:rsidRDefault="000D7C2C">
            <w:pPr>
              <w:spacing w:before="20" w:after="20"/>
              <w:rPr>
                <w:rFonts w:ascii="Times New Roman" w:hAnsi="Times New Roman" w:cs="Times New Roman"/>
              </w:rPr>
            </w:pPr>
            <w:r>
              <w:rPr>
                <w:rFonts w:ascii="Times New Roman" w:hAnsi="Times New Roman" w:cs="Times New Roman"/>
              </w:rPr>
              <w:t>June 2026</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2C5847E" w14:textId="77777777" w:rsidR="00FF47B6" w:rsidRPr="002D6EF1" w:rsidRDefault="000D7C2C">
            <w:pPr>
              <w:spacing w:before="20" w:after="20"/>
              <w:rPr>
                <w:rFonts w:ascii="Times New Roman" w:hAnsi="Times New Roman" w:cs="Times New Roman"/>
              </w:rPr>
            </w:pPr>
            <w:r>
              <w:rPr>
                <w:rFonts w:ascii="Times New Roman" w:hAnsi="Times New Roman" w:cs="Times New Roman"/>
                <w:b/>
                <w:bCs/>
              </w:rPr>
              <w:t>Negative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E78BB87" w14:textId="77777777" w:rsidR="00FF47B6" w:rsidRPr="002D6EF1" w:rsidRDefault="000D7C2C">
            <w:pPr>
              <w:spacing w:before="20" w:after="20"/>
              <w:rPr>
                <w:rFonts w:ascii="Times New Roman" w:hAnsi="Times New Roman" w:cs="Times New Roman"/>
              </w:rPr>
            </w:pPr>
            <w:r>
              <w:rPr>
                <w:rFonts w:ascii="Times New Roman" w:hAnsi="Times New Roman" w:cs="Times New Roman"/>
              </w:rPr>
              <w:t>Regulatory non-compliance with provincial insurance licensing rules and federal data privacy legislation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68BEF724" w14:textId="77777777" w:rsidR="00FF47B6" w:rsidRPr="002D6EF1" w:rsidRDefault="000D7C2C">
            <w:pPr>
              <w:spacing w:before="20" w:after="20"/>
              <w:rPr>
                <w:rFonts w:ascii="Times New Roman" w:hAnsi="Times New Roman" w:cs="Times New Roman"/>
              </w:rPr>
            </w:pPr>
            <w:r>
              <w:rPr>
                <w:rFonts w:ascii="Times New Roman" w:hAnsi="Times New Roman" w:cs="Times New Roman"/>
              </w:rPr>
              <w:t xml:space="preserve">The rapidly evolving regulatory landscape governing digital insurance distribution, AI-assisted underwriting decisions, and personal health data privacy under PIPEDA and the forthcoming Bill C-27, combined with CIBC's limited prior experience </w:t>
            </w:r>
            <w:r>
              <w:rPr>
                <w:rFonts w:ascii="Times New Roman" w:hAnsi="Times New Roman" w:cs="Times New Roman"/>
              </w:rPr>
              <w:lastRenderedPageBreak/>
              <w:t>operating in the federally and provincially regulated insurance sector</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11C1CC3" w14:textId="77777777" w:rsidR="00FF47B6" w:rsidRPr="002D6EF1" w:rsidRDefault="000D7C2C">
            <w:pPr>
              <w:spacing w:before="20" w:after="20"/>
              <w:rPr>
                <w:rFonts w:ascii="Times New Roman" w:hAnsi="Times New Roman" w:cs="Times New Roman"/>
              </w:rPr>
            </w:pPr>
            <w:r>
              <w:rPr>
                <w:rFonts w:ascii="Times New Roman" w:hAnsi="Times New Roman" w:cs="Times New Roman"/>
              </w:rPr>
              <w:lastRenderedPageBreak/>
              <w:t>Regulatory fines, mandatory product withdrawal from non-compliant provinces, forced system modifications to the insurance platform, and reputational harm from public regulatory action</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E8821E8" w14:textId="77777777" w:rsidR="00FF47B6" w:rsidRPr="002D6EF1" w:rsidRDefault="000D7C2C">
            <w:pPr>
              <w:spacing w:before="20" w:after="20"/>
              <w:rPr>
                <w:rFonts w:ascii="Times New Roman" w:hAnsi="Times New Roman" w:cs="Times New Roman"/>
              </w:rPr>
            </w:pPr>
            <w:r>
              <w:rPr>
                <w:rFonts w:ascii="Times New Roman" w:hAnsi="Times New Roman" w:cs="Times New Roman"/>
              </w:rPr>
              <w:t>Legal/Compliance; Financial; Operational; Competitive</w:t>
            </w:r>
          </w:p>
        </w:tc>
        <w:tc>
          <w:tcPr>
            <w:tcW w:w="5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7899C8C" w14:textId="77777777" w:rsidR="00FF47B6" w:rsidRPr="002D6EF1" w:rsidRDefault="000D7C2C">
            <w:pPr>
              <w:spacing w:before="20" w:after="20"/>
              <w:rPr>
                <w:rFonts w:ascii="Times New Roman" w:hAnsi="Times New Roman" w:cs="Times New Roman"/>
              </w:rPr>
            </w:pPr>
            <w:r>
              <w:rPr>
                <w:rFonts w:ascii="Times New Roman" w:hAnsi="Times New Roman" w:cs="Times New Roman"/>
                <w:b/>
                <w:bCs/>
              </w:rPr>
              <w:t>7</w:t>
            </w:r>
          </w:p>
        </w:tc>
        <w:tc>
          <w:tcPr>
            <w:tcW w:w="5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5476EFB" w14:textId="77777777" w:rsidR="00FF47B6" w:rsidRPr="002D6EF1" w:rsidRDefault="000D7C2C">
            <w:pPr>
              <w:spacing w:before="20" w:after="20"/>
              <w:rPr>
                <w:rFonts w:ascii="Times New Roman" w:hAnsi="Times New Roman" w:cs="Times New Roman"/>
              </w:rPr>
            </w:pPr>
            <w:r>
              <w:rPr>
                <w:rFonts w:ascii="Times New Roman" w:hAnsi="Times New Roman" w:cs="Times New Roman"/>
                <w:b/>
                <w:bCs/>
              </w:rPr>
              <w:t>8</w:t>
            </w:r>
          </w:p>
        </w:tc>
        <w:tc>
          <w:tcPr>
            <w:tcW w:w="5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0795353" w14:textId="77777777" w:rsidR="00FF47B6" w:rsidRPr="002D6EF1" w:rsidRDefault="000D7C2C">
            <w:pPr>
              <w:spacing w:before="20" w:after="20"/>
              <w:rPr>
                <w:rFonts w:ascii="Times New Roman" w:hAnsi="Times New Roman" w:cs="Times New Roman"/>
              </w:rPr>
            </w:pPr>
            <w:r>
              <w:rPr>
                <w:rFonts w:ascii="Times New Roman" w:hAnsi="Times New Roman" w:cs="Times New Roman"/>
                <w:b/>
                <w:bCs/>
              </w:rPr>
              <w:t>56</w:t>
            </w:r>
          </w:p>
        </w:tc>
        <w:tc>
          <w:tcPr>
            <w:tcW w:w="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97E5D37" w14:textId="77777777" w:rsidR="00FF47B6" w:rsidRPr="002D6EF1" w:rsidRDefault="000D7C2C">
            <w:pPr>
              <w:spacing w:before="20" w:after="20"/>
              <w:rPr>
                <w:rFonts w:ascii="Times New Roman" w:hAnsi="Times New Roman" w:cs="Times New Roman"/>
              </w:rPr>
            </w:pPr>
            <w:r>
              <w:rPr>
                <w:rFonts w:ascii="Times New Roman" w:hAnsi="Times New Roman" w:cs="Times New Roman"/>
                <w:b/>
                <w:bCs/>
              </w:rPr>
              <w:t>H</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FCAB417" w14:textId="77777777" w:rsidR="00FF47B6" w:rsidRPr="002D6EF1" w:rsidRDefault="000D7C2C">
            <w:pPr>
              <w:spacing w:before="20" w:after="20"/>
              <w:rPr>
                <w:rFonts w:ascii="Times New Roman" w:hAnsi="Times New Roman" w:cs="Times New Roman"/>
              </w:rPr>
            </w:pPr>
            <w:r>
              <w:rPr>
                <w:rFonts w:ascii="Times New Roman" w:hAnsi="Times New Roman" w:cs="Times New Roman"/>
              </w:rPr>
              <w:t>Dedicated compliance officer embedded in the platform project team; automated regulatory monitoring tools; provincial licensing review before launch in each province; board-approved compliance roadmap; quarterly legal reviews</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E6B972B" w14:textId="77777777" w:rsidR="00FF47B6" w:rsidRPr="002D6EF1" w:rsidRDefault="000D7C2C">
            <w:pPr>
              <w:spacing w:before="20" w:after="20"/>
              <w:rPr>
                <w:rFonts w:ascii="Times New Roman" w:hAnsi="Times New Roman" w:cs="Times New Roman"/>
              </w:rPr>
            </w:pPr>
            <w:r>
              <w:rPr>
                <w:rFonts w:ascii="Times New Roman" w:hAnsi="Times New Roman" w:cs="Times New Roman"/>
              </w:rPr>
              <w:t>Chief Compliance Officer</w:t>
            </w:r>
          </w:p>
        </w:tc>
      </w:tr>
      <w:tr w:rsidR="00FF47B6" w:rsidRPr="002D6EF1" w14:paraId="08753F40" w14:textId="77777777">
        <w:tc>
          <w:tcPr>
            <w:tcW w:w="38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68E6A6A6" w14:textId="77777777" w:rsidR="00FF47B6" w:rsidRPr="002D6EF1" w:rsidRDefault="000D7C2C">
            <w:pPr>
              <w:spacing w:before="20" w:after="20"/>
              <w:rPr>
                <w:rFonts w:ascii="Times New Roman" w:hAnsi="Times New Roman" w:cs="Times New Roman"/>
              </w:rPr>
            </w:pPr>
            <w:r>
              <w:rPr>
                <w:rFonts w:ascii="Times New Roman" w:hAnsi="Times New Roman" w:cs="Times New Roman"/>
                <w:b/>
                <w:bCs/>
              </w:rPr>
              <w:t>3</w:t>
            </w: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39418DA" w14:textId="77777777" w:rsidR="00FF47B6" w:rsidRPr="002D6EF1" w:rsidRDefault="000D7C2C">
            <w:pPr>
              <w:spacing w:before="20" w:after="20"/>
              <w:rPr>
                <w:rFonts w:ascii="Times New Roman" w:hAnsi="Times New Roman" w:cs="Times New Roman"/>
              </w:rPr>
            </w:pPr>
            <w:r>
              <w:rPr>
                <w:rFonts w:ascii="Times New Roman" w:hAnsi="Times New Roman" w:cs="Times New Roman"/>
              </w:rPr>
              <w:t>June 2026</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70" w:type="dxa"/>
              <w:left w:w="80" w:type="dxa"/>
              <w:bottom w:w="70" w:type="dxa"/>
              <w:right w:w="80" w:type="dxa"/>
            </w:tcMar>
          </w:tcPr>
          <w:p w14:paraId="138A4847" w14:textId="77777777" w:rsidR="00FF47B6" w:rsidRPr="002D6EF1" w:rsidRDefault="000D7C2C">
            <w:pPr>
              <w:spacing w:before="20" w:after="20"/>
              <w:rPr>
                <w:rFonts w:ascii="Times New Roman" w:hAnsi="Times New Roman" w:cs="Times New Roman"/>
              </w:rPr>
            </w:pPr>
            <w:r>
              <w:rPr>
                <w:rFonts w:ascii="Times New Roman" w:hAnsi="Times New Roman" w:cs="Times New Roman"/>
                <w:b/>
                <w:bCs/>
              </w:rPr>
              <w:t>Positive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B03809E" w14:textId="77777777" w:rsidR="00FF47B6" w:rsidRPr="002D6EF1" w:rsidRDefault="000D7C2C">
            <w:pPr>
              <w:spacing w:before="20" w:after="20"/>
              <w:rPr>
                <w:rFonts w:ascii="Times New Roman" w:hAnsi="Times New Roman" w:cs="Times New Roman"/>
              </w:rPr>
            </w:pPr>
            <w:r>
              <w:rPr>
                <w:rFonts w:ascii="Times New Roman" w:hAnsi="Times New Roman" w:cs="Times New Roman"/>
              </w:rPr>
              <w:t>Capturing significant first-mover advantage in the Canadian digital banking-and-insurance integration market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06A096A" w14:textId="77777777" w:rsidR="00FF47B6" w:rsidRPr="002D6EF1" w:rsidRDefault="000D7C2C">
            <w:pPr>
              <w:spacing w:before="20" w:after="20"/>
              <w:rPr>
                <w:rFonts w:ascii="Times New Roman" w:hAnsi="Times New Roman" w:cs="Times New Roman"/>
              </w:rPr>
            </w:pPr>
            <w:r>
              <w:rPr>
                <w:rFonts w:ascii="Times New Roman" w:hAnsi="Times New Roman" w:cs="Times New Roman"/>
              </w:rPr>
              <w:t>CIBC's early entry into integrated digital insurance distribution leveraging its existing base of 11 million banking clients and trusted brand, ahead of insurtech competitors like Lemonade and PolicyMe who lack banking relationships, and rival Canadian banks that have not yet launched equivalent integrated platforms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EF7DD15" w14:textId="77777777" w:rsidR="00FF47B6" w:rsidRPr="002D6EF1" w:rsidRDefault="000D7C2C">
            <w:pPr>
              <w:spacing w:before="20" w:after="20"/>
              <w:rPr>
                <w:rFonts w:ascii="Times New Roman" w:hAnsi="Times New Roman" w:cs="Times New Roman"/>
              </w:rPr>
            </w:pPr>
            <w:r>
              <w:rPr>
                <w:rFonts w:ascii="Times New Roman" w:hAnsi="Times New Roman" w:cs="Times New Roman"/>
              </w:rPr>
              <w:t>Substantial digital insurance market share gain, increased revenue per household, deeper and more durable client relationships, and a sustainable competitive advantage that is difficult for either pure insurtech or pure banking competitors to replicate</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5E9439A" w14:textId="77777777" w:rsidR="00FF47B6" w:rsidRPr="002D6EF1" w:rsidRDefault="000D7C2C">
            <w:pPr>
              <w:spacing w:before="20" w:after="20"/>
              <w:rPr>
                <w:rFonts w:ascii="Times New Roman" w:hAnsi="Times New Roman" w:cs="Times New Roman"/>
              </w:rPr>
            </w:pPr>
            <w:r>
              <w:rPr>
                <w:rFonts w:ascii="Times New Roman" w:hAnsi="Times New Roman" w:cs="Times New Roman"/>
              </w:rPr>
              <w:t>Strategic; Financial; Competitive</w:t>
            </w:r>
          </w:p>
        </w:tc>
        <w:tc>
          <w:tcPr>
            <w:tcW w:w="5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0D31DAC" w14:textId="77777777" w:rsidR="00FF47B6" w:rsidRPr="002D6EF1" w:rsidRDefault="000D7C2C">
            <w:pPr>
              <w:spacing w:before="20" w:after="20"/>
              <w:rPr>
                <w:rFonts w:ascii="Times New Roman" w:hAnsi="Times New Roman" w:cs="Times New Roman"/>
              </w:rPr>
            </w:pPr>
            <w:r>
              <w:rPr>
                <w:rFonts w:ascii="Times New Roman" w:hAnsi="Times New Roman" w:cs="Times New Roman"/>
                <w:b/>
                <w:bCs/>
              </w:rPr>
              <w:t>7</w:t>
            </w:r>
          </w:p>
        </w:tc>
        <w:tc>
          <w:tcPr>
            <w:tcW w:w="5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E262833" w14:textId="77777777" w:rsidR="00FF47B6" w:rsidRPr="002D6EF1" w:rsidRDefault="000D7C2C">
            <w:pPr>
              <w:spacing w:before="20" w:after="20"/>
              <w:rPr>
                <w:rFonts w:ascii="Times New Roman" w:hAnsi="Times New Roman" w:cs="Times New Roman"/>
              </w:rPr>
            </w:pPr>
            <w:r>
              <w:rPr>
                <w:rFonts w:ascii="Times New Roman" w:hAnsi="Times New Roman" w:cs="Times New Roman"/>
                <w:b/>
                <w:bCs/>
              </w:rPr>
              <w:t>8</w:t>
            </w:r>
          </w:p>
        </w:tc>
        <w:tc>
          <w:tcPr>
            <w:tcW w:w="5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8E108C5" w14:textId="77777777" w:rsidR="00FF47B6" w:rsidRPr="002D6EF1" w:rsidRDefault="000D7C2C">
            <w:pPr>
              <w:spacing w:before="20" w:after="20"/>
              <w:rPr>
                <w:rFonts w:ascii="Times New Roman" w:hAnsi="Times New Roman" w:cs="Times New Roman"/>
              </w:rPr>
            </w:pPr>
            <w:r>
              <w:rPr>
                <w:rFonts w:ascii="Times New Roman" w:hAnsi="Times New Roman" w:cs="Times New Roman"/>
                <w:b/>
                <w:bCs/>
              </w:rPr>
              <w:t>56</w:t>
            </w:r>
          </w:p>
        </w:tc>
        <w:tc>
          <w:tcPr>
            <w:tcW w:w="6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C1A11AF" w14:textId="77777777" w:rsidR="00FF47B6" w:rsidRPr="002D6EF1" w:rsidRDefault="000D7C2C">
            <w:pPr>
              <w:spacing w:before="20" w:after="20"/>
              <w:rPr>
                <w:rFonts w:ascii="Times New Roman" w:hAnsi="Times New Roman" w:cs="Times New Roman"/>
              </w:rPr>
            </w:pPr>
            <w:r>
              <w:rPr>
                <w:rFonts w:ascii="Times New Roman" w:hAnsi="Times New Roman" w:cs="Times New Roman"/>
                <w:b/>
                <w:bCs/>
              </w:rPr>
              <w:t>H</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F252F2E" w14:textId="77777777" w:rsidR="00FF47B6" w:rsidRPr="002D6EF1" w:rsidRDefault="000D7C2C">
            <w:pPr>
              <w:spacing w:before="20" w:after="20"/>
              <w:rPr>
                <w:rFonts w:ascii="Times New Roman" w:hAnsi="Times New Roman" w:cs="Times New Roman"/>
              </w:rPr>
            </w:pPr>
            <w:r>
              <w:rPr>
                <w:rFonts w:ascii="Times New Roman" w:hAnsi="Times New Roman" w:cs="Times New Roman"/>
              </w:rPr>
              <w:t>Accelerate go-live timeline as a board-level strategic priority; allocate dedicated digital insurance marketing budget; implement advisor cross-sell incentive programme; protect platform quality to avoid reputational risk at launch</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608FD1EC" w14:textId="77777777" w:rsidR="00FF47B6" w:rsidRPr="002D6EF1" w:rsidRDefault="000D7C2C">
            <w:pPr>
              <w:spacing w:before="20" w:after="20"/>
              <w:rPr>
                <w:rFonts w:ascii="Times New Roman" w:hAnsi="Times New Roman" w:cs="Times New Roman"/>
              </w:rPr>
            </w:pPr>
            <w:r>
              <w:rPr>
                <w:rFonts w:ascii="Times New Roman" w:hAnsi="Times New Roman" w:cs="Times New Roman"/>
              </w:rPr>
              <w:t>Chief Strategy Officer / CFO</w:t>
            </w:r>
          </w:p>
        </w:tc>
      </w:tr>
    </w:tbl>
    <w:p w14:paraId="15083F0A" w14:textId="77777777" w:rsidR="00FF47B6" w:rsidRDefault="00FF47B6"/>
    <w:p w14:paraId="78670C5D" w14:textId="77777777" w:rsidR="00FF47B6" w:rsidRPr="002D6EF1" w:rsidRDefault="000D7C2C">
      <w:pPr>
        <w:spacing w:after="80"/>
        <w:rPr>
          <w:rFonts w:ascii="Times New Roman" w:hAnsi="Times New Roman" w:cs="Times New Roman"/>
        </w:rPr>
      </w:pPr>
      <w:r>
        <w:rPr>
          <w:rFonts w:ascii="Times New Roman" w:hAnsi="Times New Roman" w:cs="Times New Roman"/>
          <w:i/>
          <w:iCs/>
        </w:rPr>
        <w:t>Risk Score = Likelihood Score x Impact Score.  High (H) = 36–81.  Moderate (M) = 10–35.  Low (L) = 1–9.  Shaded rows = Positive Risks (opportunities to exploit).</w:t>
      </w:r>
    </w:p>
    <w:p w14:paraId="245252A8" w14:textId="77777777" w:rsidR="00FF47B6" w:rsidRPr="002D6EF1" w:rsidRDefault="00FF47B6">
      <w:pPr>
        <w:rPr>
          <w:rFonts w:ascii="Times New Roman" w:hAnsi="Times New Roman" w:cs="Times New Roman"/>
        </w:rPr>
      </w:pPr>
    </w:p>
    <w:p w14:paraId="322EAF59" w14:textId="77777777" w:rsidR="002D6EF1" w:rsidRPr="002D6EF1" w:rsidRDefault="002D6EF1">
      <w:pPr>
        <w:spacing w:before="120" w:after="80"/>
        <w:rPr>
          <w:rFonts w:ascii="Times New Roman" w:hAnsi="Times New Roman" w:cs="Times New Roman"/>
          <w:b/>
          <w:bCs/>
        </w:rPr>
      </w:pPr>
    </w:p>
    <w:p w14:paraId="442CD0B1" w14:textId="77777777" w:rsidR="002D6EF1" w:rsidRPr="002D6EF1" w:rsidRDefault="002D6EF1">
      <w:pPr>
        <w:spacing w:before="120" w:after="80"/>
        <w:rPr>
          <w:rFonts w:ascii="Times New Roman" w:hAnsi="Times New Roman" w:cs="Times New Roman"/>
          <w:b/>
          <w:bCs/>
        </w:rPr>
      </w:pPr>
    </w:p>
    <w:p w14:paraId="1F259252" w14:textId="77777777" w:rsidR="002D6EF1" w:rsidRDefault="002D6EF1">
      <w:pPr>
        <w:spacing w:before="120" w:after="80"/>
        <w:rPr>
          <w:b/>
          <w:bCs/>
        </w:rPr>
      </w:pPr>
    </w:p>
    <w:p w14:paraId="48198C57" w14:textId="77777777" w:rsidR="002D6EF1" w:rsidRDefault="002D6EF1">
      <w:pPr>
        <w:spacing w:before="120" w:after="80"/>
        <w:rPr>
          <w:b/>
          <w:bCs/>
        </w:rPr>
      </w:pPr>
    </w:p>
    <w:p w14:paraId="3865C14B" w14:textId="77777777" w:rsidR="002D6EF1" w:rsidRDefault="002D6EF1">
      <w:pPr>
        <w:spacing w:before="120" w:after="80"/>
        <w:rPr>
          <w:b/>
          <w:bCs/>
        </w:rPr>
      </w:pPr>
    </w:p>
    <w:p w14:paraId="6ACA569D" w14:textId="77777777" w:rsidR="002D6EF1" w:rsidRDefault="002D6EF1">
      <w:pPr>
        <w:spacing w:before="120" w:after="80"/>
        <w:rPr>
          <w:b/>
          <w:bCs/>
        </w:rPr>
      </w:pPr>
    </w:p>
    <w:p w14:paraId="443FAF42" w14:textId="77777777" w:rsidR="002D6EF1" w:rsidRDefault="002D6EF1">
      <w:pPr>
        <w:spacing w:before="120" w:after="80"/>
        <w:rPr>
          <w:b/>
          <w:bCs/>
        </w:rPr>
      </w:pPr>
    </w:p>
    <w:p w14:paraId="0539CF13" w14:textId="6F69ADDB" w:rsidR="00FF47B6" w:rsidRPr="002D6EF1" w:rsidRDefault="000D7C2C">
      <w:pPr>
        <w:spacing w:before="120" w:after="80"/>
        <w:rPr>
          <w:rFonts w:ascii="Times New Roman" w:hAnsi="Times New Roman" w:cs="Times New Roman"/>
          <w:sz w:val="24"/>
          <w:szCs w:val="24"/>
        </w:rPr>
      </w:pPr>
      <w:r>
        <w:rPr>
          <w:rFonts w:ascii="Times New Roman" w:hAnsi="Times New Roman" w:cs="Times New Roman"/>
          <w:b/>
          <w:bCs/>
          <w:sz w:val="24"/>
          <w:szCs w:val="24"/>
        </w:rPr>
        <w:lastRenderedPageBreak/>
        <w:t>KRI Summary — Traffic Light Thresholds for Each Risk</w:t>
      </w:r>
    </w:p>
    <w:p w14:paraId="15C9CFCA" w14:textId="77777777" w:rsidR="00FF47B6" w:rsidRDefault="00FF47B6"/>
    <w:p w14:paraId="1A00BC09" w14:textId="77777777" w:rsidR="00FF47B6" w:rsidRDefault="00FF47B6">
      <w:pPr>
        <w:spacing w:before="120" w:after="40"/>
        <w:rPr>
          <w:rFonts w:ascii="Times New Roman" w:hAnsi="Times New Roman" w:cs="Times New Roman"/>
          <w:b/>
          <w:bCs/>
        </w:rPr>
      </w:pPr>
      <w:r>
        <w:rPr>
          <w:rFonts w:ascii="Times New Roman" w:hAnsi="Times New Roman" w:cs="Times New Roman"/>
          <w:b/>
          <w:bCs/>
        </w:rPr>
        <w:t>Table 9: KRI Summary — Traffic Light Thresholds for Each Risk</w:t>
      </w:r>
    </w:p>
    <w:tbl>
      <w:tblPr>
        <w:tblW w:w="14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1800"/>
        <w:gridCol w:w="2800"/>
        <w:gridCol w:w="3080"/>
        <w:gridCol w:w="3080"/>
        <w:gridCol w:w="3120"/>
      </w:tblGrid>
      <w:tr w:rsidR="00FF47B6" w:rsidRPr="002D6EF1" w14:paraId="3204712D" w14:textId="77777777">
        <w:tc>
          <w:tcPr>
            <w:tcW w:w="380" w:type="dxa"/>
            <w:tcBorders>
              <w:top w:val="single" w:sz="4" w:space="0" w:color="000000"/>
              <w:left w:val="single" w:sz="4" w:space="0" w:color="000000"/>
              <w:bottom w:val="single" w:sz="4" w:space="0" w:color="000000"/>
              <w:right w:val="single" w:sz="4" w:space="0" w:color="000000"/>
            </w:tcBorders>
            <w:shd w:val="clear" w:color="auto" w:fill="1A1A1A"/>
            <w:tcMar>
              <w:top w:w="70" w:type="dxa"/>
              <w:left w:w="80" w:type="dxa"/>
              <w:bottom w:w="70" w:type="dxa"/>
              <w:right w:w="80" w:type="dxa"/>
            </w:tcMar>
            <w:vAlign w:val="center"/>
          </w:tcPr>
          <w:p w14:paraId="7A354196"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w:t>
            </w:r>
          </w:p>
        </w:tc>
        <w:tc>
          <w:tcPr>
            <w:tcW w:w="1800" w:type="dxa"/>
            <w:tcBorders>
              <w:top w:val="single" w:sz="4" w:space="0" w:color="000000"/>
              <w:left w:val="single" w:sz="4" w:space="0" w:color="000000"/>
              <w:bottom w:val="single" w:sz="4" w:space="0" w:color="000000"/>
              <w:right w:val="single" w:sz="4" w:space="0" w:color="000000"/>
            </w:tcBorders>
            <w:shd w:val="clear" w:color="auto" w:fill="1A1A1A"/>
            <w:tcMar>
              <w:top w:w="70" w:type="dxa"/>
              <w:left w:w="80" w:type="dxa"/>
              <w:bottom w:w="70" w:type="dxa"/>
              <w:right w:w="80" w:type="dxa"/>
            </w:tcMar>
            <w:vAlign w:val="center"/>
          </w:tcPr>
          <w:p w14:paraId="68220316"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KRI (Leading Indicator)</w:t>
            </w:r>
          </w:p>
        </w:tc>
        <w:tc>
          <w:tcPr>
            <w:tcW w:w="2800" w:type="dxa"/>
            <w:tcBorders>
              <w:top w:val="single" w:sz="4" w:space="0" w:color="000000"/>
              <w:left w:val="single" w:sz="4" w:space="0" w:color="000000"/>
              <w:bottom w:val="single" w:sz="4" w:space="0" w:color="000000"/>
              <w:right w:val="single" w:sz="4" w:space="0" w:color="000000"/>
            </w:tcBorders>
            <w:shd w:val="clear" w:color="auto" w:fill="1A1A1A"/>
            <w:tcMar>
              <w:top w:w="70" w:type="dxa"/>
              <w:left w:w="80" w:type="dxa"/>
              <w:bottom w:w="70" w:type="dxa"/>
              <w:right w:w="80" w:type="dxa"/>
            </w:tcMar>
            <w:vAlign w:val="center"/>
          </w:tcPr>
          <w:p w14:paraId="7BDD5CE6"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Green — Optimized (Within Appetite)</w:t>
            </w:r>
          </w:p>
        </w:tc>
        <w:tc>
          <w:tcPr>
            <w:tcW w:w="3080" w:type="dxa"/>
            <w:tcBorders>
              <w:top w:val="single" w:sz="4" w:space="0" w:color="000000"/>
              <w:left w:val="single" w:sz="4" w:space="0" w:color="000000"/>
              <w:bottom w:val="single" w:sz="4" w:space="0" w:color="000000"/>
              <w:right w:val="single" w:sz="4" w:space="0" w:color="000000"/>
            </w:tcBorders>
            <w:shd w:val="clear" w:color="auto" w:fill="1A1A1A"/>
            <w:tcMar>
              <w:top w:w="70" w:type="dxa"/>
              <w:left w:w="80" w:type="dxa"/>
              <w:bottom w:w="70" w:type="dxa"/>
              <w:right w:w="80" w:type="dxa"/>
            </w:tcMar>
            <w:vAlign w:val="center"/>
          </w:tcPr>
          <w:p w14:paraId="7641D1B2"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Amber — Warning (Risk Increasing)</w:t>
            </w:r>
          </w:p>
        </w:tc>
        <w:tc>
          <w:tcPr>
            <w:tcW w:w="3080" w:type="dxa"/>
            <w:tcBorders>
              <w:top w:val="single" w:sz="4" w:space="0" w:color="000000"/>
              <w:left w:val="single" w:sz="4" w:space="0" w:color="000000"/>
              <w:bottom w:val="single" w:sz="4" w:space="0" w:color="000000"/>
              <w:right w:val="single" w:sz="4" w:space="0" w:color="000000"/>
            </w:tcBorders>
            <w:shd w:val="clear" w:color="auto" w:fill="1A1A1A"/>
            <w:tcMar>
              <w:top w:w="70" w:type="dxa"/>
              <w:left w:w="80" w:type="dxa"/>
              <w:bottom w:w="70" w:type="dxa"/>
              <w:right w:w="80" w:type="dxa"/>
            </w:tcMar>
            <w:vAlign w:val="center"/>
          </w:tcPr>
          <w:p w14:paraId="56169A77"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Red — Critical (Immediate Action)</w:t>
            </w:r>
          </w:p>
        </w:tc>
        <w:tc>
          <w:tcPr>
            <w:tcW w:w="3120" w:type="dxa"/>
            <w:tcBorders>
              <w:top w:val="single" w:sz="4" w:space="0" w:color="000000"/>
              <w:left w:val="single" w:sz="4" w:space="0" w:color="000000"/>
              <w:bottom w:val="single" w:sz="4" w:space="0" w:color="000000"/>
              <w:right w:val="single" w:sz="4" w:space="0" w:color="000000"/>
            </w:tcBorders>
            <w:shd w:val="clear" w:color="auto" w:fill="1A1A1A"/>
            <w:tcMar>
              <w:top w:w="70" w:type="dxa"/>
              <w:left w:w="80" w:type="dxa"/>
              <w:bottom w:w="70" w:type="dxa"/>
              <w:right w:w="80" w:type="dxa"/>
            </w:tcMar>
            <w:vAlign w:val="center"/>
          </w:tcPr>
          <w:p w14:paraId="3C30AA5C" w14:textId="77777777" w:rsidR="00FF47B6" w:rsidRPr="002D6EF1" w:rsidRDefault="000D7C2C">
            <w:pPr>
              <w:jc w:val="center"/>
              <w:rPr>
                <w:rFonts w:ascii="Times New Roman" w:hAnsi="Times New Roman" w:cs="Times New Roman"/>
              </w:rPr>
            </w:pPr>
            <w:r>
              <w:rPr>
                <w:rFonts w:ascii="Times New Roman" w:hAnsi="Times New Roman" w:cs="Times New Roman"/>
                <w:b/>
                <w:bCs/>
                <w:color w:val="FFFFFF"/>
              </w:rPr>
              <w:t>KRI Owner</w:t>
            </w:r>
          </w:p>
        </w:tc>
      </w:tr>
      <w:tr w:rsidR="00FF47B6" w:rsidRPr="002D6EF1" w14:paraId="4AC88FAD" w14:textId="77777777">
        <w:tc>
          <w:tcPr>
            <w:tcW w:w="38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6F769872" w14:textId="77777777" w:rsidR="00FF47B6" w:rsidRPr="002D6EF1" w:rsidRDefault="000D7C2C">
            <w:pPr>
              <w:spacing w:before="20" w:after="20"/>
              <w:rPr>
                <w:rFonts w:ascii="Times New Roman" w:hAnsi="Times New Roman" w:cs="Times New Roman"/>
              </w:rPr>
            </w:pPr>
            <w:r>
              <w:rPr>
                <w:rFonts w:ascii="Times New Roman" w:hAnsi="Times New Roman" w:cs="Times New Roman"/>
                <w:b/>
                <w:bCs/>
              </w:rPr>
              <w:t>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3C34A19" w14:textId="77777777" w:rsidR="00FF47B6" w:rsidRPr="002D6EF1" w:rsidRDefault="000D7C2C">
            <w:pPr>
              <w:spacing w:before="20" w:after="20"/>
              <w:rPr>
                <w:rFonts w:ascii="Times New Roman" w:hAnsi="Times New Roman" w:cs="Times New Roman"/>
              </w:rPr>
            </w:pPr>
            <w:r>
              <w:rPr>
                <w:rFonts w:ascii="Times New Roman" w:hAnsi="Times New Roman" w:cs="Times New Roman"/>
              </w:rPr>
              <w:t>Critical vulnerabilities unpatched &gt;72 hrs</w:t>
            </w:r>
          </w:p>
        </w:tc>
        <w:tc>
          <w:tcPr>
            <w:tcW w:w="2800" w:type="dxa"/>
            <w:tcBorders>
              <w:top w:val="single" w:sz="4" w:space="0" w:color="000000"/>
              <w:left w:val="single" w:sz="4" w:space="0" w:color="000000"/>
              <w:bottom w:val="single" w:sz="4" w:space="0" w:color="000000"/>
              <w:right w:val="single" w:sz="4" w:space="0" w:color="000000"/>
            </w:tcBorders>
            <w:shd w:val="clear" w:color="auto" w:fill="C6EFCE"/>
            <w:tcMar>
              <w:top w:w="70" w:type="dxa"/>
              <w:left w:w="80" w:type="dxa"/>
              <w:bottom w:w="70" w:type="dxa"/>
              <w:right w:w="80" w:type="dxa"/>
            </w:tcMar>
          </w:tcPr>
          <w:p w14:paraId="65FE5E26" w14:textId="77777777" w:rsidR="00FF47B6" w:rsidRPr="002D6EF1" w:rsidRDefault="000D7C2C">
            <w:pPr>
              <w:spacing w:before="20" w:after="20"/>
              <w:rPr>
                <w:rFonts w:ascii="Times New Roman" w:hAnsi="Times New Roman" w:cs="Times New Roman"/>
              </w:rPr>
            </w:pPr>
            <w:r>
              <w:rPr>
                <w:rFonts w:ascii="Times New Roman" w:hAnsi="Times New Roman" w:cs="Times New Roman"/>
              </w:rPr>
              <w:t>Zero critical vulnerabilities unpatched beyond 72 hours. Security posture is within CIBC's defined risk appetite.</w:t>
            </w:r>
          </w:p>
        </w:tc>
        <w:tc>
          <w:tcPr>
            <w:tcW w:w="3080" w:type="dxa"/>
            <w:tcBorders>
              <w:top w:val="single" w:sz="4" w:space="0" w:color="000000"/>
              <w:left w:val="single" w:sz="4" w:space="0" w:color="000000"/>
              <w:bottom w:val="single" w:sz="4" w:space="0" w:color="000000"/>
              <w:right w:val="single" w:sz="4" w:space="0" w:color="000000"/>
            </w:tcBorders>
            <w:shd w:val="clear" w:color="auto" w:fill="FFEB9C"/>
            <w:tcMar>
              <w:top w:w="70" w:type="dxa"/>
              <w:left w:w="80" w:type="dxa"/>
              <w:bottom w:w="70" w:type="dxa"/>
              <w:right w:w="80" w:type="dxa"/>
            </w:tcMar>
          </w:tcPr>
          <w:p w14:paraId="6A6EB311" w14:textId="77777777" w:rsidR="00FF47B6" w:rsidRPr="002D6EF1" w:rsidRDefault="000D7C2C">
            <w:pPr>
              <w:spacing w:before="20" w:after="20"/>
              <w:rPr>
                <w:rFonts w:ascii="Times New Roman" w:hAnsi="Times New Roman" w:cs="Times New Roman"/>
              </w:rPr>
            </w:pPr>
            <w:r>
              <w:rPr>
                <w:rFonts w:ascii="Times New Roman" w:hAnsi="Times New Roman" w:cs="Times New Roman"/>
              </w:rPr>
              <w:t>1 critical vulnerability unpatched beyond 72 hours. Integration security team notified. Patch timeline escalated to CISO. Weekly reporting to senior leadership begins.</w:t>
            </w:r>
          </w:p>
        </w:tc>
        <w:tc>
          <w:tcPr>
            <w:tcW w:w="3080" w:type="dxa"/>
            <w:tcBorders>
              <w:top w:val="single" w:sz="4" w:space="0" w:color="000000"/>
              <w:left w:val="single" w:sz="4" w:space="0" w:color="000000"/>
              <w:bottom w:val="single" w:sz="4" w:space="0" w:color="000000"/>
              <w:right w:val="single" w:sz="4" w:space="0" w:color="000000"/>
            </w:tcBorders>
            <w:shd w:val="clear" w:color="auto" w:fill="FFC7CE"/>
            <w:tcMar>
              <w:top w:w="70" w:type="dxa"/>
              <w:left w:w="80" w:type="dxa"/>
              <w:bottom w:w="70" w:type="dxa"/>
              <w:right w:w="80" w:type="dxa"/>
            </w:tcMar>
          </w:tcPr>
          <w:p w14:paraId="33D87628" w14:textId="77777777" w:rsidR="00FF47B6" w:rsidRPr="002D6EF1" w:rsidRDefault="000D7C2C">
            <w:pPr>
              <w:spacing w:before="20" w:after="20"/>
              <w:rPr>
                <w:rFonts w:ascii="Times New Roman" w:hAnsi="Times New Roman" w:cs="Times New Roman"/>
              </w:rPr>
            </w:pPr>
            <w:r>
              <w:rPr>
                <w:rFonts w:ascii="Times New Roman" w:hAnsi="Times New Roman" w:cs="Times New Roman"/>
              </w:rPr>
              <w:t>2 or more critical vulnerabilities unpatched beyond 72 hours OR any confirmed unauthorized access attempt targeting the insurance platform. Immediate CISO escalation to CEO and board. Platform integration paused pending security audit.</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239B45A" w14:textId="77777777" w:rsidR="00FF47B6" w:rsidRPr="002D6EF1" w:rsidRDefault="000D7C2C">
            <w:pPr>
              <w:spacing w:before="20" w:after="20"/>
              <w:rPr>
                <w:rFonts w:ascii="Times New Roman" w:hAnsi="Times New Roman" w:cs="Times New Roman"/>
              </w:rPr>
            </w:pPr>
            <w:r>
              <w:rPr>
                <w:rFonts w:ascii="Times New Roman" w:hAnsi="Times New Roman" w:cs="Times New Roman"/>
              </w:rPr>
              <w:t>CISO</w:t>
            </w:r>
          </w:p>
        </w:tc>
      </w:tr>
      <w:tr w:rsidR="00FF47B6" w:rsidRPr="002D6EF1" w14:paraId="6C7161A0" w14:textId="77777777">
        <w:tc>
          <w:tcPr>
            <w:tcW w:w="38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B3CB56B" w14:textId="77777777" w:rsidR="00FF47B6" w:rsidRPr="002D6EF1" w:rsidRDefault="000D7C2C">
            <w:pPr>
              <w:spacing w:before="20" w:after="20"/>
              <w:rPr>
                <w:rFonts w:ascii="Times New Roman" w:hAnsi="Times New Roman" w:cs="Times New Roman"/>
              </w:rPr>
            </w:pPr>
            <w:r>
              <w:rPr>
                <w:rFonts w:ascii="Times New Roman" w:hAnsi="Times New Roman" w:cs="Times New Roman"/>
                <w:b/>
                <w:bCs/>
              </w:rPr>
              <w:t>2</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3088DFB" w14:textId="77777777" w:rsidR="00FF47B6" w:rsidRPr="002D6EF1" w:rsidRDefault="000D7C2C">
            <w:pPr>
              <w:spacing w:before="20" w:after="20"/>
              <w:rPr>
                <w:rFonts w:ascii="Times New Roman" w:hAnsi="Times New Roman" w:cs="Times New Roman"/>
              </w:rPr>
            </w:pPr>
            <w:r>
              <w:rPr>
                <w:rFonts w:ascii="Times New Roman" w:hAnsi="Times New Roman" w:cs="Times New Roman"/>
              </w:rPr>
              <w:t>Open compliance findings / regulatory changes &gt;30 days</w:t>
            </w:r>
          </w:p>
        </w:tc>
        <w:tc>
          <w:tcPr>
            <w:tcW w:w="2800" w:type="dxa"/>
            <w:tcBorders>
              <w:top w:val="single" w:sz="4" w:space="0" w:color="000000"/>
              <w:left w:val="single" w:sz="4" w:space="0" w:color="000000"/>
              <w:bottom w:val="single" w:sz="4" w:space="0" w:color="000000"/>
              <w:right w:val="single" w:sz="4" w:space="0" w:color="000000"/>
            </w:tcBorders>
            <w:shd w:val="clear" w:color="auto" w:fill="C6EFCE"/>
            <w:tcMar>
              <w:top w:w="70" w:type="dxa"/>
              <w:left w:w="80" w:type="dxa"/>
              <w:bottom w:w="70" w:type="dxa"/>
              <w:right w:w="80" w:type="dxa"/>
            </w:tcMar>
          </w:tcPr>
          <w:p w14:paraId="6A3BB44B" w14:textId="77777777" w:rsidR="00FF47B6" w:rsidRPr="002D6EF1" w:rsidRDefault="000D7C2C">
            <w:pPr>
              <w:spacing w:before="20" w:after="20"/>
              <w:rPr>
                <w:rFonts w:ascii="Times New Roman" w:hAnsi="Times New Roman" w:cs="Times New Roman"/>
              </w:rPr>
            </w:pPr>
            <w:r>
              <w:rPr>
                <w:rFonts w:ascii="Times New Roman" w:hAnsi="Times New Roman" w:cs="Times New Roman"/>
              </w:rPr>
              <w:t>Zero open compliance findings or outstanding regulatory changes beyond 30 days. All provincial licensing requirements confirmed complete before launch in each province.</w:t>
            </w:r>
          </w:p>
        </w:tc>
        <w:tc>
          <w:tcPr>
            <w:tcW w:w="3080" w:type="dxa"/>
            <w:tcBorders>
              <w:top w:val="single" w:sz="4" w:space="0" w:color="000000"/>
              <w:left w:val="single" w:sz="4" w:space="0" w:color="000000"/>
              <w:bottom w:val="single" w:sz="4" w:space="0" w:color="000000"/>
              <w:right w:val="single" w:sz="4" w:space="0" w:color="000000"/>
            </w:tcBorders>
            <w:shd w:val="clear" w:color="auto" w:fill="FFEB9C"/>
            <w:tcMar>
              <w:top w:w="70" w:type="dxa"/>
              <w:left w:w="80" w:type="dxa"/>
              <w:bottom w:w="70" w:type="dxa"/>
              <w:right w:w="80" w:type="dxa"/>
            </w:tcMar>
          </w:tcPr>
          <w:p w14:paraId="0F80807C" w14:textId="77777777" w:rsidR="00FF47B6" w:rsidRPr="002D6EF1" w:rsidRDefault="000D7C2C">
            <w:pPr>
              <w:spacing w:before="20" w:after="20"/>
              <w:rPr>
                <w:rFonts w:ascii="Times New Roman" w:hAnsi="Times New Roman" w:cs="Times New Roman"/>
              </w:rPr>
            </w:pPr>
            <w:r>
              <w:rPr>
                <w:rFonts w:ascii="Times New Roman" w:hAnsi="Times New Roman" w:cs="Times New Roman"/>
              </w:rPr>
              <w:t>1 to 2 open compliance findings or regulatory changes not yet implemented within 30 days. Compliance committee convened. Remediation timeline approved by Chief Compliance Officer. Monthly board reporting begins.</w:t>
            </w:r>
          </w:p>
        </w:tc>
        <w:tc>
          <w:tcPr>
            <w:tcW w:w="3080" w:type="dxa"/>
            <w:tcBorders>
              <w:top w:val="single" w:sz="4" w:space="0" w:color="000000"/>
              <w:left w:val="single" w:sz="4" w:space="0" w:color="000000"/>
              <w:bottom w:val="single" w:sz="4" w:space="0" w:color="000000"/>
              <w:right w:val="single" w:sz="4" w:space="0" w:color="000000"/>
            </w:tcBorders>
            <w:shd w:val="clear" w:color="auto" w:fill="FFC7CE"/>
            <w:tcMar>
              <w:top w:w="70" w:type="dxa"/>
              <w:left w:w="80" w:type="dxa"/>
              <w:bottom w:w="70" w:type="dxa"/>
              <w:right w:w="80" w:type="dxa"/>
            </w:tcMar>
          </w:tcPr>
          <w:p w14:paraId="4FCDC35A" w14:textId="77777777" w:rsidR="00FF47B6" w:rsidRPr="002D6EF1" w:rsidRDefault="000D7C2C">
            <w:pPr>
              <w:spacing w:before="20" w:after="20"/>
              <w:rPr>
                <w:rFonts w:ascii="Times New Roman" w:hAnsi="Times New Roman" w:cs="Times New Roman"/>
              </w:rPr>
            </w:pPr>
            <w:r>
              <w:rPr>
                <w:rFonts w:ascii="Times New Roman" w:hAnsi="Times New Roman" w:cs="Times New Roman"/>
              </w:rPr>
              <w:t>3 or more open compliance findings unresolved beyond 30 days OR a formal regulatory inquiry received from any provincial insurance regulator or the Privacy Commissioner of Canada. Immediate escalation to CEO and board. Legal counsel engaged. Platform sales halted in affected province(s) pending resolution.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3CC3747" w14:textId="77777777" w:rsidR="00FF47B6" w:rsidRPr="002D6EF1" w:rsidRDefault="000D7C2C">
            <w:pPr>
              <w:spacing w:before="20" w:after="20"/>
              <w:rPr>
                <w:rFonts w:ascii="Times New Roman" w:hAnsi="Times New Roman" w:cs="Times New Roman"/>
              </w:rPr>
            </w:pPr>
            <w:r>
              <w:rPr>
                <w:rFonts w:ascii="Times New Roman" w:hAnsi="Times New Roman" w:cs="Times New Roman"/>
              </w:rPr>
              <w:t>Chief Compliance Officer</w:t>
            </w:r>
          </w:p>
        </w:tc>
      </w:tr>
      <w:tr w:rsidR="00FF47B6" w:rsidRPr="002D6EF1" w14:paraId="4B12F435" w14:textId="77777777">
        <w:tc>
          <w:tcPr>
            <w:tcW w:w="380" w:type="dxa"/>
            <w:tcBorders>
              <w:top w:val="single" w:sz="4" w:space="0" w:color="000000"/>
              <w:left w:val="single" w:sz="4" w:space="0" w:color="000000"/>
              <w:bottom w:val="single" w:sz="4" w:space="0" w:color="000000"/>
              <w:right w:val="single" w:sz="4" w:space="0" w:color="000000"/>
            </w:tcBorders>
            <w:shd w:val="clear" w:color="auto" w:fill="E8E8E8"/>
            <w:tcMar>
              <w:top w:w="70" w:type="dxa"/>
              <w:left w:w="80" w:type="dxa"/>
              <w:bottom w:w="70" w:type="dxa"/>
              <w:right w:w="80" w:type="dxa"/>
            </w:tcMar>
          </w:tcPr>
          <w:p w14:paraId="54BB383A" w14:textId="77777777" w:rsidR="00FF47B6" w:rsidRPr="002D6EF1" w:rsidRDefault="000D7C2C">
            <w:pPr>
              <w:spacing w:before="20" w:after="20"/>
              <w:rPr>
                <w:rFonts w:ascii="Times New Roman" w:hAnsi="Times New Roman" w:cs="Times New Roman"/>
              </w:rPr>
            </w:pPr>
            <w:r>
              <w:rPr>
                <w:rFonts w:ascii="Times New Roman" w:hAnsi="Times New Roman" w:cs="Times New Roman"/>
                <w:b/>
                <w:bCs/>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E8E8E8"/>
            <w:tcMar>
              <w:top w:w="70" w:type="dxa"/>
              <w:left w:w="80" w:type="dxa"/>
              <w:bottom w:w="70" w:type="dxa"/>
              <w:right w:w="80" w:type="dxa"/>
            </w:tcMar>
          </w:tcPr>
          <w:p w14:paraId="2D68E1B6" w14:textId="77777777" w:rsidR="00FF47B6" w:rsidRPr="002D6EF1" w:rsidRDefault="000D7C2C">
            <w:pPr>
              <w:spacing w:before="20" w:after="20"/>
              <w:rPr>
                <w:rFonts w:ascii="Times New Roman" w:hAnsi="Times New Roman" w:cs="Times New Roman"/>
              </w:rPr>
            </w:pPr>
            <w:r>
              <w:rPr>
                <w:rFonts w:ascii="Times New Roman" w:hAnsi="Times New Roman" w:cs="Times New Roman"/>
              </w:rPr>
              <w:t>Monthly digital insurance client adoption rate (%)</w:t>
            </w:r>
          </w:p>
        </w:tc>
        <w:tc>
          <w:tcPr>
            <w:tcW w:w="2800" w:type="dxa"/>
            <w:tcBorders>
              <w:top w:val="single" w:sz="4" w:space="0" w:color="000000"/>
              <w:left w:val="single" w:sz="4" w:space="0" w:color="000000"/>
              <w:bottom w:val="single" w:sz="4" w:space="0" w:color="000000"/>
              <w:right w:val="single" w:sz="4" w:space="0" w:color="000000"/>
            </w:tcBorders>
            <w:shd w:val="clear" w:color="auto" w:fill="C6EFCE"/>
            <w:tcMar>
              <w:top w:w="70" w:type="dxa"/>
              <w:left w:w="80" w:type="dxa"/>
              <w:bottom w:w="70" w:type="dxa"/>
              <w:right w:w="80" w:type="dxa"/>
            </w:tcMar>
          </w:tcPr>
          <w:p w14:paraId="2BA7D863" w14:textId="77777777" w:rsidR="00FF47B6" w:rsidRPr="002D6EF1" w:rsidRDefault="000D7C2C">
            <w:pPr>
              <w:spacing w:before="20" w:after="20"/>
              <w:rPr>
                <w:rFonts w:ascii="Times New Roman" w:hAnsi="Times New Roman" w:cs="Times New Roman"/>
              </w:rPr>
            </w:pPr>
            <w:r>
              <w:rPr>
                <w:rFonts w:ascii="Times New Roman" w:hAnsi="Times New Roman" w:cs="Times New Roman"/>
              </w:rPr>
              <w:t>Adoption rate above 5% of active digital banking clients within 12 months of launch. Platform is capturing early market share ahead of projections. Cross-sell programme is performing as planned.</w:t>
            </w:r>
          </w:p>
        </w:tc>
        <w:tc>
          <w:tcPr>
            <w:tcW w:w="3080" w:type="dxa"/>
            <w:tcBorders>
              <w:top w:val="single" w:sz="4" w:space="0" w:color="000000"/>
              <w:left w:val="single" w:sz="4" w:space="0" w:color="000000"/>
              <w:bottom w:val="single" w:sz="4" w:space="0" w:color="000000"/>
              <w:right w:val="single" w:sz="4" w:space="0" w:color="000000"/>
            </w:tcBorders>
            <w:shd w:val="clear" w:color="auto" w:fill="FFEB9C"/>
            <w:tcMar>
              <w:top w:w="70" w:type="dxa"/>
              <w:left w:w="80" w:type="dxa"/>
              <w:bottom w:w="70" w:type="dxa"/>
              <w:right w:w="80" w:type="dxa"/>
            </w:tcMar>
          </w:tcPr>
          <w:p w14:paraId="61251C90" w14:textId="77777777" w:rsidR="00FF47B6" w:rsidRPr="002D6EF1" w:rsidRDefault="000D7C2C">
            <w:pPr>
              <w:spacing w:before="20" w:after="20"/>
              <w:rPr>
                <w:rFonts w:ascii="Times New Roman" w:hAnsi="Times New Roman" w:cs="Times New Roman"/>
              </w:rPr>
            </w:pPr>
            <w:r>
              <w:rPr>
                <w:rFonts w:ascii="Times New Roman" w:hAnsi="Times New Roman" w:cs="Times New Roman"/>
              </w:rPr>
              <w:t>Adoption rate between 2% and 5% at 12 months post-launch. Marketing effectiveness reviewed. Advisor cross-sell incentive programme reassessed. Competitive benchmarking analysis commissioned to identify gap versus projections.</w:t>
            </w:r>
          </w:p>
        </w:tc>
        <w:tc>
          <w:tcPr>
            <w:tcW w:w="3080" w:type="dxa"/>
            <w:tcBorders>
              <w:top w:val="single" w:sz="4" w:space="0" w:color="000000"/>
              <w:left w:val="single" w:sz="4" w:space="0" w:color="000000"/>
              <w:bottom w:val="single" w:sz="4" w:space="0" w:color="000000"/>
              <w:right w:val="single" w:sz="4" w:space="0" w:color="000000"/>
            </w:tcBorders>
            <w:shd w:val="clear" w:color="auto" w:fill="FFC7CE"/>
            <w:tcMar>
              <w:top w:w="70" w:type="dxa"/>
              <w:left w:w="80" w:type="dxa"/>
              <w:bottom w:w="70" w:type="dxa"/>
              <w:right w:w="80" w:type="dxa"/>
            </w:tcMar>
          </w:tcPr>
          <w:p w14:paraId="67C5AEE8" w14:textId="77777777" w:rsidR="00FF47B6" w:rsidRPr="002D6EF1" w:rsidRDefault="000D7C2C">
            <w:pPr>
              <w:spacing w:before="20" w:after="20"/>
              <w:rPr>
                <w:rFonts w:ascii="Times New Roman" w:hAnsi="Times New Roman" w:cs="Times New Roman"/>
              </w:rPr>
            </w:pPr>
            <w:r>
              <w:rPr>
                <w:rFonts w:ascii="Times New Roman" w:hAnsi="Times New Roman" w:cs="Times New Roman"/>
              </w:rPr>
              <w:t>Adoption rate below 2% at 12 months post-launch OR a major Canadian bank competitor launches an integrated banking-and-insurance platform before CIBC achieves meaningful market share. Immediate strategy committee review. CEO briefed. Assessment of whether additional product features, pricing adjustments, or partnership arrangements are required to defend the market position.</w:t>
            </w:r>
          </w:p>
        </w:tc>
        <w:tc>
          <w:tcPr>
            <w:tcW w:w="3120" w:type="dxa"/>
            <w:tcBorders>
              <w:top w:val="single" w:sz="4" w:space="0" w:color="000000"/>
              <w:left w:val="single" w:sz="4" w:space="0" w:color="000000"/>
              <w:bottom w:val="single" w:sz="4" w:space="0" w:color="000000"/>
              <w:right w:val="single" w:sz="4" w:space="0" w:color="000000"/>
            </w:tcBorders>
            <w:shd w:val="clear" w:color="auto" w:fill="E8E8E8"/>
            <w:tcMar>
              <w:top w:w="70" w:type="dxa"/>
              <w:left w:w="80" w:type="dxa"/>
              <w:bottom w:w="70" w:type="dxa"/>
              <w:right w:w="80" w:type="dxa"/>
            </w:tcMar>
          </w:tcPr>
          <w:p w14:paraId="25D3D805" w14:textId="77777777" w:rsidR="00FF47B6" w:rsidRPr="002D6EF1" w:rsidRDefault="000D7C2C">
            <w:pPr>
              <w:spacing w:before="20" w:after="20"/>
              <w:rPr>
                <w:rFonts w:ascii="Times New Roman" w:hAnsi="Times New Roman" w:cs="Times New Roman"/>
              </w:rPr>
            </w:pPr>
            <w:r>
              <w:rPr>
                <w:rFonts w:ascii="Times New Roman" w:hAnsi="Times New Roman" w:cs="Times New Roman"/>
              </w:rPr>
              <w:t>Chief Strategy Officer</w:t>
            </w:r>
          </w:p>
        </w:tc>
      </w:tr>
    </w:tbl>
    <w:p w14:paraId="312F7E88" w14:textId="77777777" w:rsidR="00FF47B6" w:rsidRDefault="00FF47B6"/>
    <w:p w14:paraId="0615E2C1" w14:textId="77777777" w:rsidR="00FF47B6" w:rsidRDefault="000D7C2C">
      <w:pPr>
        <w:spacing w:after="60"/>
      </w:pPr>
      <w:r>
        <w:rPr>
          <w:i/>
          <w:iCs/>
          <w:sz w:val="16"/>
          <w:szCs w:val="16"/>
        </w:rPr>
        <w:t>Shaded row = Positive Risk KRI. For positive risks, Red threshold indicates the opportunity window is closing and requires immediate strategy review.</w:t>
      </w:r>
    </w:p>
    <w:sectPr w:rsidR="00FF47B6">
      <w:headerReference w:type="default" r:id="rId10"/>
      <w:pgSz w:w="15840" w:h="12240"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9693E" w14:textId="77777777" w:rsidR="00D3042A" w:rsidRDefault="00D3042A">
      <w:r>
        <w:separator/>
      </w:r>
    </w:p>
  </w:endnote>
  <w:endnote w:type="continuationSeparator" w:id="0">
    <w:p w14:paraId="5BC4DBB9" w14:textId="77777777" w:rsidR="00D3042A" w:rsidRDefault="00D30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8CC1A" w14:textId="77777777" w:rsidR="00D3042A" w:rsidRDefault="00D3042A">
      <w:r>
        <w:separator/>
      </w:r>
    </w:p>
  </w:footnote>
  <w:footnote w:type="continuationSeparator" w:id="0">
    <w:p w14:paraId="41AC545A" w14:textId="77777777" w:rsidR="00D3042A" w:rsidRDefault="00D304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D42F2" w14:textId="77777777" w:rsidR="00FF47B6" w:rsidRDefault="00FF47B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8B653" w14:textId="77777777" w:rsidR="00FF47B6" w:rsidRDefault="00FF47B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F6E39" w14:textId="77777777" w:rsidR="00FF47B6" w:rsidRDefault="000D7C2C">
    <w:pPr>
      <w:jc w:val="right"/>
    </w:pPr>
    <w:r>
      <w:fldChar w:fldCharType="begin"/>
    </w:r>
    <w:r>
      <w:instrText>PAGE</w:instrText>
    </w:r>
    <w:r>
      <w:fldChar w:fldCharType="separate"/>
    </w:r>
    <w:r w:rsidR="002D6EF1">
      <w:rPr>
        <w:noProof/>
      </w:rPr>
      <w:t>2</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185C6" w14:textId="0BED72A0" w:rsidR="00FF47B6" w:rsidRDefault="000D7C2C">
    <w:pPr>
      <w:jc w:val="right"/>
    </w:pPr>
    <w:r>
      <w:fldChar w:fldCharType="begin"/>
    </w:r>
    <w:r>
      <w:instrText>PAGE</w:instrText>
    </w:r>
    <w:r>
      <w:fldChar w:fldCharType="separate"/>
    </w:r>
    <w:r w:rsidR="002D6EF1">
      <w:rPr>
        <w:noProof/>
      </w:rPr>
      <w:t>11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A3FD8"/>
    <w:multiLevelType w:val="hybridMultilevel"/>
    <w:tmpl w:val="1FECE644"/>
    <w:lvl w:ilvl="0" w:tplc="7BB2DD86">
      <w:start w:val="1"/>
      <w:numFmt w:val="bullet"/>
      <w:lvlText w:val="●"/>
      <w:lvlJc w:val="left"/>
      <w:pPr>
        <w:ind w:left="720" w:hanging="360"/>
      </w:pPr>
    </w:lvl>
    <w:lvl w:ilvl="1" w:tplc="19EA8B96">
      <w:start w:val="1"/>
      <w:numFmt w:val="bullet"/>
      <w:lvlText w:val="○"/>
      <w:lvlJc w:val="left"/>
      <w:pPr>
        <w:ind w:left="1440" w:hanging="360"/>
      </w:pPr>
    </w:lvl>
    <w:lvl w:ilvl="2" w:tplc="5A4EFA82">
      <w:start w:val="1"/>
      <w:numFmt w:val="bullet"/>
      <w:lvlText w:val="■"/>
      <w:lvlJc w:val="left"/>
      <w:pPr>
        <w:ind w:left="2160" w:hanging="360"/>
      </w:pPr>
    </w:lvl>
    <w:lvl w:ilvl="3" w:tplc="F79011B6">
      <w:start w:val="1"/>
      <w:numFmt w:val="bullet"/>
      <w:lvlText w:val="●"/>
      <w:lvlJc w:val="left"/>
      <w:pPr>
        <w:ind w:left="2880" w:hanging="360"/>
      </w:pPr>
    </w:lvl>
    <w:lvl w:ilvl="4" w:tplc="F3E41BBA">
      <w:start w:val="1"/>
      <w:numFmt w:val="bullet"/>
      <w:lvlText w:val="○"/>
      <w:lvlJc w:val="left"/>
      <w:pPr>
        <w:ind w:left="3600" w:hanging="360"/>
      </w:pPr>
    </w:lvl>
    <w:lvl w:ilvl="5" w:tplc="06CABE10">
      <w:start w:val="1"/>
      <w:numFmt w:val="bullet"/>
      <w:lvlText w:val="■"/>
      <w:lvlJc w:val="left"/>
      <w:pPr>
        <w:ind w:left="4320" w:hanging="360"/>
      </w:pPr>
    </w:lvl>
    <w:lvl w:ilvl="6" w:tplc="26807E0E">
      <w:start w:val="1"/>
      <w:numFmt w:val="bullet"/>
      <w:lvlText w:val="●"/>
      <w:lvlJc w:val="left"/>
      <w:pPr>
        <w:ind w:left="5040" w:hanging="360"/>
      </w:pPr>
    </w:lvl>
    <w:lvl w:ilvl="7" w:tplc="527A9104">
      <w:start w:val="1"/>
      <w:numFmt w:val="bullet"/>
      <w:lvlText w:val="●"/>
      <w:lvlJc w:val="left"/>
      <w:pPr>
        <w:ind w:left="5760" w:hanging="360"/>
      </w:pPr>
    </w:lvl>
    <w:lvl w:ilvl="8" w:tplc="CCD6AF48">
      <w:start w:val="1"/>
      <w:numFmt w:val="bullet"/>
      <w:lvlText w:val="●"/>
      <w:lvlJc w:val="left"/>
      <w:pPr>
        <w:ind w:left="6480" w:hanging="360"/>
      </w:pPr>
    </w:lvl>
  </w:abstractNum>
  <w:abstractNum w:abstractNumId="1" w15:restartNumberingAfterBreak="0">
    <w:nsid w:val="69C5657D"/>
    <w:multiLevelType w:val="hybridMultilevel"/>
    <w:tmpl w:val="9086E1DC"/>
    <w:lvl w:ilvl="0" w:tplc="493273E0">
      <w:start w:val="1"/>
      <w:numFmt w:val="bullet"/>
      <w:lvlText w:val="•"/>
      <w:lvlJc w:val="left"/>
      <w:pPr>
        <w:ind w:left="720" w:hanging="360"/>
      </w:pPr>
    </w:lvl>
    <w:lvl w:ilvl="1" w:tplc="C01EC7CA">
      <w:numFmt w:val="decimal"/>
      <w:lvlText w:val=""/>
      <w:lvlJc w:val="left"/>
    </w:lvl>
    <w:lvl w:ilvl="2" w:tplc="31FAA5D4">
      <w:numFmt w:val="decimal"/>
      <w:lvlText w:val=""/>
      <w:lvlJc w:val="left"/>
    </w:lvl>
    <w:lvl w:ilvl="3" w:tplc="3B2E9C44">
      <w:numFmt w:val="decimal"/>
      <w:lvlText w:val=""/>
      <w:lvlJc w:val="left"/>
    </w:lvl>
    <w:lvl w:ilvl="4" w:tplc="72B4DEE2">
      <w:numFmt w:val="decimal"/>
      <w:lvlText w:val=""/>
      <w:lvlJc w:val="left"/>
    </w:lvl>
    <w:lvl w:ilvl="5" w:tplc="2090B8A4">
      <w:numFmt w:val="decimal"/>
      <w:lvlText w:val=""/>
      <w:lvlJc w:val="left"/>
    </w:lvl>
    <w:lvl w:ilvl="6" w:tplc="13D63AA2">
      <w:numFmt w:val="decimal"/>
      <w:lvlText w:val=""/>
      <w:lvlJc w:val="left"/>
    </w:lvl>
    <w:lvl w:ilvl="7" w:tplc="ED3CAA1A">
      <w:numFmt w:val="decimal"/>
      <w:lvlText w:val=""/>
      <w:lvlJc w:val="left"/>
    </w:lvl>
    <w:lvl w:ilvl="8" w:tplc="306038FA">
      <w:numFmt w:val="decimal"/>
      <w:lvlText w:val=""/>
      <w:lvlJc w:val="left"/>
    </w:lvl>
  </w:abstractNum>
  <w:num w:numId="1" w16cid:durableId="19979492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7B6"/>
    <w:rsid w:val="000D7C2C"/>
    <w:rsid w:val="001B483C"/>
    <w:rsid w:val="002D6EF1"/>
    <w:rsid w:val="003445AA"/>
    <w:rsid w:val="00444FF3"/>
    <w:rsid w:val="004D4088"/>
    <w:rsid w:val="004F6226"/>
    <w:rsid w:val="0058767A"/>
    <w:rsid w:val="00953665"/>
    <w:rsid w:val="00C60641"/>
    <w:rsid w:val="00D3042A"/>
    <w:rsid w:val="00D41037"/>
    <w:rsid w:val="00FF47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49643"/>
  <w15:docId w15:val="{6DD878B4-E8AA-45EF-97A2-E9212C0D5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000000"/>
      <w:sz w:val="28"/>
      <w:szCs w:val="28"/>
    </w:rPr>
  </w:style>
  <w:style w:type="paragraph" w:styleId="Heading2">
    <w:name w:val="heading 2"/>
    <w:uiPriority w:val="9"/>
    <w:unhideWhenUsed/>
    <w:qFormat/>
    <w:pPr>
      <w:spacing w:before="220" w:after="100"/>
      <w:outlineLvl w:val="1"/>
    </w:pPr>
    <w:rPr>
      <w:b/>
      <w:bCs/>
      <w:color w:val="000000"/>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4D4088"/>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8278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3884</Words>
  <Characters>22139</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Okikioluwa Olarewaju</cp:lastModifiedBy>
  <cp:revision>2</cp:revision>
  <dcterms:created xsi:type="dcterms:W3CDTF">2026-06-03T02:08:00Z</dcterms:created>
  <dcterms:modified xsi:type="dcterms:W3CDTF">2026-06-03T02:08:00Z</dcterms:modified>
</cp:coreProperties>
</file>