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32EC" w14:textId="77777777" w:rsidR="00367C0E" w:rsidRPr="00367C0E" w:rsidRDefault="00367C0E" w:rsidP="00367C0E">
      <w:r w:rsidRPr="00367C0E">
        <w:t>Individual Contribution Statement – Anthony Onwuka</w:t>
      </w:r>
    </w:p>
    <w:p w14:paraId="45225223" w14:textId="77777777" w:rsidR="00367C0E" w:rsidRPr="00367C0E" w:rsidRDefault="00367C0E" w:rsidP="00367C0E">
      <w:r w:rsidRPr="00367C0E">
        <w:t>For the Module 4 Quantitative Risk Assessment assignment, I was primarily responsible for assessing Risk 2 (Regulatory and Compliance Exposure) using the Indicators and Warnings (I&amp;W) framework and Sensitivity Analysis techniques.</w:t>
      </w:r>
    </w:p>
    <w:p w14:paraId="50B5F0B7" w14:textId="77777777" w:rsidR="00367C0E" w:rsidRPr="00367C0E" w:rsidRDefault="00367C0E" w:rsidP="00367C0E">
      <w:r w:rsidRPr="00367C0E">
        <w:t>My contribution began with reviewing the risk register and identifying the key regulatory and compliance factors that could influence the success of CIBC's proposed acquisition of a digital insurance platform. I developed the warning indicators used to monitor regulatory exposure, including unresolved compliance findings, provincial licensing progress, Bill C-27 readiness requirements, and outstanding OSFI Guideline B-10 compliance activities.</w:t>
      </w:r>
    </w:p>
    <w:p w14:paraId="6EE07AD0" w14:textId="77777777" w:rsidR="00367C0E" w:rsidRPr="00367C0E" w:rsidRDefault="00367C0E" w:rsidP="00367C0E">
      <w:r w:rsidRPr="00367C0E">
        <w:t>I conducted the sensitivity analysis by identifying the major drivers of regulatory risk and evaluating how changes in these variables could affect the overall financial impact of the risk. This involved establishing baseline assumptions, varying key inputs, and measuring the resulting changes in projected outcomes. Through this analysis, I identified the likelihood of a regulatory halt, regulatory fine severity, and provincial launch delays as the most significant factors influencing overall exposure.</w:t>
      </w:r>
    </w:p>
    <w:p w14:paraId="34D471B4" w14:textId="77777777" w:rsidR="00367C0E" w:rsidRPr="00367C0E" w:rsidRDefault="00367C0E" w:rsidP="00367C0E">
      <w:r w:rsidRPr="00367C0E">
        <w:t>Based on the results, I developed recommendations for enhanced compliance monitoring, regulatory oversight, and risk mitigation strategies. I also assisted in defining key risk indicators (KRIs) and warning thresholds that could provide early signals of increasing regulatory risk and support management decision-making throughout the acquisition process.</w:t>
      </w:r>
    </w:p>
    <w:p w14:paraId="551ACED8" w14:textId="77777777" w:rsidR="00367C0E" w:rsidRPr="00367C0E" w:rsidRDefault="00367C0E" w:rsidP="00367C0E">
      <w:r w:rsidRPr="00367C0E">
        <w:t>In addition, I contributed to the machine learning enhancement section by researching how predictive analytics could be applied to compliance monitoring. Specifically, I explored the use of Gradient Boosting classification models to estimate regulatory halt probabilities using compliance findings, licensing delays, and regulatory inquiry data as predictive variables.</w:t>
      </w:r>
    </w:p>
    <w:p w14:paraId="007E271D" w14:textId="77777777" w:rsidR="00367C0E" w:rsidRPr="00367C0E" w:rsidRDefault="00367C0E" w:rsidP="00367C0E">
      <w:r w:rsidRPr="00367C0E">
        <w:t>Beyond the quantitative assessment, I participated in team discussions regarding risk prioritization, reviewed analytical outputs for consistency, and assisted with validating the final results before inclusion in the report and updated Risk Treatment and Response Plan (RT&amp;RP).</w:t>
      </w:r>
    </w:p>
    <w:p w14:paraId="02AF3391" w14:textId="77777777" w:rsidR="00367C0E" w:rsidRPr="00367C0E" w:rsidRDefault="00367C0E" w:rsidP="00367C0E">
      <w:r w:rsidRPr="00367C0E">
        <w:t>Overall, my contribution focused on regulatory risk analysis, sensitivity modeling, compliance-focused indicators and warnings development, risk treatment recommendations, and quality review of the final project deliverables.</w:t>
      </w:r>
    </w:p>
    <w:p w14:paraId="676D31D7" w14:textId="77777777" w:rsidR="007304E7" w:rsidRDefault="007304E7"/>
    <w:sectPr w:rsidR="0073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0E"/>
    <w:rsid w:val="00367C0E"/>
    <w:rsid w:val="005A504B"/>
    <w:rsid w:val="007304E7"/>
    <w:rsid w:val="00A8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49F9"/>
  <w15:chartTrackingRefBased/>
  <w15:docId w15:val="{D3065592-56A2-4B0A-AA96-1EB76EFB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0E"/>
    <w:rPr>
      <w:rFonts w:eastAsiaTheme="majorEastAsia" w:cstheme="majorBidi"/>
      <w:color w:val="272727" w:themeColor="text1" w:themeTint="D8"/>
    </w:rPr>
  </w:style>
  <w:style w:type="paragraph" w:styleId="Title">
    <w:name w:val="Title"/>
    <w:basedOn w:val="Normal"/>
    <w:next w:val="Normal"/>
    <w:link w:val="TitleChar"/>
    <w:uiPriority w:val="10"/>
    <w:qFormat/>
    <w:rsid w:val="00367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0E"/>
    <w:pPr>
      <w:spacing w:before="160"/>
      <w:jc w:val="center"/>
    </w:pPr>
    <w:rPr>
      <w:i/>
      <w:iCs/>
      <w:color w:val="404040" w:themeColor="text1" w:themeTint="BF"/>
    </w:rPr>
  </w:style>
  <w:style w:type="character" w:customStyle="1" w:styleId="QuoteChar">
    <w:name w:val="Quote Char"/>
    <w:basedOn w:val="DefaultParagraphFont"/>
    <w:link w:val="Quote"/>
    <w:uiPriority w:val="29"/>
    <w:rsid w:val="00367C0E"/>
    <w:rPr>
      <w:i/>
      <w:iCs/>
      <w:color w:val="404040" w:themeColor="text1" w:themeTint="BF"/>
    </w:rPr>
  </w:style>
  <w:style w:type="paragraph" w:styleId="ListParagraph">
    <w:name w:val="List Paragraph"/>
    <w:basedOn w:val="Normal"/>
    <w:uiPriority w:val="34"/>
    <w:qFormat/>
    <w:rsid w:val="00367C0E"/>
    <w:pPr>
      <w:ind w:left="720"/>
      <w:contextualSpacing/>
    </w:pPr>
  </w:style>
  <w:style w:type="character" w:styleId="IntenseEmphasis">
    <w:name w:val="Intense Emphasis"/>
    <w:basedOn w:val="DefaultParagraphFont"/>
    <w:uiPriority w:val="21"/>
    <w:qFormat/>
    <w:rsid w:val="00367C0E"/>
    <w:rPr>
      <w:i/>
      <w:iCs/>
      <w:color w:val="2F5496" w:themeColor="accent1" w:themeShade="BF"/>
    </w:rPr>
  </w:style>
  <w:style w:type="paragraph" w:styleId="IntenseQuote">
    <w:name w:val="Intense Quote"/>
    <w:basedOn w:val="Normal"/>
    <w:next w:val="Normal"/>
    <w:link w:val="IntenseQuoteChar"/>
    <w:uiPriority w:val="30"/>
    <w:qFormat/>
    <w:rsid w:val="00367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C0E"/>
    <w:rPr>
      <w:i/>
      <w:iCs/>
      <w:color w:val="2F5496" w:themeColor="accent1" w:themeShade="BF"/>
    </w:rPr>
  </w:style>
  <w:style w:type="character" w:styleId="IntenseReference">
    <w:name w:val="Intense Reference"/>
    <w:basedOn w:val="DefaultParagraphFont"/>
    <w:uiPriority w:val="32"/>
    <w:qFormat/>
    <w:rsid w:val="00367C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Efemena Okpa</dc:creator>
  <cp:keywords/>
  <dc:description/>
  <cp:lastModifiedBy>Efemena Okpa</cp:lastModifiedBy>
  <cp:revision>1</cp:revision>
  <dcterms:created xsi:type="dcterms:W3CDTF">2026-06-17T21:59:00Z</dcterms:created>
  <dcterms:modified xsi:type="dcterms:W3CDTF">2026-06-17T21:59:00Z</dcterms:modified>
</cp:coreProperties>
</file>