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95CFD" w14:textId="77777777" w:rsidR="00D73D02" w:rsidRDefault="00D73D02"/>
    <w:p w14:paraId="17915A63" w14:textId="77777777" w:rsidR="00D73D02" w:rsidRDefault="00D73D02"/>
    <w:p w14:paraId="3E4540D6" w14:textId="4C931698" w:rsidR="00D73D02" w:rsidRDefault="00D73D02"/>
    <w:p w14:paraId="41D6A31B" w14:textId="623C0D23" w:rsidR="00DD4350" w:rsidRDefault="00DD4350"/>
    <w:p w14:paraId="34D0D8BF" w14:textId="4B17F9D8" w:rsidR="00DD4350" w:rsidRDefault="00DD4350"/>
    <w:p w14:paraId="71D8A0DE" w14:textId="1EA056D7" w:rsidR="00DD4350" w:rsidRDefault="00DD4350"/>
    <w:p w14:paraId="0830490E" w14:textId="3F6F547C" w:rsidR="00DD4350" w:rsidRDefault="00DD4350"/>
    <w:p w14:paraId="2D08EDF1" w14:textId="4A9D08AC" w:rsidR="00DD4350" w:rsidRDefault="00DD4350"/>
    <w:p w14:paraId="05628B53" w14:textId="3087A4A7" w:rsidR="00DD4350" w:rsidRDefault="00DD4350"/>
    <w:p w14:paraId="5EC468AB" w14:textId="2FF04555" w:rsidR="00DD4350" w:rsidRDefault="00DD4350"/>
    <w:p w14:paraId="2FA0A638" w14:textId="77777777" w:rsidR="00DD4350" w:rsidRDefault="00DD4350"/>
    <w:p w14:paraId="01D5266A" w14:textId="77777777" w:rsidR="00D73D02" w:rsidRPr="00DD4350" w:rsidRDefault="00D73D02">
      <w:pPr>
        <w:rPr>
          <w:rFonts w:ascii="Times New Roman" w:hAnsi="Times New Roman" w:cs="Times New Roman"/>
          <w:sz w:val="28"/>
          <w:szCs w:val="28"/>
        </w:rPr>
      </w:pPr>
    </w:p>
    <w:p w14:paraId="692F6DB9" w14:textId="5B25429F" w:rsidR="00D73D02" w:rsidRPr="00DD4350" w:rsidRDefault="001C4D72">
      <w:pPr>
        <w:spacing w:after="200"/>
        <w:jc w:val="center"/>
        <w:rPr>
          <w:rFonts w:ascii="Times New Roman" w:hAnsi="Times New Roman" w:cs="Times New Roman"/>
          <w:sz w:val="28"/>
          <w:szCs w:val="28"/>
        </w:rPr>
      </w:pPr>
      <w:r w:rsidRPr="00DD4350">
        <w:rPr>
          <w:rFonts w:ascii="Times New Roman" w:hAnsi="Times New Roman" w:cs="Times New Roman"/>
          <w:b/>
          <w:bCs/>
          <w:sz w:val="28"/>
          <w:szCs w:val="28"/>
        </w:rPr>
        <w:t>ALY</w:t>
      </w:r>
      <w:r w:rsidR="007C11A0" w:rsidRPr="00DD4350">
        <w:rPr>
          <w:rFonts w:ascii="Times New Roman" w:hAnsi="Times New Roman" w:cs="Times New Roman"/>
          <w:b/>
          <w:bCs/>
          <w:sz w:val="28"/>
          <w:szCs w:val="28"/>
        </w:rPr>
        <w:t>6130:</w:t>
      </w:r>
      <w:r w:rsidRPr="00DD4350">
        <w:rPr>
          <w:rFonts w:ascii="Times New Roman" w:hAnsi="Times New Roman" w:cs="Times New Roman"/>
          <w:b/>
          <w:bCs/>
          <w:sz w:val="28"/>
          <w:szCs w:val="28"/>
        </w:rPr>
        <w:t xml:space="preserve"> Risk Management Analytics</w:t>
      </w:r>
    </w:p>
    <w:p w14:paraId="5B913B68" w14:textId="77777777" w:rsidR="00D73D02" w:rsidRPr="00DD4350" w:rsidRDefault="001C4D72">
      <w:pPr>
        <w:spacing w:after="160"/>
        <w:jc w:val="center"/>
        <w:rPr>
          <w:rFonts w:ascii="Times New Roman" w:hAnsi="Times New Roman" w:cs="Times New Roman"/>
          <w:sz w:val="28"/>
          <w:szCs w:val="28"/>
        </w:rPr>
      </w:pPr>
      <w:r w:rsidRPr="00DD4350">
        <w:rPr>
          <w:rFonts w:ascii="Times New Roman" w:hAnsi="Times New Roman" w:cs="Times New Roman"/>
          <w:b/>
          <w:bCs/>
          <w:sz w:val="28"/>
          <w:szCs w:val="28"/>
        </w:rPr>
        <w:t>In-Class Activity W2: Risk Identification</w:t>
      </w:r>
    </w:p>
    <w:p w14:paraId="6DA0F685" w14:textId="306C60DD" w:rsidR="00D73D02" w:rsidRPr="00DD4350" w:rsidRDefault="001C4D72">
      <w:pPr>
        <w:spacing w:after="100"/>
        <w:jc w:val="center"/>
        <w:rPr>
          <w:rFonts w:ascii="Times New Roman" w:hAnsi="Times New Roman" w:cs="Times New Roman"/>
          <w:sz w:val="28"/>
          <w:szCs w:val="28"/>
        </w:rPr>
      </w:pPr>
      <w:r w:rsidRPr="00DD4350">
        <w:rPr>
          <w:rFonts w:ascii="Times New Roman" w:hAnsi="Times New Roman" w:cs="Times New Roman"/>
          <w:i/>
          <w:iCs/>
          <w:sz w:val="28"/>
          <w:szCs w:val="28"/>
        </w:rPr>
        <w:t>CIBC</w:t>
      </w:r>
      <w:r w:rsidR="00DD4350" w:rsidRPr="00DD4350">
        <w:rPr>
          <w:rFonts w:ascii="Times New Roman" w:hAnsi="Times New Roman" w:cs="Times New Roman"/>
          <w:i/>
          <w:iCs/>
          <w:sz w:val="28"/>
          <w:szCs w:val="28"/>
        </w:rPr>
        <w:t>:</w:t>
      </w:r>
      <w:r w:rsidRPr="00DD4350">
        <w:rPr>
          <w:rFonts w:ascii="Times New Roman" w:hAnsi="Times New Roman" w:cs="Times New Roman"/>
          <w:i/>
          <w:iCs/>
          <w:sz w:val="28"/>
          <w:szCs w:val="28"/>
        </w:rPr>
        <w:t xml:space="preserve"> Adoption of a Digital Insurance Platform</w:t>
      </w:r>
    </w:p>
    <w:p w14:paraId="531E422E" w14:textId="77777777" w:rsidR="00D73D02" w:rsidRPr="00DD4350" w:rsidRDefault="00D73D02">
      <w:pPr>
        <w:rPr>
          <w:rFonts w:ascii="Times New Roman" w:hAnsi="Times New Roman" w:cs="Times New Roman"/>
          <w:sz w:val="28"/>
          <w:szCs w:val="28"/>
        </w:rPr>
      </w:pPr>
    </w:p>
    <w:p w14:paraId="35659D42" w14:textId="77777777" w:rsidR="00D73D02" w:rsidRPr="00DD4350" w:rsidRDefault="00D73D02">
      <w:pPr>
        <w:rPr>
          <w:rFonts w:ascii="Times New Roman" w:hAnsi="Times New Roman" w:cs="Times New Roman"/>
          <w:sz w:val="28"/>
          <w:szCs w:val="28"/>
        </w:rPr>
      </w:pPr>
    </w:p>
    <w:p w14:paraId="164ED01C" w14:textId="7EDD2728" w:rsidR="00D73D02" w:rsidRPr="00DD4350" w:rsidRDefault="00DD4350">
      <w:pPr>
        <w:spacing w:after="80"/>
        <w:jc w:val="center"/>
        <w:rPr>
          <w:rFonts w:ascii="Times New Roman" w:hAnsi="Times New Roman" w:cs="Times New Roman"/>
          <w:sz w:val="28"/>
          <w:szCs w:val="28"/>
        </w:rPr>
      </w:pPr>
      <w:r w:rsidRPr="00DD4350">
        <w:rPr>
          <w:rFonts w:ascii="Times New Roman" w:hAnsi="Times New Roman" w:cs="Times New Roman"/>
          <w:sz w:val="28"/>
          <w:szCs w:val="28"/>
        </w:rPr>
        <w:t xml:space="preserve">GROUP 7: </w:t>
      </w:r>
      <w:proofErr w:type="spellStart"/>
      <w:r w:rsidRPr="00DD4350">
        <w:rPr>
          <w:rFonts w:ascii="Times New Roman" w:hAnsi="Times New Roman" w:cs="Times New Roman"/>
          <w:sz w:val="28"/>
          <w:szCs w:val="28"/>
        </w:rPr>
        <w:t>Ottun</w:t>
      </w:r>
      <w:proofErr w:type="spellEnd"/>
      <w:r w:rsidRPr="00DD4350">
        <w:rPr>
          <w:rFonts w:ascii="Times New Roman" w:hAnsi="Times New Roman" w:cs="Times New Roman"/>
          <w:sz w:val="28"/>
          <w:szCs w:val="28"/>
        </w:rPr>
        <w:t xml:space="preserve"> </w:t>
      </w:r>
      <w:proofErr w:type="spellStart"/>
      <w:r w:rsidRPr="00DD4350">
        <w:rPr>
          <w:rFonts w:ascii="Times New Roman" w:hAnsi="Times New Roman" w:cs="Times New Roman"/>
          <w:sz w:val="28"/>
          <w:szCs w:val="28"/>
        </w:rPr>
        <w:t>Oluwatomi</w:t>
      </w:r>
      <w:proofErr w:type="spellEnd"/>
      <w:r w:rsidRPr="00DD4350">
        <w:rPr>
          <w:rFonts w:ascii="Times New Roman" w:hAnsi="Times New Roman" w:cs="Times New Roman"/>
          <w:sz w:val="28"/>
          <w:szCs w:val="28"/>
        </w:rPr>
        <w:t xml:space="preserve"> || </w:t>
      </w:r>
      <w:proofErr w:type="spellStart"/>
      <w:r w:rsidRPr="00DD4350">
        <w:rPr>
          <w:rFonts w:ascii="Times New Roman" w:hAnsi="Times New Roman" w:cs="Times New Roman"/>
          <w:sz w:val="28"/>
          <w:szCs w:val="28"/>
        </w:rPr>
        <w:t>Efemena</w:t>
      </w:r>
      <w:proofErr w:type="spellEnd"/>
      <w:r w:rsidRPr="00DD4350">
        <w:rPr>
          <w:rFonts w:ascii="Times New Roman" w:hAnsi="Times New Roman" w:cs="Times New Roman"/>
          <w:sz w:val="28"/>
          <w:szCs w:val="28"/>
        </w:rPr>
        <w:t xml:space="preserve"> </w:t>
      </w:r>
      <w:proofErr w:type="spellStart"/>
      <w:r w:rsidRPr="00DD4350">
        <w:rPr>
          <w:rFonts w:ascii="Times New Roman" w:hAnsi="Times New Roman" w:cs="Times New Roman"/>
          <w:sz w:val="28"/>
          <w:szCs w:val="28"/>
        </w:rPr>
        <w:t>Okpa</w:t>
      </w:r>
      <w:proofErr w:type="spellEnd"/>
      <w:r w:rsidRPr="00DD4350">
        <w:rPr>
          <w:rFonts w:ascii="Times New Roman" w:hAnsi="Times New Roman" w:cs="Times New Roman"/>
          <w:sz w:val="28"/>
          <w:szCs w:val="28"/>
        </w:rPr>
        <w:t xml:space="preserve"> || Anthony </w:t>
      </w:r>
      <w:proofErr w:type="spellStart"/>
      <w:r w:rsidRPr="00DD4350">
        <w:rPr>
          <w:rFonts w:ascii="Times New Roman" w:hAnsi="Times New Roman" w:cs="Times New Roman"/>
          <w:sz w:val="28"/>
          <w:szCs w:val="28"/>
        </w:rPr>
        <w:t>Onwuka</w:t>
      </w:r>
      <w:proofErr w:type="spellEnd"/>
    </w:p>
    <w:p w14:paraId="6892818F" w14:textId="77777777" w:rsidR="00D73D02" w:rsidRPr="00DD4350" w:rsidRDefault="001C4D72">
      <w:pPr>
        <w:spacing w:after="80"/>
        <w:jc w:val="center"/>
        <w:rPr>
          <w:rFonts w:ascii="Times New Roman" w:hAnsi="Times New Roman" w:cs="Times New Roman"/>
          <w:sz w:val="28"/>
          <w:szCs w:val="28"/>
        </w:rPr>
      </w:pPr>
      <w:r w:rsidRPr="00DD4350">
        <w:rPr>
          <w:rFonts w:ascii="Times New Roman" w:hAnsi="Times New Roman" w:cs="Times New Roman"/>
          <w:sz w:val="28"/>
          <w:szCs w:val="28"/>
        </w:rPr>
        <w:t>Course: ALY6130 | Spring 2026</w:t>
      </w:r>
    </w:p>
    <w:p w14:paraId="57813E6A" w14:textId="77777777" w:rsidR="00D73D02" w:rsidRPr="00DD4350" w:rsidRDefault="001C4D72">
      <w:pPr>
        <w:spacing w:after="80"/>
        <w:jc w:val="center"/>
        <w:rPr>
          <w:rFonts w:ascii="Times New Roman" w:hAnsi="Times New Roman" w:cs="Times New Roman"/>
          <w:sz w:val="28"/>
          <w:szCs w:val="28"/>
        </w:rPr>
      </w:pPr>
      <w:r w:rsidRPr="00DD4350">
        <w:rPr>
          <w:rFonts w:ascii="Times New Roman" w:hAnsi="Times New Roman" w:cs="Times New Roman"/>
          <w:sz w:val="28"/>
          <w:szCs w:val="28"/>
        </w:rPr>
        <w:t xml:space="preserve">Instructor: </w:t>
      </w:r>
      <w:proofErr w:type="spellStart"/>
      <w:r w:rsidRPr="00DD4350">
        <w:rPr>
          <w:rFonts w:ascii="Times New Roman" w:hAnsi="Times New Roman" w:cs="Times New Roman"/>
          <w:sz w:val="28"/>
          <w:szCs w:val="28"/>
        </w:rPr>
        <w:t>Abeba</w:t>
      </w:r>
      <w:proofErr w:type="spellEnd"/>
      <w:r w:rsidRPr="00DD4350">
        <w:rPr>
          <w:rFonts w:ascii="Times New Roman" w:hAnsi="Times New Roman" w:cs="Times New Roman"/>
          <w:sz w:val="28"/>
          <w:szCs w:val="28"/>
        </w:rPr>
        <w:t xml:space="preserve"> N. </w:t>
      </w:r>
      <w:proofErr w:type="spellStart"/>
      <w:r w:rsidRPr="00DD4350">
        <w:rPr>
          <w:rFonts w:ascii="Times New Roman" w:hAnsi="Times New Roman" w:cs="Times New Roman"/>
          <w:sz w:val="28"/>
          <w:szCs w:val="28"/>
        </w:rPr>
        <w:t>Turi</w:t>
      </w:r>
      <w:proofErr w:type="spellEnd"/>
    </w:p>
    <w:p w14:paraId="14443ED4" w14:textId="77777777" w:rsidR="00D73D02" w:rsidRPr="00DD4350" w:rsidRDefault="001C4D72">
      <w:pPr>
        <w:spacing w:after="80"/>
        <w:jc w:val="center"/>
        <w:rPr>
          <w:rFonts w:ascii="Times New Roman" w:hAnsi="Times New Roman" w:cs="Times New Roman"/>
          <w:sz w:val="28"/>
          <w:szCs w:val="28"/>
        </w:rPr>
      </w:pPr>
      <w:r w:rsidRPr="00DD4350">
        <w:rPr>
          <w:rFonts w:ascii="Times New Roman" w:hAnsi="Times New Roman" w:cs="Times New Roman"/>
          <w:sz w:val="28"/>
          <w:szCs w:val="28"/>
        </w:rPr>
        <w:t>Date: May 29, 2026</w:t>
      </w:r>
    </w:p>
    <w:p w14:paraId="192B0816" w14:textId="77777777" w:rsidR="00D73D02" w:rsidRDefault="00D73D02">
      <w:pPr>
        <w:sectPr w:rsidR="00D73D02">
          <w:headerReference w:type="default" r:id="rId7"/>
          <w:headerReference w:type="first" r:id="rId8"/>
          <w:pgSz w:w="12240" w:h="15840"/>
          <w:pgMar w:top="1440" w:right="1440" w:bottom="1440" w:left="1440" w:header="708" w:footer="708" w:gutter="0"/>
          <w:pgNumType w:start="1"/>
          <w:cols w:space="720"/>
          <w:titlePg/>
          <w:docGrid w:linePitch="360"/>
        </w:sectPr>
      </w:pPr>
    </w:p>
    <w:p w14:paraId="22E1E8E5" w14:textId="77777777" w:rsidR="00D73D02" w:rsidRPr="005E2D2B" w:rsidRDefault="001C4D72" w:rsidP="005E2D2B">
      <w:pPr>
        <w:pStyle w:val="Heading1"/>
        <w:jc w:val="both"/>
        <w:rPr>
          <w:rFonts w:ascii="Times New Roman" w:hAnsi="Times New Roman" w:cs="Times New Roman"/>
          <w:sz w:val="22"/>
          <w:szCs w:val="22"/>
        </w:rPr>
      </w:pPr>
      <w:r w:rsidRPr="005E2D2B">
        <w:rPr>
          <w:rFonts w:ascii="Times New Roman" w:hAnsi="Times New Roman" w:cs="Times New Roman"/>
          <w:sz w:val="22"/>
          <w:szCs w:val="22"/>
        </w:rPr>
        <w:lastRenderedPageBreak/>
        <w:t>1. Scenario Overview and Company Profile</w:t>
      </w:r>
    </w:p>
    <w:p w14:paraId="4FB055CF"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CIBC (Canadian Imperial Bank of Commerce) is one of Canada's five largest banks, with over 11 million clients and 150 years of operating history. Facing sustained pressure to grow non-interest revenu</w:t>
      </w:r>
      <w:r w:rsidRPr="005E2D2B">
        <w:rPr>
          <w:rFonts w:ascii="Times New Roman" w:hAnsi="Times New Roman" w:cs="Times New Roman"/>
          <w:sz w:val="22"/>
          <w:szCs w:val="22"/>
        </w:rPr>
        <w:t>e and compete with fast-moving fintech and insurtech companies, CIBC is acquiring a cloud-native digital insurance platform. Once integrated into its existing mobile app and online banking portal, the platform will allow clients to purchase, manage, and fi</w:t>
      </w:r>
      <w:r w:rsidRPr="005E2D2B">
        <w:rPr>
          <w:rFonts w:ascii="Times New Roman" w:hAnsi="Times New Roman" w:cs="Times New Roman"/>
          <w:sz w:val="22"/>
          <w:szCs w:val="22"/>
        </w:rPr>
        <w:t>le claims on life, home, auto, and health insurance products through the same digital channels they use for everyday banking. This activity applies ERM tools to this scenario under option (2): adoption of new technology.</w:t>
      </w:r>
    </w:p>
    <w:p w14:paraId="3AD8BE04" w14:textId="77777777" w:rsidR="00D73D02" w:rsidRPr="005E2D2B" w:rsidRDefault="00D73D02" w:rsidP="005E2D2B">
      <w:pPr>
        <w:jc w:val="both"/>
        <w:rPr>
          <w:rFonts w:ascii="Times New Roman" w:hAnsi="Times New Roman" w:cs="Times New Roman"/>
          <w:sz w:val="22"/>
          <w:szCs w:val="22"/>
        </w:rPr>
      </w:pPr>
    </w:p>
    <w:p w14:paraId="27FE74CC" w14:textId="77777777" w:rsidR="00D73D02" w:rsidRPr="005E2D2B" w:rsidRDefault="001C4D72">
      <w:pPr>
        <w:pStyle w:val="Heading2"/>
        <w:rPr>
          <w:rFonts w:ascii="Times New Roman" w:hAnsi="Times New Roman" w:cs="Times New Roman"/>
          <w:sz w:val="22"/>
          <w:szCs w:val="22"/>
        </w:rPr>
      </w:pPr>
      <w:r w:rsidRPr="005E2D2B">
        <w:rPr>
          <w:rFonts w:ascii="Times New Roman" w:hAnsi="Times New Roman" w:cs="Times New Roman"/>
          <w:sz w:val="22"/>
          <w:szCs w:val="22"/>
        </w:rPr>
        <w:t>Company Profile and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73D02" w14:paraId="23D665E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67D38BAD"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I</w:t>
            </w:r>
            <w:r w:rsidRPr="005E2D2B">
              <w:rPr>
                <w:rFonts w:ascii="Times New Roman" w:hAnsi="Times New Roman" w:cs="Times New Roman"/>
                <w:b/>
                <w:bCs/>
                <w:color w:val="FFFFFF"/>
                <w:sz w:val="18"/>
                <w:szCs w:val="18"/>
              </w:rPr>
              <w:t>ndustry</w:t>
            </w:r>
          </w:p>
        </w:tc>
        <w:tc>
          <w:tcPr>
            <w:tcW w:w="716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39A25652"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Financial Services — Banking and Insurance</w:t>
            </w:r>
          </w:p>
        </w:tc>
      </w:tr>
      <w:tr w:rsidR="00D73D02" w14:paraId="4553C77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731007C9"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Headquarters</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07A50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Toronto, Ontario, Canada</w:t>
            </w:r>
          </w:p>
        </w:tc>
      </w:tr>
      <w:tr w:rsidR="00D73D02" w14:paraId="4DF1CA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3A177DE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Revenue (FY2023)</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464C81"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Approximately CAD $23.6 billion</w:t>
            </w:r>
          </w:p>
        </w:tc>
      </w:tr>
      <w:tr w:rsidR="00D73D02" w14:paraId="2D889FB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4FE60DF8"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Client base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B2B2F8"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11 million+ personal and business clients</w:t>
            </w:r>
          </w:p>
        </w:tc>
      </w:tr>
      <w:tr w:rsidR="00D73D02" w14:paraId="1F14D2D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6D635411"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Regulatory bodies</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9CF94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OSFI, FCAC, FINTRAC, Provincial Insurance Regulators, Privacy Commissioner of Canada (PIPEDA / Bill C-27)</w:t>
            </w:r>
          </w:p>
        </w:tc>
      </w:tr>
      <w:tr w:rsidR="00D73D02" w14:paraId="268EE78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7CE87F9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Strategic goals</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7340E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Grow digital revenue; deepen household wallet share; compete with fintech and insurtech disruptors; improve client experience through</w:t>
            </w:r>
            <w:r w:rsidRPr="005E2D2B">
              <w:rPr>
                <w:rFonts w:ascii="Times New Roman" w:hAnsi="Times New Roman" w:cs="Times New Roman"/>
                <w:sz w:val="18"/>
                <w:szCs w:val="18"/>
              </w:rPr>
              <w:t xml:space="preserve"> integrated financial services</w:t>
            </w:r>
          </w:p>
        </w:tc>
      </w:tr>
      <w:tr w:rsidR="00D73D02" w14:paraId="042BE2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535492E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Key stakeholders</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95CED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CIBC Board of Directors; CEO and Executive Leadership; retail and small business clients; provincial insurance regulators; OSFI; technology vendors and cloud providers; Internal Audit; employees and unions; shareholders and market analysts; Privacy Commiss</w:t>
            </w:r>
            <w:r w:rsidRPr="005E2D2B">
              <w:rPr>
                <w:rFonts w:ascii="Times New Roman" w:hAnsi="Times New Roman" w:cs="Times New Roman"/>
                <w:sz w:val="18"/>
                <w:szCs w:val="18"/>
              </w:rPr>
              <w:t>ioner of Canada</w:t>
            </w:r>
          </w:p>
        </w:tc>
      </w:tr>
      <w:tr w:rsidR="00D73D02" w14:paraId="7609392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10" w:type="dxa"/>
              <w:bottom w:w="80" w:type="dxa"/>
              <w:right w:w="110" w:type="dxa"/>
            </w:tcMar>
          </w:tcPr>
          <w:p w14:paraId="22954445"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Goals and objectives</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68C98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Increase non-interest revenue by 15% over three years; achieve 8% client adoption of digital insurance products within 24 months; launch platform with full OSFI and provincial regulatory compliance; maintain CIBC's inv</w:t>
            </w:r>
            <w:r w:rsidRPr="005E2D2B">
              <w:rPr>
                <w:rFonts w:ascii="Times New Roman" w:hAnsi="Times New Roman" w:cs="Times New Roman"/>
                <w:sz w:val="18"/>
                <w:szCs w:val="18"/>
              </w:rPr>
              <w:t>estment-grade credit rating throughout the acquisition</w:t>
            </w:r>
          </w:p>
        </w:tc>
      </w:tr>
    </w:tbl>
    <w:p w14:paraId="5AE294F0" w14:textId="77777777" w:rsidR="00D73D02" w:rsidRDefault="00D73D02"/>
    <w:p w14:paraId="41789A1F" w14:textId="77777777" w:rsidR="00D73D02" w:rsidRDefault="001C4D72" w:rsidP="005E2D2B">
      <w:pPr>
        <w:pStyle w:val="Heading2"/>
        <w:jc w:val="both"/>
      </w:pPr>
      <w:r>
        <w:t>Situation Assessment — Market Competition</w:t>
      </w:r>
    </w:p>
    <w:p w14:paraId="4ABD766C" w14:textId="6209FE23" w:rsidR="00D73D02" w:rsidRDefault="001C4D72" w:rsidP="005E2D2B">
      <w:pPr>
        <w:spacing w:before="80" w:after="80"/>
        <w:jc w:val="both"/>
      </w:pPr>
      <w:r>
        <w:t>The Canadian digital insurance market is growing and underpenetrated by banks. Insurtech companies such as Lemonade and Policy</w:t>
      </w:r>
      <w:r w:rsidR="00DD4350">
        <w:t xml:space="preserve"> </w:t>
      </w:r>
      <w:r>
        <w:t>Me offer lean, mobile-first ins</w:t>
      </w:r>
      <w:r>
        <w:t>urance products with low overhead and aggressive pricing. Traditional insurers including Manulife, Sun Life, and Intact Financial are also investing heavily in digital channels. CIBC's platform would make it one of the first Canadian banks to offer fully i</w:t>
      </w:r>
      <w:r>
        <w:t xml:space="preserve">ntegrated banking and insurance through a single digital </w:t>
      </w:r>
      <w:proofErr w:type="gramStart"/>
      <w:r>
        <w:t xml:space="preserve">interface </w:t>
      </w:r>
      <w:r w:rsidR="00DD4350">
        <w:t>,</w:t>
      </w:r>
      <w:proofErr w:type="gramEnd"/>
      <w:r>
        <w:t xml:space="preserve"> a significant competitive opportunity, but one that places CIBC in a market with dynamics it has not previously navigated.</w:t>
      </w:r>
    </w:p>
    <w:p w14:paraId="6174DAEF" w14:textId="77777777" w:rsidR="00D73D02" w:rsidRDefault="00D73D02" w:rsidP="005E2D2B">
      <w:pPr>
        <w:jc w:val="both"/>
      </w:pPr>
    </w:p>
    <w:p w14:paraId="5AFFEA86" w14:textId="77777777" w:rsidR="00D73D02" w:rsidRDefault="001C4D72" w:rsidP="005E2D2B">
      <w:pPr>
        <w:pStyle w:val="Heading1"/>
        <w:jc w:val="both"/>
      </w:pPr>
      <w:r>
        <w:t>2. Brainstorming and SWOT Analysis with ERM Focus</w:t>
      </w:r>
    </w:p>
    <w:p w14:paraId="26D4FF82" w14:textId="77777777" w:rsidR="00D73D02" w:rsidRDefault="001C4D72" w:rsidP="005E2D2B">
      <w:pPr>
        <w:spacing w:before="80" w:after="80"/>
        <w:jc w:val="both"/>
      </w:pPr>
      <w:r>
        <w:t>To identify p</w:t>
      </w:r>
      <w:r>
        <w:t>otential risks, three structured brainstorming techniques were used: PESTLE analysis (Political, Economic, Social, Technological, Legal, Environmental) to examine the external environment; a simulated risk workshop to surface internal operational and gover</w:t>
      </w:r>
      <w:r>
        <w:t>nance concerns; and scenario planning to stress-test the integration timeline against adverse market conditions. These techniques produced both negative risks (threats to avoid or mitigate) and positive risks (opportunities to exploit or enhance). The find</w:t>
      </w:r>
      <w:r>
        <w:t>ings are organised below in a SWOT matrix with an ERM focus.</w:t>
      </w:r>
    </w:p>
    <w:p w14:paraId="545AD61F" w14:textId="77777777" w:rsidR="00D73D02" w:rsidRDefault="00D73D02"/>
    <w:p w14:paraId="3BD5506F" w14:textId="77777777" w:rsidR="00D73D02" w:rsidRPr="005E2D2B" w:rsidRDefault="001C4D72">
      <w:pPr>
        <w:pStyle w:val="Heading2"/>
        <w:rPr>
          <w:rFonts w:ascii="Times New Roman" w:hAnsi="Times New Roman" w:cs="Times New Roman"/>
          <w:sz w:val="22"/>
          <w:szCs w:val="22"/>
        </w:rPr>
      </w:pPr>
      <w:r w:rsidRPr="005E2D2B">
        <w:rPr>
          <w:rFonts w:ascii="Times New Roman" w:hAnsi="Times New Roman" w:cs="Times New Roman"/>
          <w:sz w:val="22"/>
          <w:szCs w:val="22"/>
        </w:rPr>
        <w:t>SWOT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3D02" w:rsidRPr="005E2D2B" w14:paraId="006A916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017B7EC1"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STRENGTHS (Internal — Positive)</w:t>
            </w:r>
          </w:p>
        </w:tc>
        <w:tc>
          <w:tcPr>
            <w:tcW w:w="468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79BA7013"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WEAKNESSES (Internal — Negative)</w:t>
            </w:r>
          </w:p>
        </w:tc>
      </w:tr>
      <w:tr w:rsidR="00D73D02" w:rsidRPr="005E2D2B" w14:paraId="1D12864D"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59BFAB" w14:textId="39EC3D26"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 Strong financial position and investment-grade credit rating giving CIBC real capacity to fund the acquisition and absorb early integration costs.  2. An established base of 11 million+ Canadian clients who already trust CIBC, providing a natural audien</w:t>
            </w:r>
            <w:r w:rsidRPr="005E2D2B">
              <w:rPr>
                <w:rFonts w:ascii="Times New Roman" w:hAnsi="Times New Roman" w:cs="Times New Roman"/>
                <w:sz w:val="18"/>
                <w:szCs w:val="18"/>
              </w:rPr>
              <w:t xml:space="preserve">ce for cross-selling insurance without costly cold acquisition.  3. Deep regulatory experience managing relationships with OSFI and provincial </w:t>
            </w:r>
            <w:r w:rsidR="00DD4350" w:rsidRPr="005E2D2B">
              <w:rPr>
                <w:rFonts w:ascii="Times New Roman" w:hAnsi="Times New Roman" w:cs="Times New Roman"/>
                <w:sz w:val="18"/>
                <w:szCs w:val="18"/>
              </w:rPr>
              <w:t>regulators, essential</w:t>
            </w:r>
            <w:r w:rsidRPr="005E2D2B">
              <w:rPr>
                <w:rFonts w:ascii="Times New Roman" w:hAnsi="Times New Roman" w:cs="Times New Roman"/>
                <w:sz w:val="18"/>
                <w:szCs w:val="18"/>
              </w:rPr>
              <w:t xml:space="preserve"> when entering a new licensed product category for the first time.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1AB805"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 Merging legacy core b</w:t>
            </w:r>
            <w:r w:rsidRPr="005E2D2B">
              <w:rPr>
                <w:rFonts w:ascii="Times New Roman" w:hAnsi="Times New Roman" w:cs="Times New Roman"/>
                <w:sz w:val="18"/>
                <w:szCs w:val="18"/>
              </w:rPr>
              <w:t>anking infrastructure with a cloud-native insurance platform will be technically difficult and expensive, with real potential for cost overruns and delays.  2. Greater digital dependence increases vulnerability — any service disruption hits more clients si</w:t>
            </w:r>
            <w:r w:rsidRPr="005E2D2B">
              <w:rPr>
                <w:rFonts w:ascii="Times New Roman" w:hAnsi="Times New Roman" w:cs="Times New Roman"/>
                <w:sz w:val="18"/>
                <w:szCs w:val="18"/>
              </w:rPr>
              <w:t>multaneously than traditional banking outages ever did.  3. Employees rooted in traditional banking workflows may resist the cultural and operational changes required, slowing rollout and reducing productivity during transition.</w:t>
            </w:r>
          </w:p>
        </w:tc>
      </w:tr>
      <w:tr w:rsidR="00D73D02" w:rsidRPr="005E2D2B" w14:paraId="4FD6A29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6AB6F82F"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OPPORTUNITIES (External — Positive Risks)</w:t>
            </w:r>
          </w:p>
        </w:tc>
        <w:tc>
          <w:tcPr>
            <w:tcW w:w="468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085C1678"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THREATS (External — Negative Risks)</w:t>
            </w:r>
          </w:p>
        </w:tc>
      </w:tr>
      <w:tr w:rsidR="00D73D02" w:rsidRPr="005E2D2B" w14:paraId="4CAED0A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27EF50" w14:textId="0D26EF3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1. Canada's digital insurance market is growing and underpenetrated by banks — an early move could lock in meaningful market share before the space is crowded. (POSITIVE </w:t>
            </w:r>
            <w:r w:rsidR="00DD4350" w:rsidRPr="005E2D2B">
              <w:rPr>
                <w:rFonts w:ascii="Times New Roman" w:hAnsi="Times New Roman" w:cs="Times New Roman"/>
                <w:sz w:val="18"/>
                <w:szCs w:val="18"/>
              </w:rPr>
              <w:t>RISK) 2</w:t>
            </w:r>
            <w:r w:rsidRPr="005E2D2B">
              <w:rPr>
                <w:rFonts w:ascii="Times New Roman" w:hAnsi="Times New Roman" w:cs="Times New Roman"/>
                <w:sz w:val="18"/>
                <w:szCs w:val="18"/>
              </w:rPr>
              <w:t>. 11 million existing banking relationships give advisors a practical reason f</w:t>
            </w:r>
            <w:r w:rsidRPr="005E2D2B">
              <w:rPr>
                <w:rFonts w:ascii="Times New Roman" w:hAnsi="Times New Roman" w:cs="Times New Roman"/>
                <w:sz w:val="18"/>
                <w:szCs w:val="18"/>
              </w:rPr>
              <w:t xml:space="preserve">or deeper financial conversations, increasing revenue per household organically. (POSITIVE </w:t>
            </w:r>
            <w:r w:rsidR="00DD4350" w:rsidRPr="005E2D2B">
              <w:rPr>
                <w:rFonts w:ascii="Times New Roman" w:hAnsi="Times New Roman" w:cs="Times New Roman"/>
                <w:sz w:val="18"/>
                <w:szCs w:val="18"/>
              </w:rPr>
              <w:t>RISK) 3</w:t>
            </w:r>
            <w:r w:rsidRPr="005E2D2B">
              <w:rPr>
                <w:rFonts w:ascii="Times New Roman" w:hAnsi="Times New Roman" w:cs="Times New Roman"/>
                <w:sz w:val="18"/>
                <w:szCs w:val="18"/>
              </w:rPr>
              <w:t>. Clients expect to manage all financial products from one mobile interface — a well-executed platform differentiates CIBC from both traditional insurers and</w:t>
            </w:r>
            <w:r w:rsidRPr="005E2D2B">
              <w:rPr>
                <w:rFonts w:ascii="Times New Roman" w:hAnsi="Times New Roman" w:cs="Times New Roman"/>
                <w:sz w:val="18"/>
                <w:szCs w:val="18"/>
              </w:rPr>
              <w:t xml:space="preserve"> digital-only competitors. (POSITIVE RISK)</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14D151" w14:textId="6B2AC9C5"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 Holding combined banking and insurance data creates a high-value cyberattack target at a scale CIBC has not managed before, with serious regulatory and reputational consequences if breached. (NEGATIVE RISK)  2.</w:t>
            </w:r>
            <w:r w:rsidRPr="005E2D2B">
              <w:rPr>
                <w:rFonts w:ascii="Times New Roman" w:hAnsi="Times New Roman" w:cs="Times New Roman"/>
                <w:sz w:val="18"/>
                <w:szCs w:val="18"/>
              </w:rPr>
              <w:t xml:space="preserve"> Insurtech competitors like Lemonade and Policy</w:t>
            </w:r>
            <w:r w:rsidR="00DD4350">
              <w:rPr>
                <w:rFonts w:ascii="Times New Roman" w:hAnsi="Times New Roman" w:cs="Times New Roman"/>
                <w:sz w:val="18"/>
                <w:szCs w:val="18"/>
              </w:rPr>
              <w:t xml:space="preserve"> </w:t>
            </w:r>
            <w:r w:rsidRPr="005E2D2B">
              <w:rPr>
                <w:rFonts w:ascii="Times New Roman" w:hAnsi="Times New Roman" w:cs="Times New Roman"/>
                <w:sz w:val="18"/>
                <w:szCs w:val="18"/>
              </w:rPr>
              <w:t xml:space="preserve">Me operate with lean structures, modern infrastructure, and aggressive pricing — a competitive environment unlike traditional banking where CIBC holds dominant position. (NEGATIVE </w:t>
            </w:r>
            <w:r w:rsidR="00DD4350" w:rsidRPr="005E2D2B">
              <w:rPr>
                <w:rFonts w:ascii="Times New Roman" w:hAnsi="Times New Roman" w:cs="Times New Roman"/>
                <w:sz w:val="18"/>
                <w:szCs w:val="18"/>
              </w:rPr>
              <w:t>RISK) 3</w:t>
            </w:r>
            <w:r w:rsidRPr="005E2D2B">
              <w:rPr>
                <w:rFonts w:ascii="Times New Roman" w:hAnsi="Times New Roman" w:cs="Times New Roman"/>
                <w:sz w:val="18"/>
                <w:szCs w:val="18"/>
              </w:rPr>
              <w:t>. The regulatory land</w:t>
            </w:r>
            <w:r w:rsidRPr="005E2D2B">
              <w:rPr>
                <w:rFonts w:ascii="Times New Roman" w:hAnsi="Times New Roman" w:cs="Times New Roman"/>
                <w:sz w:val="18"/>
                <w:szCs w:val="18"/>
              </w:rPr>
              <w:t>scape governing digital insurance, data privacy (PIPEDA, Bill C-27), and AI-assisted underwriting is shifting rapidly, with new obligations potentially arising after the platform goes live. (NEGATIVE RISK)</w:t>
            </w:r>
          </w:p>
        </w:tc>
      </w:tr>
    </w:tbl>
    <w:p w14:paraId="6986F09A" w14:textId="77777777" w:rsidR="00D73D02" w:rsidRPr="005E2D2B" w:rsidRDefault="00D73D02">
      <w:pPr>
        <w:rPr>
          <w:rFonts w:ascii="Times New Roman" w:hAnsi="Times New Roman" w:cs="Times New Roman"/>
        </w:rPr>
      </w:pPr>
    </w:p>
    <w:p w14:paraId="78C939A8" w14:textId="77777777" w:rsidR="00D73D02" w:rsidRPr="005E2D2B" w:rsidRDefault="001C4D72">
      <w:pPr>
        <w:pStyle w:val="Heading2"/>
        <w:rPr>
          <w:rFonts w:ascii="Times New Roman" w:hAnsi="Times New Roman" w:cs="Times New Roman"/>
          <w:sz w:val="22"/>
          <w:szCs w:val="22"/>
        </w:rPr>
      </w:pPr>
      <w:r w:rsidRPr="005E2D2B">
        <w:rPr>
          <w:rFonts w:ascii="Times New Roman" w:hAnsi="Times New Roman" w:cs="Times New Roman"/>
          <w:sz w:val="22"/>
          <w:szCs w:val="22"/>
        </w:rPr>
        <w:t>Risk Categories Identified from Brainstorming</w:t>
      </w:r>
    </w:p>
    <w:p w14:paraId="5AB5C995" w14:textId="77777777" w:rsidR="00D73D02" w:rsidRPr="005E2D2B" w:rsidRDefault="001C4D72">
      <w:pPr>
        <w:spacing w:before="80" w:after="80"/>
        <w:rPr>
          <w:rFonts w:ascii="Times New Roman" w:hAnsi="Times New Roman" w:cs="Times New Roman"/>
          <w:sz w:val="22"/>
          <w:szCs w:val="22"/>
        </w:rPr>
      </w:pPr>
      <w:r w:rsidRPr="005E2D2B">
        <w:rPr>
          <w:rFonts w:ascii="Times New Roman" w:hAnsi="Times New Roman" w:cs="Times New Roman"/>
          <w:sz w:val="22"/>
          <w:szCs w:val="22"/>
        </w:rPr>
        <w:t>Ba</w:t>
      </w:r>
      <w:r w:rsidRPr="005E2D2B">
        <w:rPr>
          <w:rFonts w:ascii="Times New Roman" w:hAnsi="Times New Roman" w:cs="Times New Roman"/>
          <w:sz w:val="22"/>
          <w:szCs w:val="22"/>
        </w:rPr>
        <w:t>sed on the SWOT and brainstorming, six categories of competitive risks were identified:</w:t>
      </w:r>
    </w:p>
    <w:p w14:paraId="0B03342C" w14:textId="77777777" w:rsidR="00D73D02" w:rsidRPr="005E2D2B" w:rsidRDefault="001C4D72">
      <w:pPr>
        <w:pStyle w:val="ListParagraph"/>
        <w:numPr>
          <w:ilvl w:val="0"/>
          <w:numId w:val="2"/>
        </w:numPr>
        <w:spacing w:before="60" w:after="60"/>
        <w:rPr>
          <w:rFonts w:ascii="Times New Roman" w:hAnsi="Times New Roman" w:cs="Times New Roman"/>
          <w:sz w:val="22"/>
          <w:szCs w:val="22"/>
        </w:rPr>
      </w:pPr>
      <w:r w:rsidRPr="005E2D2B">
        <w:rPr>
          <w:rFonts w:ascii="Times New Roman" w:hAnsi="Times New Roman" w:cs="Times New Roman"/>
          <w:sz w:val="22"/>
          <w:szCs w:val="22"/>
        </w:rPr>
        <w:t>Cybersecurity and Data Privacy Risk — negative risk arising from the expanded data environment</w:t>
      </w:r>
    </w:p>
    <w:p w14:paraId="14F523B3" w14:textId="77777777" w:rsidR="00D73D02" w:rsidRPr="005E2D2B" w:rsidRDefault="001C4D72">
      <w:pPr>
        <w:pStyle w:val="ListParagraph"/>
        <w:numPr>
          <w:ilvl w:val="0"/>
          <w:numId w:val="2"/>
        </w:numPr>
        <w:spacing w:before="60" w:after="60"/>
        <w:rPr>
          <w:rFonts w:ascii="Times New Roman" w:hAnsi="Times New Roman" w:cs="Times New Roman"/>
          <w:sz w:val="22"/>
          <w:szCs w:val="22"/>
        </w:rPr>
      </w:pPr>
      <w:r w:rsidRPr="005E2D2B">
        <w:rPr>
          <w:rFonts w:ascii="Times New Roman" w:hAnsi="Times New Roman" w:cs="Times New Roman"/>
          <w:sz w:val="22"/>
          <w:szCs w:val="22"/>
        </w:rPr>
        <w:t>System Integration and Technology Risk — negative risk from technical inc</w:t>
      </w:r>
      <w:r w:rsidRPr="005E2D2B">
        <w:rPr>
          <w:rFonts w:ascii="Times New Roman" w:hAnsi="Times New Roman" w:cs="Times New Roman"/>
          <w:sz w:val="22"/>
          <w:szCs w:val="22"/>
        </w:rPr>
        <w:t>ompatibility during integration</w:t>
      </w:r>
    </w:p>
    <w:p w14:paraId="1B6747D9" w14:textId="77777777" w:rsidR="00D73D02" w:rsidRPr="005E2D2B" w:rsidRDefault="001C4D72">
      <w:pPr>
        <w:pStyle w:val="ListParagraph"/>
        <w:numPr>
          <w:ilvl w:val="0"/>
          <w:numId w:val="2"/>
        </w:numPr>
        <w:spacing w:before="60" w:after="60"/>
        <w:rPr>
          <w:rFonts w:ascii="Times New Roman" w:hAnsi="Times New Roman" w:cs="Times New Roman"/>
          <w:sz w:val="22"/>
          <w:szCs w:val="22"/>
        </w:rPr>
      </w:pPr>
      <w:r w:rsidRPr="005E2D2B">
        <w:rPr>
          <w:rFonts w:ascii="Times New Roman" w:hAnsi="Times New Roman" w:cs="Times New Roman"/>
          <w:sz w:val="22"/>
          <w:szCs w:val="22"/>
        </w:rPr>
        <w:t>Regulatory and Compliance Risk — negative risk from shifting legal obligations across provincial and federal jurisdictions</w:t>
      </w:r>
    </w:p>
    <w:p w14:paraId="643BFDB0" w14:textId="77777777" w:rsidR="00D73D02" w:rsidRPr="005E2D2B" w:rsidRDefault="001C4D72">
      <w:pPr>
        <w:pStyle w:val="ListParagraph"/>
        <w:numPr>
          <w:ilvl w:val="0"/>
          <w:numId w:val="2"/>
        </w:numPr>
        <w:spacing w:before="60" w:after="60"/>
        <w:rPr>
          <w:rFonts w:ascii="Times New Roman" w:hAnsi="Times New Roman" w:cs="Times New Roman"/>
          <w:sz w:val="22"/>
          <w:szCs w:val="22"/>
        </w:rPr>
      </w:pPr>
      <w:r w:rsidRPr="005E2D2B">
        <w:rPr>
          <w:rFonts w:ascii="Times New Roman" w:hAnsi="Times New Roman" w:cs="Times New Roman"/>
          <w:sz w:val="22"/>
          <w:szCs w:val="22"/>
        </w:rPr>
        <w:t>Market Positioning and First-Mover Risk — positive risk of capturing market share if CIBC moves quick</w:t>
      </w:r>
      <w:r w:rsidRPr="005E2D2B">
        <w:rPr>
          <w:rFonts w:ascii="Times New Roman" w:hAnsi="Times New Roman" w:cs="Times New Roman"/>
          <w:sz w:val="22"/>
          <w:szCs w:val="22"/>
        </w:rPr>
        <w:t>ly; negative risk if it moves slowly</w:t>
      </w:r>
    </w:p>
    <w:p w14:paraId="6C802911" w14:textId="77777777" w:rsidR="00D73D02" w:rsidRPr="005E2D2B" w:rsidRDefault="001C4D72">
      <w:pPr>
        <w:pStyle w:val="ListParagraph"/>
        <w:numPr>
          <w:ilvl w:val="0"/>
          <w:numId w:val="2"/>
        </w:numPr>
        <w:spacing w:before="60" w:after="60"/>
        <w:rPr>
          <w:rFonts w:ascii="Times New Roman" w:hAnsi="Times New Roman" w:cs="Times New Roman"/>
          <w:sz w:val="22"/>
          <w:szCs w:val="22"/>
        </w:rPr>
      </w:pPr>
      <w:r w:rsidRPr="005E2D2B">
        <w:rPr>
          <w:rFonts w:ascii="Times New Roman" w:hAnsi="Times New Roman" w:cs="Times New Roman"/>
          <w:sz w:val="22"/>
          <w:szCs w:val="22"/>
        </w:rPr>
        <w:t>Cross-Sell Revenue and Client Adoption Risk — positive risk of deepening household revenue through existing relationships</w:t>
      </w:r>
    </w:p>
    <w:p w14:paraId="0BB4731B" w14:textId="77777777" w:rsidR="00D73D02" w:rsidRPr="005E2D2B" w:rsidRDefault="001C4D72">
      <w:pPr>
        <w:pStyle w:val="ListParagraph"/>
        <w:numPr>
          <w:ilvl w:val="0"/>
          <w:numId w:val="2"/>
        </w:numPr>
        <w:spacing w:before="60" w:after="60"/>
        <w:rPr>
          <w:rFonts w:ascii="Times New Roman" w:hAnsi="Times New Roman" w:cs="Times New Roman"/>
          <w:sz w:val="22"/>
          <w:szCs w:val="22"/>
        </w:rPr>
      </w:pPr>
      <w:r w:rsidRPr="005E2D2B">
        <w:rPr>
          <w:rFonts w:ascii="Times New Roman" w:hAnsi="Times New Roman" w:cs="Times New Roman"/>
          <w:sz w:val="22"/>
          <w:szCs w:val="22"/>
        </w:rPr>
        <w:t>Brand and Reputational Risk — positive risk of establishing CIBC as an integrated financial services leader; negative if a breach or failure damages the brand at launch</w:t>
      </w:r>
    </w:p>
    <w:p w14:paraId="24B08516" w14:textId="77777777" w:rsidR="00D73D02" w:rsidRPr="005E2D2B" w:rsidRDefault="00D73D02">
      <w:pPr>
        <w:rPr>
          <w:rFonts w:ascii="Times New Roman" w:hAnsi="Times New Roman" w:cs="Times New Roman"/>
          <w:sz w:val="22"/>
          <w:szCs w:val="22"/>
        </w:rPr>
      </w:pPr>
    </w:p>
    <w:p w14:paraId="22EE7243" w14:textId="77777777" w:rsidR="00D73D02" w:rsidRPr="005E2D2B" w:rsidRDefault="001C4D72">
      <w:pPr>
        <w:pStyle w:val="Heading1"/>
        <w:rPr>
          <w:rFonts w:ascii="Times New Roman" w:hAnsi="Times New Roman" w:cs="Times New Roman"/>
          <w:sz w:val="22"/>
          <w:szCs w:val="22"/>
        </w:rPr>
      </w:pPr>
      <w:r w:rsidRPr="005E2D2B">
        <w:rPr>
          <w:rFonts w:ascii="Times New Roman" w:hAnsi="Times New Roman" w:cs="Times New Roman"/>
          <w:sz w:val="22"/>
          <w:szCs w:val="22"/>
        </w:rPr>
        <w:t>3. Problem Statements (Translated from SWOT Threats and Opportunities)</w:t>
      </w:r>
    </w:p>
    <w:p w14:paraId="30A242F1"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Each of the three primary risk areas is translated into a problem statement before filling the KRI worksheet. Each statement identifies the specific competitive pressure (threat or opportunity from SWOT) and explains why it requires monitoring now.</w:t>
      </w:r>
    </w:p>
    <w:p w14:paraId="5BEEDFC8" w14:textId="77777777" w:rsidR="00D73D02" w:rsidRPr="005E2D2B" w:rsidRDefault="00D73D02">
      <w:pPr>
        <w:rPr>
          <w:rFonts w:ascii="Times New Roman" w:hAnsi="Times New Roman" w:cs="Times New Roman"/>
          <w:sz w:val="22"/>
          <w:szCs w:val="22"/>
        </w:rPr>
      </w:pPr>
    </w:p>
    <w:p w14:paraId="760BD963" w14:textId="77777777" w:rsidR="00D73D02" w:rsidRPr="005E2D2B" w:rsidRDefault="001C4D72">
      <w:pPr>
        <w:spacing w:before="180" w:after="80"/>
        <w:rPr>
          <w:rFonts w:ascii="Times New Roman" w:hAnsi="Times New Roman" w:cs="Times New Roman"/>
          <w:sz w:val="22"/>
          <w:szCs w:val="22"/>
        </w:rPr>
      </w:pPr>
      <w:r w:rsidRPr="005E2D2B">
        <w:rPr>
          <w:rFonts w:ascii="Times New Roman" w:hAnsi="Times New Roman" w:cs="Times New Roman"/>
          <w:b/>
          <w:bCs/>
          <w:sz w:val="22"/>
          <w:szCs w:val="22"/>
          <w:u w:val="single"/>
        </w:rPr>
        <w:t>Proble</w:t>
      </w:r>
      <w:r w:rsidRPr="005E2D2B">
        <w:rPr>
          <w:rFonts w:ascii="Times New Roman" w:hAnsi="Times New Roman" w:cs="Times New Roman"/>
          <w:b/>
          <w:bCs/>
          <w:sz w:val="22"/>
          <w:szCs w:val="22"/>
          <w:u w:val="single"/>
        </w:rPr>
        <w:t>m Statement 1 — Cybersecurity and Data Privacy (Negative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73D02" w:rsidRPr="005E2D2B" w14:paraId="7A66A95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3F9FB415"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Competitive pressure</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CC730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Holding combined banking and insurance data creates a high-value cyberattack target at a scale CIBC has not previously managed, with regulatory and reputational consequence</w:t>
            </w:r>
            <w:r w:rsidRPr="005E2D2B">
              <w:rPr>
                <w:rFonts w:ascii="Times New Roman" w:hAnsi="Times New Roman" w:cs="Times New Roman"/>
                <w:sz w:val="18"/>
                <w:szCs w:val="18"/>
              </w:rPr>
              <w:t>s far greater than a traditional banking breach.</w:t>
            </w:r>
          </w:p>
        </w:tc>
      </w:tr>
      <w:tr w:rsidR="00D73D02" w:rsidRPr="005E2D2B" w14:paraId="59757C1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4F7C478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Why monitor now</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DCFD6E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Integration is underway and security gaps are at their greatest during this window. PIPEDA and Bill C-27 impose strict breach notification obligations. A breach at or after launch would trig</w:t>
            </w:r>
            <w:r w:rsidRPr="005E2D2B">
              <w:rPr>
                <w:rFonts w:ascii="Times New Roman" w:hAnsi="Times New Roman" w:cs="Times New Roman"/>
                <w:sz w:val="18"/>
                <w:szCs w:val="18"/>
              </w:rPr>
              <w:t>ger regulatory penalties, client churn, and lasting brand damage in a product category CIBC has just entered.</w:t>
            </w:r>
          </w:p>
        </w:tc>
      </w:tr>
      <w:tr w:rsidR="00D73D02" w:rsidRPr="005E2D2B" w14:paraId="3E1D0F3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0B25921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KRIs to track</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621DC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Critical vulnerabilities unpatched beyond 72 hours; phishing simulation failure rate; unauthorized access attempts per week; mean t</w:t>
            </w:r>
            <w:r w:rsidRPr="005E2D2B">
              <w:rPr>
                <w:rFonts w:ascii="Times New Roman" w:hAnsi="Times New Roman" w:cs="Times New Roman"/>
                <w:sz w:val="18"/>
                <w:szCs w:val="18"/>
              </w:rPr>
              <w:t>ime to detect a security incident.</w:t>
            </w:r>
          </w:p>
        </w:tc>
      </w:tr>
    </w:tbl>
    <w:p w14:paraId="7BDDAC75" w14:textId="77777777" w:rsidR="00D73D02" w:rsidRDefault="00D73D02"/>
    <w:p w14:paraId="022E11E6" w14:textId="77777777" w:rsidR="00D73D02" w:rsidRDefault="001C4D72">
      <w:pPr>
        <w:spacing w:before="180" w:after="80"/>
      </w:pPr>
      <w:r>
        <w:rPr>
          <w:b/>
          <w:bCs/>
          <w:sz w:val="21"/>
          <w:szCs w:val="21"/>
          <w:u w:val="single"/>
        </w:rPr>
        <w:t>Problem Statement 2 — System Integration Failure (Negative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73D02" w14:paraId="64AD5FB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3C714EBD" w14:textId="77777777" w:rsidR="00D73D02" w:rsidRDefault="001C4D72">
            <w:pPr>
              <w:spacing w:before="30" w:after="30"/>
            </w:pPr>
            <w:r>
              <w:rPr>
                <w:b/>
                <w:bCs/>
                <w:sz w:val="18"/>
                <w:szCs w:val="18"/>
              </w:rPr>
              <w:t>Competitive pressure</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1E68C9D" w14:textId="77777777" w:rsidR="00D73D02" w:rsidRDefault="001C4D72">
            <w:pPr>
              <w:spacing w:before="30" w:after="30"/>
            </w:pPr>
            <w:r>
              <w:rPr>
                <w:sz w:val="18"/>
                <w:szCs w:val="18"/>
              </w:rPr>
              <w:t>Merging CIBC's legacy banking infrastructure with a cloud-native platform introduces technical incompatibility risk, causing transaction failures, data loss, and service outages during rollout that competitors could exploit.</w:t>
            </w:r>
          </w:p>
        </w:tc>
      </w:tr>
      <w:tr w:rsidR="00D73D02" w14:paraId="4F5C1A4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6A3DD2E8" w14:textId="77777777" w:rsidR="00D73D02" w:rsidRDefault="001C4D72">
            <w:pPr>
              <w:spacing w:before="30" w:after="30"/>
            </w:pPr>
            <w:r>
              <w:rPr>
                <w:b/>
                <w:bCs/>
                <w:sz w:val="18"/>
                <w:szCs w:val="18"/>
              </w:rPr>
              <w:t>Why monitor now</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D10FE8" w14:textId="132CA376" w:rsidR="00D73D02" w:rsidRDefault="001C4D72">
            <w:pPr>
              <w:spacing w:before="30" w:after="30"/>
            </w:pPr>
            <w:r>
              <w:rPr>
                <w:sz w:val="18"/>
                <w:szCs w:val="18"/>
              </w:rPr>
              <w:t>Integration de</w:t>
            </w:r>
            <w:r>
              <w:rPr>
                <w:sz w:val="18"/>
                <w:szCs w:val="18"/>
              </w:rPr>
              <w:t xml:space="preserve">cisions being made now determine platform resilience at launch. Any system downtime affects all 11 million clients. Insurance transaction failures carry legal and contractual </w:t>
            </w:r>
            <w:proofErr w:type="gramStart"/>
            <w:r>
              <w:rPr>
                <w:sz w:val="18"/>
                <w:szCs w:val="18"/>
              </w:rPr>
              <w:t xml:space="preserve">implications </w:t>
            </w:r>
            <w:r w:rsidR="007C11A0">
              <w:rPr>
                <w:sz w:val="18"/>
                <w:szCs w:val="18"/>
              </w:rPr>
              <w:t>,</w:t>
            </w:r>
            <w:proofErr w:type="gramEnd"/>
            <w:r w:rsidR="007C11A0">
              <w:rPr>
                <w:sz w:val="18"/>
                <w:szCs w:val="18"/>
              </w:rPr>
              <w:t xml:space="preserve"> making</w:t>
            </w:r>
            <w:r>
              <w:rPr>
                <w:sz w:val="18"/>
                <w:szCs w:val="18"/>
              </w:rPr>
              <w:t xml:space="preserve"> this a compliance event as well as an operational one.</w:t>
            </w:r>
          </w:p>
        </w:tc>
      </w:tr>
      <w:tr w:rsidR="00D73D02" w14:paraId="734501F1"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1B685429" w14:textId="77777777" w:rsidR="00D73D02" w:rsidRDefault="001C4D72">
            <w:pPr>
              <w:spacing w:before="30" w:after="30"/>
            </w:pPr>
            <w:r>
              <w:rPr>
                <w:b/>
                <w:bCs/>
                <w:sz w:val="18"/>
                <w:szCs w:val="18"/>
              </w:rPr>
              <w:t>KRI</w:t>
            </w:r>
            <w:r>
              <w:rPr>
                <w:b/>
                <w:bCs/>
                <w:sz w:val="18"/>
                <w:szCs w:val="18"/>
              </w:rPr>
              <w:t>s to track</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7157E1" w14:textId="77777777" w:rsidR="00D73D02" w:rsidRDefault="001C4D72">
            <w:pPr>
              <w:spacing w:before="30" w:after="30"/>
            </w:pPr>
            <w:r>
              <w:rPr>
                <w:sz w:val="18"/>
                <w:szCs w:val="18"/>
              </w:rPr>
              <w:t>Unplanned system downtime hours per month; insurance transaction failure rate; integration incidents per sprint; API error rate between core banking and insurance platform.</w:t>
            </w:r>
          </w:p>
        </w:tc>
      </w:tr>
    </w:tbl>
    <w:p w14:paraId="39686506" w14:textId="77777777" w:rsidR="00D73D02" w:rsidRDefault="00D73D02"/>
    <w:p w14:paraId="74F8755D" w14:textId="77777777" w:rsidR="00D73D02" w:rsidRDefault="001C4D72">
      <w:pPr>
        <w:spacing w:before="180" w:after="80"/>
      </w:pPr>
      <w:r>
        <w:rPr>
          <w:b/>
          <w:bCs/>
          <w:sz w:val="21"/>
          <w:szCs w:val="21"/>
          <w:u w:val="single"/>
        </w:rPr>
        <w:t>Problem Statement 3 — First-Mover Market Opportunity (Positive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73D02" w14:paraId="59BC848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7ABB56FC" w14:textId="77777777" w:rsidR="00D73D02" w:rsidRDefault="001C4D72">
            <w:pPr>
              <w:spacing w:before="30" w:after="30"/>
            </w:pPr>
            <w:r>
              <w:rPr>
                <w:b/>
                <w:bCs/>
                <w:sz w:val="18"/>
                <w:szCs w:val="18"/>
              </w:rPr>
              <w:t>C</w:t>
            </w:r>
            <w:r>
              <w:rPr>
                <w:b/>
                <w:bCs/>
                <w:sz w:val="18"/>
                <w:szCs w:val="18"/>
              </w:rPr>
              <w:t>ompetitive pressure</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004F876" w14:textId="77777777" w:rsidR="00D73D02" w:rsidRDefault="001C4D72">
            <w:pPr>
              <w:spacing w:before="30" w:after="30"/>
            </w:pPr>
            <w:r>
              <w:rPr>
                <w:sz w:val="18"/>
                <w:szCs w:val="18"/>
              </w:rPr>
              <w:t>Canada's digital insurance market is growing and underpenetrated by banks. CIBC has a narrow window to establish a dominant integrated banking-and-insurance platform before insurtech competitors or rival banks take the position.</w:t>
            </w:r>
          </w:p>
        </w:tc>
      </w:tr>
      <w:tr w:rsidR="00D73D02" w14:paraId="0F96C2F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3035420E" w14:textId="77777777" w:rsidR="00D73D02" w:rsidRDefault="001C4D72">
            <w:pPr>
              <w:spacing w:before="30" w:after="30"/>
            </w:pPr>
            <w:r>
              <w:rPr>
                <w:b/>
                <w:bCs/>
                <w:sz w:val="18"/>
                <w:szCs w:val="18"/>
              </w:rPr>
              <w:t>Why monitor now</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633E2F7" w14:textId="512D65EE" w:rsidR="00D73D02" w:rsidRDefault="001C4D72">
            <w:pPr>
              <w:spacing w:before="30" w:after="30"/>
            </w:pPr>
            <w:r>
              <w:rPr>
                <w:sz w:val="18"/>
                <w:szCs w:val="18"/>
              </w:rPr>
              <w:t xml:space="preserve">Every month of delay in launching a quality product narrows the window. This positive risk becomes a negative outcome if CIBC is too slow. Market share captured early is </w:t>
            </w:r>
            <w:r w:rsidR="007C11A0">
              <w:rPr>
                <w:sz w:val="18"/>
                <w:szCs w:val="18"/>
              </w:rPr>
              <w:t>sticky,</w:t>
            </w:r>
            <w:r>
              <w:rPr>
                <w:sz w:val="18"/>
                <w:szCs w:val="18"/>
              </w:rPr>
              <w:t xml:space="preserve"> clients who buy insurance through their bank rarely switch un</w:t>
            </w:r>
            <w:r>
              <w:rPr>
                <w:sz w:val="18"/>
                <w:szCs w:val="18"/>
              </w:rPr>
              <w:t>less service quality fails significantly.</w:t>
            </w:r>
          </w:p>
        </w:tc>
      </w:tr>
      <w:tr w:rsidR="00D73D02" w14:paraId="6F9C331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10" w:type="dxa"/>
              <w:bottom w:w="80" w:type="dxa"/>
              <w:right w:w="110" w:type="dxa"/>
            </w:tcMar>
          </w:tcPr>
          <w:p w14:paraId="25C28880" w14:textId="77777777" w:rsidR="00D73D02" w:rsidRDefault="001C4D72">
            <w:pPr>
              <w:spacing w:before="30" w:after="30"/>
            </w:pPr>
            <w:r>
              <w:rPr>
                <w:b/>
                <w:bCs/>
                <w:sz w:val="18"/>
                <w:szCs w:val="18"/>
              </w:rPr>
              <w:t>KRIs to track</w:t>
            </w:r>
          </w:p>
        </w:tc>
        <w:tc>
          <w:tcPr>
            <w:tcW w:w="7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FB5943" w14:textId="77777777" w:rsidR="00D73D02" w:rsidRDefault="001C4D72">
            <w:pPr>
              <w:spacing w:before="30" w:after="30"/>
            </w:pPr>
            <w:r>
              <w:rPr>
                <w:sz w:val="18"/>
                <w:szCs w:val="18"/>
              </w:rPr>
              <w:t>Customer adoption rate of digital insurance products; revenue from digital insurance channel per month; number of active insurance policies issued through CIBC platform; client satisfaction score (NP</w:t>
            </w:r>
            <w:r>
              <w:rPr>
                <w:sz w:val="18"/>
                <w:szCs w:val="18"/>
              </w:rPr>
              <w:t>S) for insurance portal.</w:t>
            </w:r>
          </w:p>
        </w:tc>
      </w:tr>
    </w:tbl>
    <w:p w14:paraId="566195DB" w14:textId="77777777" w:rsidR="00D73D02" w:rsidRDefault="00D73D02"/>
    <w:p w14:paraId="78BEE6EB" w14:textId="77777777" w:rsidR="00D73D02" w:rsidRDefault="00D73D02">
      <w:pPr>
        <w:pageBreakBefore/>
      </w:pPr>
    </w:p>
    <w:p w14:paraId="4EADC8F2" w14:textId="77777777" w:rsidR="00D73D02" w:rsidRPr="005E2D2B" w:rsidRDefault="001C4D72">
      <w:pPr>
        <w:pStyle w:val="Heading1"/>
        <w:rPr>
          <w:rFonts w:ascii="Times New Roman" w:hAnsi="Times New Roman" w:cs="Times New Roman"/>
          <w:sz w:val="22"/>
          <w:szCs w:val="22"/>
        </w:rPr>
      </w:pPr>
      <w:r w:rsidRPr="005E2D2B">
        <w:rPr>
          <w:rFonts w:ascii="Times New Roman" w:hAnsi="Times New Roman" w:cs="Times New Roman"/>
          <w:sz w:val="22"/>
          <w:szCs w:val="22"/>
        </w:rPr>
        <w:t>4. Key Risk Indicators (KRI Framework)</w:t>
      </w:r>
    </w:p>
    <w:p w14:paraId="7C02C440"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 xml:space="preserve">KRIs are developed in relation to CIBC's people, processes, technology, facilities, and other critical operational elements. Each KRI is classified as Leading (predictive, forward-looking) </w:t>
      </w:r>
      <w:r w:rsidRPr="005E2D2B">
        <w:rPr>
          <w:rFonts w:ascii="Times New Roman" w:hAnsi="Times New Roman" w:cs="Times New Roman"/>
          <w:sz w:val="22"/>
          <w:szCs w:val="22"/>
        </w:rPr>
        <w:t>or Lagging (historical, trend-based) with measurable Green/Yellow/Red thresholds. Both negative and positive KRIs are included.</w:t>
      </w:r>
    </w:p>
    <w:p w14:paraId="112FD160" w14:textId="77777777" w:rsidR="00D73D02" w:rsidRPr="005E2D2B" w:rsidRDefault="00D73D02" w:rsidP="005E2D2B">
      <w:pPr>
        <w:jc w:val="both"/>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50"/>
        <w:gridCol w:w="1000"/>
        <w:gridCol w:w="1610"/>
        <w:gridCol w:w="900"/>
        <w:gridCol w:w="900"/>
        <w:gridCol w:w="1900"/>
      </w:tblGrid>
      <w:tr w:rsidR="00D73D02" w:rsidRPr="005E2D2B" w14:paraId="71F4CBF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728008BE"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Area</w:t>
            </w:r>
          </w:p>
        </w:tc>
        <w:tc>
          <w:tcPr>
            <w:tcW w:w="185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34DC5C0F"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KRI Name</w:t>
            </w:r>
          </w:p>
        </w:tc>
        <w:tc>
          <w:tcPr>
            <w:tcW w:w="1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04C468D2"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Type</w:t>
            </w:r>
          </w:p>
        </w:tc>
        <w:tc>
          <w:tcPr>
            <w:tcW w:w="161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7DF5EAB2"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Measurement</w:t>
            </w:r>
          </w:p>
        </w:tc>
        <w:tc>
          <w:tcPr>
            <w:tcW w:w="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5E39A786"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Green</w:t>
            </w:r>
          </w:p>
        </w:tc>
        <w:tc>
          <w:tcPr>
            <w:tcW w:w="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64DC9911"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Yellow</w:t>
            </w:r>
          </w:p>
        </w:tc>
        <w:tc>
          <w:tcPr>
            <w:tcW w:w="1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7DE915C3"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Red — Escalate</w:t>
            </w:r>
          </w:p>
        </w:tc>
      </w:tr>
      <w:tr w:rsidR="00D73D02" w:rsidRPr="005E2D2B" w14:paraId="4301872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41420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People</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8FFB02"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Staff training completion rate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9D797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Lagging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494F8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 </w:t>
            </w:r>
            <w:proofErr w:type="gramStart"/>
            <w:r w:rsidRPr="005E2D2B">
              <w:rPr>
                <w:rFonts w:ascii="Times New Roman" w:hAnsi="Times New Roman" w:cs="Times New Roman"/>
                <w:sz w:val="18"/>
                <w:szCs w:val="18"/>
              </w:rPr>
              <w:t>staff</w:t>
            </w:r>
            <w:proofErr w:type="gramEnd"/>
            <w:r w:rsidRPr="005E2D2B">
              <w:rPr>
                <w:rFonts w:ascii="Times New Roman" w:hAnsi="Times New Roman" w:cs="Times New Roman"/>
                <w:sz w:val="18"/>
                <w:szCs w:val="18"/>
              </w:rPr>
              <w:t xml:space="preserve"> completed digital insurance and security training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7DAA18"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&gt;90%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F31457"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75–90%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601B3B"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&lt;75% — immediate remediation</w:t>
            </w:r>
          </w:p>
        </w:tc>
      </w:tr>
      <w:tr w:rsidR="00D73D02" w:rsidRPr="005E2D2B" w14:paraId="5A9CF0D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AB433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People</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3DFFC7"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Phishing simulation failure rate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8A3FA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B797C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 </w:t>
            </w:r>
            <w:proofErr w:type="gramStart"/>
            <w:r w:rsidRPr="005E2D2B">
              <w:rPr>
                <w:rFonts w:ascii="Times New Roman" w:hAnsi="Times New Roman" w:cs="Times New Roman"/>
                <w:sz w:val="18"/>
                <w:szCs w:val="18"/>
              </w:rPr>
              <w:t>employees</w:t>
            </w:r>
            <w:proofErr w:type="gramEnd"/>
            <w:r w:rsidRPr="005E2D2B">
              <w:rPr>
                <w:rFonts w:ascii="Times New Roman" w:hAnsi="Times New Roman" w:cs="Times New Roman"/>
                <w:sz w:val="18"/>
                <w:szCs w:val="18"/>
              </w:rPr>
              <w:t xml:space="preserve"> failing monthly simulated phishing tests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47293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04944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5–10%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B98E8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&gt;10% — mandatory retraining</w:t>
            </w:r>
          </w:p>
        </w:tc>
      </w:tr>
      <w:tr w:rsidR="00D73D02" w:rsidRPr="005E2D2B" w14:paraId="6CEB108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D012E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People</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7183C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Key staff turnover — integration team</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DA3A8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Lagging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04D5F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Annualised turnover for roles critical to platform rollout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922F8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&lt;10%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3698C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10–15%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90B7E2"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&gt;15% — retention plan activated</w:t>
            </w:r>
          </w:p>
        </w:tc>
      </w:tr>
      <w:tr w:rsidR="00D73D02" w:rsidRPr="005E2D2B" w14:paraId="1F836F8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E6B49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Processes</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AA9D5B"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Insurance transaction failure rate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63951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5C202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 </w:t>
            </w:r>
            <w:proofErr w:type="gramStart"/>
            <w:r w:rsidRPr="005E2D2B">
              <w:rPr>
                <w:rFonts w:ascii="Times New Roman" w:hAnsi="Times New Roman" w:cs="Times New Roman"/>
                <w:sz w:val="18"/>
                <w:szCs w:val="18"/>
              </w:rPr>
              <w:t>digital</w:t>
            </w:r>
            <w:proofErr w:type="gramEnd"/>
            <w:r w:rsidRPr="005E2D2B">
              <w:rPr>
                <w:rFonts w:ascii="Times New Roman" w:hAnsi="Times New Roman" w:cs="Times New Roman"/>
                <w:sz w:val="18"/>
                <w:szCs w:val="18"/>
              </w:rPr>
              <w:t xml:space="preserve"> insurance transactions failing or requiring manual fix</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493401"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5CF60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5791D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&gt;2% — escalate to CTO</w:t>
            </w:r>
          </w:p>
        </w:tc>
      </w:tr>
      <w:tr w:rsidR="00D73D02" w:rsidRPr="005E2D2B" w14:paraId="1345446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5B4AC5"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Processes</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50132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Open audit findings &gt;30 days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FC744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Lagging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30478F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Number of unresolved audit findings older than 30 days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A2758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8379F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AE9B80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&gt;2 — board notification</w:t>
            </w:r>
          </w:p>
        </w:tc>
      </w:tr>
      <w:tr w:rsidR="00D73D02" w:rsidRPr="005E2D2B" w14:paraId="6163A4F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5DD9D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Processes</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79FBD2"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Change management adoption rate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BE7969"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448DF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 </w:t>
            </w:r>
            <w:proofErr w:type="gramStart"/>
            <w:r w:rsidRPr="005E2D2B">
              <w:rPr>
                <w:rFonts w:ascii="Times New Roman" w:hAnsi="Times New Roman" w:cs="Times New Roman"/>
                <w:sz w:val="18"/>
                <w:szCs w:val="18"/>
              </w:rPr>
              <w:t>affected</w:t>
            </w:r>
            <w:proofErr w:type="gramEnd"/>
            <w:r w:rsidRPr="005E2D2B">
              <w:rPr>
                <w:rFonts w:ascii="Times New Roman" w:hAnsi="Times New Roman" w:cs="Times New Roman"/>
                <w:sz w:val="18"/>
                <w:szCs w:val="18"/>
              </w:rPr>
              <w:t xml:space="preserve"> staff completing process-change training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07B20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&gt;85%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46448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70–85%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BF1A5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&lt;70% — COO review</w:t>
            </w:r>
          </w:p>
        </w:tc>
      </w:tr>
      <w:tr w:rsidR="00D73D02" w:rsidRPr="005E2D2B" w14:paraId="43160EE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BCD09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Technology</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9A9BB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Unplanned system downtime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54FFD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E8C48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Hours of unplanned platform downtime per month</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C984C8"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&lt;2 hrs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AF7B68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2–4 hrs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22835B"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&gt;4 hrs — incident report</w:t>
            </w:r>
          </w:p>
        </w:tc>
      </w:tr>
      <w:tr w:rsidR="00D73D02" w:rsidRPr="005E2D2B" w14:paraId="245D339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4598E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Technology</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0743C9"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Critical vulnerabilities unpatched &gt;72 hrs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C05182"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03B9C1"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Count of severity-critical vulnerabilities not patched within 72 hours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F9C63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358F5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C9876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≥2 — CISO escalation</w:t>
            </w:r>
          </w:p>
        </w:tc>
      </w:tr>
      <w:tr w:rsidR="00D73D02" w:rsidRPr="005E2D2B" w14:paraId="1C2BBF2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6921821"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Technology</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B47AC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API error rate (banking to insurance)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D65D57"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C7858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 </w:t>
            </w:r>
            <w:proofErr w:type="gramStart"/>
            <w:r w:rsidRPr="005E2D2B">
              <w:rPr>
                <w:rFonts w:ascii="Times New Roman" w:hAnsi="Times New Roman" w:cs="Times New Roman"/>
                <w:sz w:val="18"/>
                <w:szCs w:val="18"/>
              </w:rPr>
              <w:t>of</w:t>
            </w:r>
            <w:proofErr w:type="gramEnd"/>
            <w:r w:rsidRPr="005E2D2B">
              <w:rPr>
                <w:rFonts w:ascii="Times New Roman" w:hAnsi="Times New Roman" w:cs="Times New Roman"/>
                <w:sz w:val="18"/>
                <w:szCs w:val="18"/>
              </w:rPr>
              <w:t xml:space="preserve"> API calls between core banking and insurance platform returning errors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5B863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386F3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0.5–1%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0EF077"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&gt;1% — integration review</w:t>
            </w:r>
          </w:p>
        </w:tc>
      </w:tr>
      <w:tr w:rsidR="00D73D02" w:rsidRPr="005E2D2B" w14:paraId="5A84D90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50FE4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lastRenderedPageBreak/>
              <w:t>Facilities</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38C69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Cloud provider SLA compliance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273092"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7F473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 </w:t>
            </w:r>
            <w:proofErr w:type="gramStart"/>
            <w:r w:rsidRPr="005E2D2B">
              <w:rPr>
                <w:rFonts w:ascii="Times New Roman" w:hAnsi="Times New Roman" w:cs="Times New Roman"/>
                <w:sz w:val="18"/>
                <w:szCs w:val="18"/>
              </w:rPr>
              <w:t>uptime</w:t>
            </w:r>
            <w:proofErr w:type="gramEnd"/>
            <w:r w:rsidRPr="005E2D2B">
              <w:rPr>
                <w:rFonts w:ascii="Times New Roman" w:hAnsi="Times New Roman" w:cs="Times New Roman"/>
                <w:sz w:val="18"/>
                <w:szCs w:val="18"/>
              </w:rPr>
              <w:t xml:space="preserve"> delivered by cloud vendor vs contracted SLA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FDB5A8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&gt;99.9%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2CAF3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99–99.9%</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4A46A4"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&lt;99% — vendor escalation</w:t>
            </w:r>
          </w:p>
        </w:tc>
      </w:tr>
      <w:tr w:rsidR="00D73D02" w:rsidRPr="005E2D2B" w14:paraId="1EF2FFF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866DA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Facilities</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2A966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Network outage duration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D8163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Lagging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D8923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Total hours of network outage affecting insurance services per month</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6F5985"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&lt;1 hr</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6CA2CF7"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1–2 hrs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2BDE11"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&gt;2 hrs — IT escalation</w:t>
            </w:r>
          </w:p>
        </w:tc>
      </w:tr>
      <w:tr w:rsidR="00D73D02" w:rsidRPr="005E2D2B" w14:paraId="4E002D7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51FBF2"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Compliance</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33B579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Regulatory changes requiring system update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69D2708"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EF478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Number of regulatory changes requiring platform modification per month</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98F0C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599BC5"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B9A51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&gt;2 — compliance committee</w:t>
            </w:r>
          </w:p>
        </w:tc>
      </w:tr>
      <w:tr w:rsidR="00D73D02" w:rsidRPr="005E2D2B" w14:paraId="4D9D9C6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DDFA1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Compliance</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D00A7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AML and privacy incidents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2F37D9"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Lagging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7E62E2"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Confirmed AML or data privacy incidents per quarter</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A47D4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65D18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24C4C5"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&gt;1 — board notification</w:t>
            </w:r>
          </w:p>
        </w:tc>
      </w:tr>
      <w:tr w:rsidR="00D73D02" w:rsidRPr="005E2D2B" w14:paraId="404D5D3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85BF0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Financial</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FD9448"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Integration cost overrun vs budget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2E5ED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Lagging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F9C31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 </w:t>
            </w:r>
            <w:proofErr w:type="gramStart"/>
            <w:r w:rsidRPr="005E2D2B">
              <w:rPr>
                <w:rFonts w:ascii="Times New Roman" w:hAnsi="Times New Roman" w:cs="Times New Roman"/>
                <w:sz w:val="18"/>
                <w:szCs w:val="18"/>
              </w:rPr>
              <w:t>variance</w:t>
            </w:r>
            <w:proofErr w:type="gramEnd"/>
            <w:r w:rsidRPr="005E2D2B">
              <w:rPr>
                <w:rFonts w:ascii="Times New Roman" w:hAnsi="Times New Roman" w:cs="Times New Roman"/>
                <w:sz w:val="18"/>
                <w:szCs w:val="18"/>
              </w:rPr>
              <w:t xml:space="preserve"> between actual integration spend and approved budget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BE006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2342D8"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5–15%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C82C0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&gt;15% — CFO review</w:t>
            </w:r>
          </w:p>
        </w:tc>
      </w:tr>
      <w:tr w:rsidR="00D73D02" w:rsidRPr="005E2D2B" w14:paraId="0B43B55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FEA115"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Financial (Positive)</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769E1D"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Customer adoption rate — insurance products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9C7F3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C89801"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 xml:space="preserve">% </w:t>
            </w:r>
            <w:proofErr w:type="gramStart"/>
            <w:r w:rsidRPr="005E2D2B">
              <w:rPr>
                <w:rFonts w:ascii="Times New Roman" w:hAnsi="Times New Roman" w:cs="Times New Roman"/>
                <w:sz w:val="18"/>
                <w:szCs w:val="18"/>
              </w:rPr>
              <w:t>of</w:t>
            </w:r>
            <w:proofErr w:type="gramEnd"/>
            <w:r w:rsidRPr="005E2D2B">
              <w:rPr>
                <w:rFonts w:ascii="Times New Roman" w:hAnsi="Times New Roman" w:cs="Times New Roman"/>
                <w:sz w:val="18"/>
                <w:szCs w:val="18"/>
              </w:rPr>
              <w:t xml:space="preserve"> active CIBC digital banking clients who purchased at least one insurance product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7C14F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3DF159"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3–8%</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60A918"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&lt;3% — marketing escalation</w:t>
            </w:r>
          </w:p>
        </w:tc>
      </w:tr>
      <w:tr w:rsidR="00D73D02" w:rsidRPr="005E2D2B" w14:paraId="0576C3C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8FB5B9"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b/>
                <w:bCs/>
                <w:sz w:val="18"/>
                <w:szCs w:val="18"/>
              </w:rPr>
              <w:t>Financial (Positive)</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73B571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Digital insurance revenue per month</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89FCBC"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Leading</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B15BD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CAD value of insurance premiums sold through CIBC digital channel monthly</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1C1826"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&gt;$2M</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D73EA0"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$1–2M</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8A4B47"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&lt;$1M — strategy review</w:t>
            </w:r>
          </w:p>
        </w:tc>
      </w:tr>
    </w:tbl>
    <w:p w14:paraId="3840783D" w14:textId="77777777" w:rsidR="00D73D02" w:rsidRDefault="00D73D02"/>
    <w:p w14:paraId="1C518DAF" w14:textId="77777777" w:rsidR="00D73D02" w:rsidRDefault="00D73D02">
      <w:pPr>
        <w:pageBreakBefore/>
      </w:pPr>
    </w:p>
    <w:p w14:paraId="7FB53E06" w14:textId="77777777" w:rsidR="00D73D02" w:rsidRPr="005E2D2B" w:rsidRDefault="001C4D72">
      <w:pPr>
        <w:pStyle w:val="Heading1"/>
        <w:rPr>
          <w:rFonts w:ascii="Times New Roman" w:hAnsi="Times New Roman" w:cs="Times New Roman"/>
          <w:sz w:val="22"/>
          <w:szCs w:val="22"/>
        </w:rPr>
      </w:pPr>
      <w:r>
        <w:t xml:space="preserve">5. </w:t>
      </w:r>
      <w:r w:rsidRPr="005E2D2B">
        <w:rPr>
          <w:rFonts w:ascii="Times New Roman" w:hAnsi="Times New Roman" w:cs="Times New Roman"/>
          <w:sz w:val="22"/>
          <w:szCs w:val="22"/>
        </w:rPr>
        <w:t>Contributing Factors and Controls</w:t>
      </w:r>
    </w:p>
    <w:p w14:paraId="67196902"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In preparation for risk assessment and treatment, the table below provides a preliminary list of the contributing factors and controls for the risks underlying the chosen business plan. Both negative and positive risks are addressed.</w:t>
      </w:r>
    </w:p>
    <w:p w14:paraId="54DE633E" w14:textId="77777777" w:rsidR="00D73D02" w:rsidRDefault="00D73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3330"/>
        <w:gridCol w:w="3130"/>
      </w:tblGrid>
      <w:tr w:rsidR="00D73D02" w14:paraId="28B84671"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7292227A"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8"/>
                <w:szCs w:val="18"/>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6B41A42B" w14:textId="77777777" w:rsidR="00D73D02" w:rsidRDefault="001C4D72">
            <w:pPr>
              <w:jc w:val="center"/>
            </w:pPr>
            <w:r>
              <w:rPr>
                <w:b/>
                <w:bCs/>
                <w:color w:val="FFFFFF"/>
                <w:sz w:val="18"/>
                <w:szCs w:val="18"/>
              </w:rPr>
              <w:t>Risk</w:t>
            </w:r>
          </w:p>
        </w:tc>
        <w:tc>
          <w:tcPr>
            <w:tcW w:w="333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5043FD95" w14:textId="77777777" w:rsidR="00D73D02" w:rsidRDefault="001C4D72">
            <w:pPr>
              <w:jc w:val="center"/>
            </w:pPr>
            <w:r>
              <w:rPr>
                <w:b/>
                <w:bCs/>
                <w:color w:val="FFFFFF"/>
                <w:sz w:val="18"/>
                <w:szCs w:val="18"/>
              </w:rPr>
              <w:t>Contributing Factors</w:t>
            </w:r>
          </w:p>
        </w:tc>
        <w:tc>
          <w:tcPr>
            <w:tcW w:w="313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10" w:type="dxa"/>
              <w:bottom w:w="80" w:type="dxa"/>
              <w:right w:w="110" w:type="dxa"/>
            </w:tcMar>
            <w:vAlign w:val="center"/>
          </w:tcPr>
          <w:p w14:paraId="5B640FA0" w14:textId="77777777" w:rsidR="00D73D02" w:rsidRDefault="001C4D72">
            <w:pPr>
              <w:jc w:val="center"/>
            </w:pPr>
            <w:r>
              <w:rPr>
                <w:b/>
                <w:bCs/>
                <w:color w:val="FFFFFF"/>
                <w:sz w:val="18"/>
                <w:szCs w:val="18"/>
              </w:rPr>
              <w:t>Controls (Existing / Recommended)</w:t>
            </w:r>
          </w:p>
        </w:tc>
      </w:tr>
      <w:tr w:rsidR="00D73D02" w14:paraId="5C293753"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73244F"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Negative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44BA93" w14:textId="77777777" w:rsidR="00D73D02" w:rsidRDefault="001C4D72">
            <w:pPr>
              <w:spacing w:before="30" w:after="30"/>
            </w:pPr>
            <w:r>
              <w:rPr>
                <w:sz w:val="18"/>
                <w:szCs w:val="18"/>
              </w:rPr>
              <w:t>Data privacy breach</w:t>
            </w:r>
          </w:p>
        </w:tc>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B66502" w14:textId="77777777" w:rsidR="00D73D02" w:rsidRDefault="001C4D72">
            <w:pPr>
              <w:spacing w:before="30" w:after="30"/>
            </w:pPr>
            <w:r>
              <w:rPr>
                <w:sz w:val="18"/>
                <w:szCs w:val="18"/>
              </w:rPr>
              <w:t>Inadequate security controls during integration; combined high-value data environment; third-party vendor APIs; weak access management</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4DBBC4" w14:textId="77777777" w:rsidR="00D73D02" w:rsidRDefault="001C4D72">
            <w:pPr>
              <w:spacing w:before="30" w:after="30"/>
            </w:pPr>
            <w:r>
              <w:rPr>
                <w:sz w:val="18"/>
                <w:szCs w:val="18"/>
              </w:rPr>
              <w:t xml:space="preserve">Zero-trust architecture; end-to-end </w:t>
            </w:r>
            <w:r>
              <w:rPr>
                <w:sz w:val="18"/>
                <w:szCs w:val="18"/>
              </w:rPr>
              <w:t>encryption; PIA before go-live; CISO-led security programme; mandatory breach notification procedures</w:t>
            </w:r>
          </w:p>
        </w:tc>
      </w:tr>
      <w:tr w:rsidR="00D73D02" w14:paraId="1CD56C2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3C6549"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Negative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067E36" w14:textId="77777777" w:rsidR="00D73D02" w:rsidRDefault="001C4D72">
            <w:pPr>
              <w:spacing w:before="30" w:after="30"/>
            </w:pPr>
            <w:r>
              <w:rPr>
                <w:sz w:val="18"/>
                <w:szCs w:val="18"/>
              </w:rPr>
              <w:t>System integration failure</w:t>
            </w:r>
          </w:p>
        </w:tc>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24852D" w14:textId="77777777" w:rsidR="00D73D02" w:rsidRDefault="001C4D72">
            <w:pPr>
              <w:spacing w:before="30" w:after="30"/>
            </w:pPr>
            <w:r>
              <w:rPr>
                <w:sz w:val="18"/>
                <w:szCs w:val="18"/>
              </w:rPr>
              <w:t>API incompatibility between legacy banking and cloud-native insurance systems; insufficient integration testing; lack of project governance</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160BF4" w14:textId="77777777" w:rsidR="00D73D02" w:rsidRDefault="001C4D72">
            <w:pPr>
              <w:spacing w:before="30" w:after="30"/>
            </w:pPr>
            <w:r>
              <w:rPr>
                <w:sz w:val="18"/>
                <w:szCs w:val="18"/>
              </w:rPr>
              <w:t>Phased implementation roadmap; dedicated testing environment; rollback procedures; PMO oversight; weekly CTO reporti</w:t>
            </w:r>
            <w:r>
              <w:rPr>
                <w:sz w:val="18"/>
                <w:szCs w:val="18"/>
              </w:rPr>
              <w:t>ng to leadership</w:t>
            </w:r>
          </w:p>
        </w:tc>
      </w:tr>
      <w:tr w:rsidR="00D73D02" w14:paraId="63605881"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A3E0B3"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Negative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F01184" w14:textId="77777777" w:rsidR="00D73D02" w:rsidRDefault="001C4D72">
            <w:pPr>
              <w:spacing w:before="30" w:after="30"/>
            </w:pPr>
            <w:r>
              <w:rPr>
                <w:sz w:val="18"/>
                <w:szCs w:val="18"/>
              </w:rPr>
              <w:t>Regulatory non-compliance</w:t>
            </w:r>
          </w:p>
        </w:tc>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DCAA4D" w14:textId="77777777" w:rsidR="00D73D02" w:rsidRDefault="001C4D72">
            <w:pPr>
              <w:spacing w:before="30" w:after="30"/>
            </w:pPr>
            <w:r>
              <w:rPr>
                <w:sz w:val="18"/>
                <w:szCs w:val="18"/>
              </w:rPr>
              <w:t>Rapidly changing PIPEDA and Bill C-27 requirements; provincial insurance licensing rules; OSFI expectations; AI underwriting transparency obligations</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7E3266" w14:textId="77777777" w:rsidR="00D73D02" w:rsidRDefault="001C4D72">
            <w:pPr>
              <w:spacing w:before="30" w:after="30"/>
            </w:pPr>
            <w:r>
              <w:rPr>
                <w:sz w:val="18"/>
                <w:szCs w:val="18"/>
              </w:rPr>
              <w:t>Compliance officer embedded in project team; automate</w:t>
            </w:r>
            <w:r>
              <w:rPr>
                <w:sz w:val="18"/>
                <w:szCs w:val="18"/>
              </w:rPr>
              <w:t>d regulatory monitoring; quarterly legal reviews; board-approved compliance roadmap</w:t>
            </w:r>
          </w:p>
        </w:tc>
      </w:tr>
      <w:tr w:rsidR="00D73D02" w14:paraId="653FFA9D"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304AF9"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Negative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B8DA79" w14:textId="77777777" w:rsidR="00D73D02" w:rsidRDefault="001C4D72">
            <w:pPr>
              <w:spacing w:before="30" w:after="30"/>
            </w:pPr>
            <w:r>
              <w:rPr>
                <w:sz w:val="18"/>
                <w:szCs w:val="18"/>
              </w:rPr>
              <w:t>Employee resistance</w:t>
            </w:r>
          </w:p>
        </w:tc>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A20748" w14:textId="77777777" w:rsidR="00D73D02" w:rsidRDefault="001C4D72">
            <w:pPr>
              <w:spacing w:before="30" w:after="30"/>
            </w:pPr>
            <w:r>
              <w:rPr>
                <w:sz w:val="18"/>
                <w:szCs w:val="18"/>
              </w:rPr>
              <w:t>Insufficient change management planning; poor leadership communication; fear of job displacement; inadequate training on new tools</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FE5643" w14:textId="77777777" w:rsidR="00D73D02" w:rsidRDefault="001C4D72">
            <w:pPr>
              <w:spacing w:before="30" w:after="30"/>
            </w:pPr>
            <w:r>
              <w:rPr>
                <w:sz w:val="18"/>
                <w:szCs w:val="18"/>
              </w:rPr>
              <w:t>Structured change management programme; leadership town halls; upskilling workshops; adoption KPIs tracked in performance rev</w:t>
            </w:r>
            <w:r>
              <w:rPr>
                <w:sz w:val="18"/>
                <w:szCs w:val="18"/>
              </w:rPr>
              <w:t>iews</w:t>
            </w:r>
          </w:p>
        </w:tc>
      </w:tr>
      <w:tr w:rsidR="00D73D02" w14:paraId="492F6311"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7E54AA"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Negative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82F2B9" w14:textId="77777777" w:rsidR="00D73D02" w:rsidRDefault="001C4D72">
            <w:pPr>
              <w:spacing w:before="30" w:after="30"/>
            </w:pPr>
            <w:r>
              <w:rPr>
                <w:sz w:val="18"/>
                <w:szCs w:val="18"/>
              </w:rPr>
              <w:t>Software vulnerabilities</w:t>
            </w:r>
          </w:p>
        </w:tc>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A66B6F" w14:textId="77777777" w:rsidR="00D73D02" w:rsidRDefault="001C4D72">
            <w:pPr>
              <w:spacing w:before="30" w:after="30"/>
            </w:pPr>
            <w:r>
              <w:rPr>
                <w:sz w:val="18"/>
                <w:szCs w:val="18"/>
              </w:rPr>
              <w:t>Unresolved technical debt in acquired platform; unpatched libraries; deprecated dependencies; security issues from previous development team</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74856D" w14:textId="77777777" w:rsidR="00D73D02" w:rsidRDefault="001C4D72">
            <w:pPr>
              <w:spacing w:before="30" w:after="30"/>
            </w:pPr>
            <w:r>
              <w:rPr>
                <w:sz w:val="18"/>
                <w:szCs w:val="18"/>
              </w:rPr>
              <w:t>Full application security audit (static and dynamic); penetration testing p</w:t>
            </w:r>
            <w:r>
              <w:rPr>
                <w:sz w:val="18"/>
                <w:szCs w:val="18"/>
              </w:rPr>
              <w:t>re-launch; 72-hour patch SLA for all critical vulnerabilities</w:t>
            </w:r>
          </w:p>
        </w:tc>
      </w:tr>
      <w:tr w:rsidR="00D73D02" w14:paraId="6031A971"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F84D0E"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Positive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B0EFAD" w14:textId="77777777" w:rsidR="00D73D02" w:rsidRDefault="001C4D72">
            <w:pPr>
              <w:spacing w:before="30" w:after="30"/>
            </w:pPr>
            <w:r>
              <w:rPr>
                <w:sz w:val="18"/>
                <w:szCs w:val="18"/>
              </w:rPr>
              <w:t>First-mover market capture</w:t>
            </w:r>
          </w:p>
        </w:tc>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E76E4D" w14:textId="77777777" w:rsidR="00D73D02" w:rsidRDefault="001C4D72">
            <w:pPr>
              <w:spacing w:before="30" w:after="30"/>
            </w:pPr>
            <w:r>
              <w:rPr>
                <w:sz w:val="18"/>
                <w:szCs w:val="18"/>
              </w:rPr>
              <w:t>Narrow market entry window before insurtech competitors establish Canadian positions; CIBC's trusted brand advantage in the Canadian market</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7F717E" w14:textId="77777777" w:rsidR="00D73D02" w:rsidRDefault="001C4D72">
            <w:pPr>
              <w:spacing w:before="30" w:after="30"/>
            </w:pPr>
            <w:r>
              <w:rPr>
                <w:sz w:val="18"/>
                <w:szCs w:val="18"/>
              </w:rPr>
              <w:t>Protected go-live timeline; board-level strategic priority status; dedicated digital insurance marketing budget; monthly competitive benchmarking</w:t>
            </w:r>
          </w:p>
        </w:tc>
      </w:tr>
      <w:tr w:rsidR="00D73D02" w14:paraId="7A95AB29"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3E3681" w14:textId="77777777" w:rsidR="00D73D02" w:rsidRPr="005E2D2B" w:rsidRDefault="001C4D72">
            <w:pPr>
              <w:spacing w:before="30" w:after="30"/>
              <w:rPr>
                <w:rFonts w:ascii="Times New Roman" w:hAnsi="Times New Roman" w:cs="Times New Roman"/>
              </w:rPr>
            </w:pPr>
            <w:r w:rsidRPr="005E2D2B">
              <w:rPr>
                <w:rFonts w:ascii="Times New Roman" w:hAnsi="Times New Roman" w:cs="Times New Roman"/>
                <w:sz w:val="18"/>
                <w:szCs w:val="18"/>
              </w:rPr>
              <w:t>Positive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BDE6A1" w14:textId="77777777" w:rsidR="00D73D02" w:rsidRDefault="001C4D72">
            <w:pPr>
              <w:spacing w:before="30" w:after="30"/>
            </w:pPr>
            <w:r>
              <w:rPr>
                <w:sz w:val="18"/>
                <w:szCs w:val="18"/>
              </w:rPr>
              <w:t>Cross-sell revenue from existing clients</w:t>
            </w:r>
          </w:p>
        </w:tc>
        <w:tc>
          <w:tcPr>
            <w:tcW w:w="33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457A63" w14:textId="77777777" w:rsidR="00D73D02" w:rsidRDefault="001C4D72">
            <w:pPr>
              <w:spacing w:before="30" w:after="30"/>
            </w:pPr>
            <w:r>
              <w:rPr>
                <w:sz w:val="18"/>
                <w:szCs w:val="18"/>
              </w:rPr>
              <w:t xml:space="preserve">11 million existing CIBC clients with established trust in </w:t>
            </w:r>
            <w:r>
              <w:rPr>
                <w:sz w:val="18"/>
                <w:szCs w:val="18"/>
              </w:rPr>
              <w:t>the brand; integrated digital channels reducing friction to purchase insurance</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75283F" w14:textId="77777777" w:rsidR="00D73D02" w:rsidRDefault="001C4D72">
            <w:pPr>
              <w:spacing w:before="30" w:after="30"/>
            </w:pPr>
            <w:r>
              <w:rPr>
                <w:sz w:val="18"/>
                <w:szCs w:val="18"/>
              </w:rPr>
              <w:t>Advisor cross-sell incentive programme; embedded insurance offers in mobile banking app; household revenue dashboards and targets</w:t>
            </w:r>
          </w:p>
        </w:tc>
      </w:tr>
    </w:tbl>
    <w:p w14:paraId="5AD43F86" w14:textId="77777777" w:rsidR="00D73D02" w:rsidRDefault="00D73D02"/>
    <w:p w14:paraId="1B95ECCC" w14:textId="77777777" w:rsidR="00D73D02" w:rsidRDefault="00D73D02">
      <w:pPr>
        <w:pageBreakBefore/>
      </w:pPr>
    </w:p>
    <w:p w14:paraId="61A9FDE9" w14:textId="77777777" w:rsidR="00D73D02" w:rsidRPr="005E2D2B" w:rsidRDefault="001C4D72" w:rsidP="005E2D2B">
      <w:pPr>
        <w:pStyle w:val="Heading1"/>
        <w:jc w:val="both"/>
        <w:rPr>
          <w:rFonts w:ascii="Times New Roman" w:hAnsi="Times New Roman" w:cs="Times New Roman"/>
          <w:sz w:val="22"/>
          <w:szCs w:val="22"/>
        </w:rPr>
      </w:pPr>
      <w:r w:rsidRPr="005E2D2B">
        <w:rPr>
          <w:rFonts w:ascii="Times New Roman" w:hAnsi="Times New Roman" w:cs="Times New Roman"/>
          <w:sz w:val="22"/>
          <w:szCs w:val="22"/>
        </w:rPr>
        <w:t>6. Top 4 Priority Risks (Positive and Negati</w:t>
      </w:r>
      <w:r w:rsidRPr="005E2D2B">
        <w:rPr>
          <w:rFonts w:ascii="Times New Roman" w:hAnsi="Times New Roman" w:cs="Times New Roman"/>
          <w:sz w:val="22"/>
          <w:szCs w:val="22"/>
        </w:rPr>
        <w:t>ve)</w:t>
      </w:r>
    </w:p>
    <w:p w14:paraId="517ECF80"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 xml:space="preserve">The four highest-priority risks are identified from the register based on likelihood, significance, impact, current control levels, and urgency. The selection includes both negative risks (threats) and positive risks (opportunities) as required by the </w:t>
      </w:r>
      <w:r w:rsidRPr="005E2D2B">
        <w:rPr>
          <w:rFonts w:ascii="Times New Roman" w:hAnsi="Times New Roman" w:cs="Times New Roman"/>
          <w:sz w:val="22"/>
          <w:szCs w:val="22"/>
        </w:rPr>
        <w:t>activity instructions. Risks are prioritised using the scoring formula: Risk Score = Likelihood Score x Impact Score.</w:t>
      </w:r>
    </w:p>
    <w:p w14:paraId="08EB4502" w14:textId="77777777" w:rsidR="00D73D02" w:rsidRPr="005E2D2B" w:rsidRDefault="00D73D02" w:rsidP="005E2D2B">
      <w:pPr>
        <w:jc w:val="both"/>
        <w:rPr>
          <w:rFonts w:ascii="Times New Roman" w:hAnsi="Times New Roman" w:cs="Times New Roman"/>
          <w:sz w:val="22"/>
          <w:szCs w:val="22"/>
        </w:rPr>
      </w:pPr>
    </w:p>
    <w:p w14:paraId="44C31998" w14:textId="77777777" w:rsidR="00D73D02" w:rsidRPr="005E2D2B" w:rsidRDefault="001C4D72" w:rsidP="005E2D2B">
      <w:pPr>
        <w:pStyle w:val="Heading2"/>
        <w:jc w:val="both"/>
        <w:rPr>
          <w:rFonts w:ascii="Times New Roman" w:hAnsi="Times New Roman" w:cs="Times New Roman"/>
          <w:sz w:val="22"/>
          <w:szCs w:val="22"/>
        </w:rPr>
      </w:pPr>
      <w:r w:rsidRPr="005E2D2B">
        <w:rPr>
          <w:rFonts w:ascii="Times New Roman" w:hAnsi="Times New Roman" w:cs="Times New Roman"/>
          <w:sz w:val="22"/>
          <w:szCs w:val="22"/>
        </w:rPr>
        <w:t>Priority Risk 1 — Data Privacy Breach | Negative Risk | Score: 72 | HIGH</w:t>
      </w:r>
    </w:p>
    <w:p w14:paraId="0BB9BB15"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Risk statement: The risk of a data privacy breach caused by inadequate security controls during platform integration resulting in regulatory penalties under PIPEDA, mandatory breach notification, and severe client trust erosion.</w:t>
      </w:r>
    </w:p>
    <w:p w14:paraId="6F4AC674" w14:textId="77777777" w:rsidR="00D73D02" w:rsidRPr="005E2D2B" w:rsidRDefault="00D73D02" w:rsidP="005E2D2B">
      <w:pPr>
        <w:jc w:val="both"/>
        <w:rPr>
          <w:rFonts w:ascii="Times New Roman" w:hAnsi="Times New Roman" w:cs="Times New Roman"/>
          <w:sz w:val="22"/>
          <w:szCs w:val="22"/>
        </w:rPr>
      </w:pPr>
    </w:p>
    <w:p w14:paraId="22AC4854"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This is the highest-scorin</w:t>
      </w:r>
      <w:r w:rsidRPr="005E2D2B">
        <w:rPr>
          <w:rFonts w:ascii="Times New Roman" w:hAnsi="Times New Roman" w:cs="Times New Roman"/>
          <w:sz w:val="22"/>
          <w:szCs w:val="22"/>
        </w:rPr>
        <w:t>g risk at 72 (Likelihood 9 x Impact 8). CIBC is combining banking and insurance client data for the first time, creating a data environment significantly more attractive to threat actors than traditional banking systems. The integration phase is the period</w:t>
      </w:r>
      <w:r w:rsidRPr="005E2D2B">
        <w:rPr>
          <w:rFonts w:ascii="Times New Roman" w:hAnsi="Times New Roman" w:cs="Times New Roman"/>
          <w:sz w:val="22"/>
          <w:szCs w:val="22"/>
        </w:rPr>
        <w:t xml:space="preserve"> of greatest vulnerability — security architecture decisions being made now determine how exposed the platform is at launch. A breach would trigger mandatory notification under PIPEDA, potential fines under Bill C-27, and media coverage that could permanen</w:t>
      </w:r>
      <w:r w:rsidRPr="005E2D2B">
        <w:rPr>
          <w:rFonts w:ascii="Times New Roman" w:hAnsi="Times New Roman" w:cs="Times New Roman"/>
          <w:sz w:val="22"/>
          <w:szCs w:val="22"/>
        </w:rPr>
        <w:t>tly damage CIBC's brand in a product category it has just entered. Urgency is extreme because the integration is actively underway and the window to embed correct security controls is narrow.</w:t>
      </w:r>
    </w:p>
    <w:p w14:paraId="465F7F7A" w14:textId="77777777" w:rsidR="00D73D02" w:rsidRPr="005E2D2B" w:rsidRDefault="00D73D02" w:rsidP="005E2D2B">
      <w:pPr>
        <w:jc w:val="both"/>
        <w:rPr>
          <w:rFonts w:ascii="Times New Roman" w:hAnsi="Times New Roman" w:cs="Times New Roman"/>
          <w:sz w:val="22"/>
          <w:szCs w:val="22"/>
        </w:rPr>
      </w:pPr>
    </w:p>
    <w:p w14:paraId="58AA57AA" w14:textId="491B6CF0"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i/>
          <w:iCs/>
          <w:sz w:val="22"/>
          <w:szCs w:val="22"/>
        </w:rPr>
        <w:t xml:space="preserve">Response strategy — Mitigation and Avoidance: A Privacy Impact </w:t>
      </w:r>
      <w:r w:rsidRPr="005E2D2B">
        <w:rPr>
          <w:rFonts w:ascii="Times New Roman" w:hAnsi="Times New Roman" w:cs="Times New Roman"/>
          <w:i/>
          <w:iCs/>
          <w:sz w:val="22"/>
          <w:szCs w:val="22"/>
        </w:rPr>
        <w:t>Assessment must be completed before go-live. Zero-trust architecture, end-to-end encryption, and 24-hour Security Operations Centre monitoring must be operational on day one. The CISO must report directly to the board on security posture monthly during the</w:t>
      </w:r>
      <w:r w:rsidRPr="005E2D2B">
        <w:rPr>
          <w:rFonts w:ascii="Times New Roman" w:hAnsi="Times New Roman" w:cs="Times New Roman"/>
          <w:i/>
          <w:iCs/>
          <w:sz w:val="22"/>
          <w:szCs w:val="22"/>
        </w:rPr>
        <w:t xml:space="preserve"> integration period. Consider avoiding specific high-risk sub-</w:t>
      </w:r>
      <w:proofErr w:type="gramStart"/>
      <w:r w:rsidRPr="005E2D2B">
        <w:rPr>
          <w:rFonts w:ascii="Times New Roman" w:hAnsi="Times New Roman" w:cs="Times New Roman"/>
          <w:i/>
          <w:iCs/>
          <w:sz w:val="22"/>
          <w:szCs w:val="22"/>
        </w:rPr>
        <w:t xml:space="preserve">features </w:t>
      </w:r>
      <w:r w:rsidR="007C11A0">
        <w:rPr>
          <w:rFonts w:ascii="Times New Roman" w:hAnsi="Times New Roman" w:cs="Times New Roman"/>
          <w:i/>
          <w:iCs/>
          <w:sz w:val="22"/>
          <w:szCs w:val="22"/>
        </w:rPr>
        <w:t>,</w:t>
      </w:r>
      <w:proofErr w:type="gramEnd"/>
      <w:r w:rsidRPr="005E2D2B">
        <w:rPr>
          <w:rFonts w:ascii="Times New Roman" w:hAnsi="Times New Roman" w:cs="Times New Roman"/>
          <w:i/>
          <w:iCs/>
          <w:sz w:val="22"/>
          <w:szCs w:val="22"/>
        </w:rPr>
        <w:t xml:space="preserve"> such as AI-only underwriting decisions — until the security framework is fully validated.</w:t>
      </w:r>
    </w:p>
    <w:p w14:paraId="19F207A0" w14:textId="77777777" w:rsidR="00D73D02" w:rsidRPr="005E2D2B" w:rsidRDefault="00D73D02" w:rsidP="005E2D2B">
      <w:pPr>
        <w:jc w:val="both"/>
        <w:rPr>
          <w:rFonts w:ascii="Times New Roman" w:hAnsi="Times New Roman" w:cs="Times New Roman"/>
          <w:sz w:val="22"/>
          <w:szCs w:val="22"/>
        </w:rPr>
      </w:pPr>
    </w:p>
    <w:p w14:paraId="751B4A0E" w14:textId="77777777" w:rsidR="00D73D02" w:rsidRPr="005E2D2B" w:rsidRDefault="001C4D72" w:rsidP="005E2D2B">
      <w:pPr>
        <w:pStyle w:val="Heading2"/>
        <w:jc w:val="both"/>
        <w:rPr>
          <w:rFonts w:ascii="Times New Roman" w:hAnsi="Times New Roman" w:cs="Times New Roman"/>
          <w:sz w:val="22"/>
          <w:szCs w:val="22"/>
        </w:rPr>
      </w:pPr>
      <w:r w:rsidRPr="005E2D2B">
        <w:rPr>
          <w:rFonts w:ascii="Times New Roman" w:hAnsi="Times New Roman" w:cs="Times New Roman"/>
          <w:sz w:val="22"/>
          <w:szCs w:val="22"/>
        </w:rPr>
        <w:t>Priority Risk 2 — First-Mover Market Capture | Positive Risk | Score: 56 | HIGH</w:t>
      </w:r>
    </w:p>
    <w:p w14:paraId="32F4FF7C"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Risk stateme</w:t>
      </w:r>
      <w:r w:rsidRPr="005E2D2B">
        <w:rPr>
          <w:rFonts w:ascii="Times New Roman" w:hAnsi="Times New Roman" w:cs="Times New Roman"/>
          <w:sz w:val="22"/>
          <w:szCs w:val="22"/>
        </w:rPr>
        <w:t>nt: The risk of capturing first-mover advantage in the Canadian digital insurance market caused by early platform launch before insurtech competitors establish dominant Canadian positions resulting in significant digital insurance market share gain and str</w:t>
      </w:r>
      <w:r w:rsidRPr="005E2D2B">
        <w:rPr>
          <w:rFonts w:ascii="Times New Roman" w:hAnsi="Times New Roman" w:cs="Times New Roman"/>
          <w:sz w:val="22"/>
          <w:szCs w:val="22"/>
        </w:rPr>
        <w:t>engthened competitive positioning for CIBC.</w:t>
      </w:r>
    </w:p>
    <w:p w14:paraId="7BFA1062" w14:textId="77777777" w:rsidR="00D73D02" w:rsidRPr="005E2D2B" w:rsidRDefault="00D73D02" w:rsidP="005E2D2B">
      <w:pPr>
        <w:jc w:val="both"/>
        <w:rPr>
          <w:rFonts w:ascii="Times New Roman" w:hAnsi="Times New Roman" w:cs="Times New Roman"/>
          <w:sz w:val="22"/>
          <w:szCs w:val="22"/>
        </w:rPr>
      </w:pPr>
    </w:p>
    <w:p w14:paraId="435385B9"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Scored at 56 (Likelihood 7 x Impact 8), this is the highest-scoring positive risk in the register. The digital insurance market in Canada is growing and underpenetrated by banks. CIBC has a narrow window to esta</w:t>
      </w:r>
      <w:r w:rsidRPr="005E2D2B">
        <w:rPr>
          <w:rFonts w:ascii="Times New Roman" w:hAnsi="Times New Roman" w:cs="Times New Roman"/>
          <w:sz w:val="22"/>
          <w:szCs w:val="22"/>
        </w:rPr>
        <w:t>blish a dominant integrated banking-and-insurance platform before competitors take the position. Market share captured early tends to be sticky — clients who purchase insurance through their bank rarely switch unless service quality fails significantly. Th</w:t>
      </w:r>
      <w:r w:rsidRPr="005E2D2B">
        <w:rPr>
          <w:rFonts w:ascii="Times New Roman" w:hAnsi="Times New Roman" w:cs="Times New Roman"/>
          <w:sz w:val="22"/>
          <w:szCs w:val="22"/>
        </w:rPr>
        <w:t>is positive risk becomes a major negative outcome if CIBC is too slow to execute. The urgency is driven by external market timing and competitor moves rather than internal operational failure.</w:t>
      </w:r>
    </w:p>
    <w:p w14:paraId="763DE970" w14:textId="77777777" w:rsidR="00D73D02" w:rsidRPr="005E2D2B" w:rsidRDefault="00D73D02" w:rsidP="005E2D2B">
      <w:pPr>
        <w:jc w:val="both"/>
        <w:rPr>
          <w:rFonts w:ascii="Times New Roman" w:hAnsi="Times New Roman" w:cs="Times New Roman"/>
          <w:sz w:val="22"/>
          <w:szCs w:val="22"/>
        </w:rPr>
      </w:pPr>
    </w:p>
    <w:p w14:paraId="403168B8" w14:textId="49EEEB2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i/>
          <w:iCs/>
          <w:sz w:val="22"/>
          <w:szCs w:val="22"/>
        </w:rPr>
        <w:t>Response strategy — Exploit (maximise the positive risk): Prot</w:t>
      </w:r>
      <w:r w:rsidRPr="005E2D2B">
        <w:rPr>
          <w:rFonts w:ascii="Times New Roman" w:hAnsi="Times New Roman" w:cs="Times New Roman"/>
          <w:i/>
          <w:iCs/>
          <w:sz w:val="22"/>
          <w:szCs w:val="22"/>
        </w:rPr>
        <w:t xml:space="preserve">ect the go-live timeline as a board-level strategic priority. Allocate a dedicated marketing budget for digital insurance brand building before and at launch. Report competitive benchmarking monthly to the strategy committee. Ensure the platform </w:t>
      </w:r>
      <w:r w:rsidRPr="005E2D2B">
        <w:rPr>
          <w:rFonts w:ascii="Times New Roman" w:hAnsi="Times New Roman" w:cs="Times New Roman"/>
          <w:i/>
          <w:iCs/>
          <w:sz w:val="22"/>
          <w:szCs w:val="22"/>
        </w:rPr>
        <w:lastRenderedPageBreak/>
        <w:t>delivers a</w:t>
      </w:r>
      <w:r w:rsidRPr="005E2D2B">
        <w:rPr>
          <w:rFonts w:ascii="Times New Roman" w:hAnsi="Times New Roman" w:cs="Times New Roman"/>
          <w:i/>
          <w:iCs/>
          <w:sz w:val="22"/>
          <w:szCs w:val="22"/>
        </w:rPr>
        <w:t xml:space="preserve"> genuinely differentiated client </w:t>
      </w:r>
      <w:proofErr w:type="gramStart"/>
      <w:r w:rsidRPr="005E2D2B">
        <w:rPr>
          <w:rFonts w:ascii="Times New Roman" w:hAnsi="Times New Roman" w:cs="Times New Roman"/>
          <w:i/>
          <w:iCs/>
          <w:sz w:val="22"/>
          <w:szCs w:val="22"/>
        </w:rPr>
        <w:t xml:space="preserve">experience </w:t>
      </w:r>
      <w:r w:rsidR="007C11A0">
        <w:rPr>
          <w:rFonts w:ascii="Times New Roman" w:hAnsi="Times New Roman" w:cs="Times New Roman"/>
          <w:i/>
          <w:iCs/>
          <w:sz w:val="22"/>
          <w:szCs w:val="22"/>
        </w:rPr>
        <w:t>,</w:t>
      </w:r>
      <w:proofErr w:type="gramEnd"/>
      <w:r w:rsidRPr="005E2D2B">
        <w:rPr>
          <w:rFonts w:ascii="Times New Roman" w:hAnsi="Times New Roman" w:cs="Times New Roman"/>
          <w:i/>
          <w:iCs/>
          <w:sz w:val="22"/>
          <w:szCs w:val="22"/>
        </w:rPr>
        <w:t xml:space="preserve"> speed, simplicity, and integration with existing banking features — </w:t>
      </w:r>
      <w:r w:rsidR="007C11A0" w:rsidRPr="005E2D2B">
        <w:rPr>
          <w:rFonts w:ascii="Times New Roman" w:hAnsi="Times New Roman" w:cs="Times New Roman"/>
          <w:i/>
          <w:iCs/>
          <w:sz w:val="22"/>
          <w:szCs w:val="22"/>
        </w:rPr>
        <w:t>that competitor</w:t>
      </w:r>
      <w:r w:rsidRPr="005E2D2B">
        <w:rPr>
          <w:rFonts w:ascii="Times New Roman" w:hAnsi="Times New Roman" w:cs="Times New Roman"/>
          <w:i/>
          <w:iCs/>
          <w:sz w:val="22"/>
          <w:szCs w:val="22"/>
        </w:rPr>
        <w:t xml:space="preserve"> cannot easily replicate.</w:t>
      </w:r>
    </w:p>
    <w:p w14:paraId="428B3E93" w14:textId="77777777" w:rsidR="00D73D02" w:rsidRPr="005E2D2B" w:rsidRDefault="00D73D02" w:rsidP="005E2D2B">
      <w:pPr>
        <w:jc w:val="both"/>
        <w:rPr>
          <w:rFonts w:ascii="Times New Roman" w:hAnsi="Times New Roman" w:cs="Times New Roman"/>
          <w:sz w:val="22"/>
          <w:szCs w:val="22"/>
        </w:rPr>
      </w:pPr>
    </w:p>
    <w:p w14:paraId="72EC5E2C" w14:textId="77777777" w:rsidR="00D73D02" w:rsidRPr="005E2D2B" w:rsidRDefault="001C4D72" w:rsidP="005E2D2B">
      <w:pPr>
        <w:pStyle w:val="Heading2"/>
        <w:jc w:val="both"/>
        <w:rPr>
          <w:rFonts w:ascii="Times New Roman" w:hAnsi="Times New Roman" w:cs="Times New Roman"/>
          <w:sz w:val="22"/>
          <w:szCs w:val="22"/>
        </w:rPr>
      </w:pPr>
      <w:r w:rsidRPr="005E2D2B">
        <w:rPr>
          <w:rFonts w:ascii="Times New Roman" w:hAnsi="Times New Roman" w:cs="Times New Roman"/>
          <w:sz w:val="22"/>
          <w:szCs w:val="22"/>
        </w:rPr>
        <w:t>Priority Risk 3 — System Integration Failure | Negative Risk | Score: 56 | HIGH</w:t>
      </w:r>
    </w:p>
    <w:p w14:paraId="70E5B6D7"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Risk statement: The</w:t>
      </w:r>
      <w:r w:rsidRPr="005E2D2B">
        <w:rPr>
          <w:rFonts w:ascii="Times New Roman" w:hAnsi="Times New Roman" w:cs="Times New Roman"/>
          <w:sz w:val="22"/>
          <w:szCs w:val="22"/>
        </w:rPr>
        <w:t xml:space="preserve"> risk of critical system integration failure caused by API incompatibility between CIBC legacy core banking and the cloud-native insurance platform resulting in insurance transaction failures, data loss, and client-facing service outages during rollout.</w:t>
      </w:r>
    </w:p>
    <w:p w14:paraId="37A455DC" w14:textId="77777777" w:rsidR="00D73D02" w:rsidRPr="005E2D2B" w:rsidRDefault="00D73D02" w:rsidP="005E2D2B">
      <w:pPr>
        <w:jc w:val="both"/>
        <w:rPr>
          <w:rFonts w:ascii="Times New Roman" w:hAnsi="Times New Roman" w:cs="Times New Roman"/>
          <w:sz w:val="22"/>
          <w:szCs w:val="22"/>
        </w:rPr>
      </w:pPr>
    </w:p>
    <w:p w14:paraId="367EA739"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A</w:t>
      </w:r>
      <w:r w:rsidRPr="005E2D2B">
        <w:rPr>
          <w:rFonts w:ascii="Times New Roman" w:hAnsi="Times New Roman" w:cs="Times New Roman"/>
          <w:sz w:val="22"/>
          <w:szCs w:val="22"/>
        </w:rPr>
        <w:t>lso scored at 56 (Likelihood 7 x Impact 8), this reflects the technical reality that CIBC's banking infrastructure was not designed to interface with a cloud-native insurance system. Incompatible APIs, mismatched data schemas, and middleware gaps are commo</w:t>
      </w:r>
      <w:r w:rsidRPr="005E2D2B">
        <w:rPr>
          <w:rFonts w:ascii="Times New Roman" w:hAnsi="Times New Roman" w:cs="Times New Roman"/>
          <w:sz w:val="22"/>
          <w:szCs w:val="22"/>
        </w:rPr>
        <w:t>n in this type of integration and can produce visible service failures for clients. Unlike many banking errors, insurance transaction failures carry legal and contractual implications — making this a compliance event as well as an operational one. Integrat</w:t>
      </w:r>
      <w:r w:rsidRPr="005E2D2B">
        <w:rPr>
          <w:rFonts w:ascii="Times New Roman" w:hAnsi="Times New Roman" w:cs="Times New Roman"/>
          <w:sz w:val="22"/>
          <w:szCs w:val="22"/>
        </w:rPr>
        <w:t>ion decisions being made now will determine resilience at launch.</w:t>
      </w:r>
    </w:p>
    <w:p w14:paraId="33E2086E" w14:textId="77777777" w:rsidR="00D73D02" w:rsidRPr="005E2D2B" w:rsidRDefault="00D73D02" w:rsidP="005E2D2B">
      <w:pPr>
        <w:jc w:val="both"/>
        <w:rPr>
          <w:rFonts w:ascii="Times New Roman" w:hAnsi="Times New Roman" w:cs="Times New Roman"/>
          <w:sz w:val="22"/>
          <w:szCs w:val="22"/>
        </w:rPr>
      </w:pPr>
    </w:p>
    <w:p w14:paraId="016A2BD2"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i/>
          <w:iCs/>
          <w:sz w:val="22"/>
          <w:szCs w:val="22"/>
        </w:rPr>
        <w:t>Response strategy — Mitigation: A phased implementation plan with formal testing gates at each stage, rollback procedures for each phase, and a dedicated integration testing environment mus</w:t>
      </w:r>
      <w:r w:rsidRPr="005E2D2B">
        <w:rPr>
          <w:rFonts w:ascii="Times New Roman" w:hAnsi="Times New Roman" w:cs="Times New Roman"/>
          <w:i/>
          <w:iCs/>
          <w:sz w:val="22"/>
          <w:szCs w:val="22"/>
        </w:rPr>
        <w:t>t be established. The CTO must provide weekly status reports to senior leadership. Any phase that fails integration testing must not proceed to the next stage until defects are resolved.</w:t>
      </w:r>
    </w:p>
    <w:p w14:paraId="611FD22E" w14:textId="77777777" w:rsidR="00D73D02" w:rsidRPr="005E2D2B" w:rsidRDefault="00D73D02" w:rsidP="005E2D2B">
      <w:pPr>
        <w:jc w:val="both"/>
        <w:rPr>
          <w:rFonts w:ascii="Times New Roman" w:hAnsi="Times New Roman" w:cs="Times New Roman"/>
          <w:sz w:val="22"/>
          <w:szCs w:val="22"/>
        </w:rPr>
      </w:pPr>
    </w:p>
    <w:p w14:paraId="1CCF2613" w14:textId="77777777" w:rsidR="00D73D02" w:rsidRPr="005E2D2B" w:rsidRDefault="001C4D72" w:rsidP="005E2D2B">
      <w:pPr>
        <w:pStyle w:val="Heading2"/>
        <w:jc w:val="both"/>
        <w:rPr>
          <w:rFonts w:ascii="Times New Roman" w:hAnsi="Times New Roman" w:cs="Times New Roman"/>
          <w:sz w:val="22"/>
          <w:szCs w:val="22"/>
        </w:rPr>
      </w:pPr>
      <w:r w:rsidRPr="005E2D2B">
        <w:rPr>
          <w:rFonts w:ascii="Times New Roman" w:hAnsi="Times New Roman" w:cs="Times New Roman"/>
          <w:sz w:val="22"/>
          <w:szCs w:val="22"/>
        </w:rPr>
        <w:t>Priority Risk 4 — Regulatory and Compliance Exposure | Negative Risk</w:t>
      </w:r>
      <w:r w:rsidRPr="005E2D2B">
        <w:rPr>
          <w:rFonts w:ascii="Times New Roman" w:hAnsi="Times New Roman" w:cs="Times New Roman"/>
          <w:sz w:val="22"/>
          <w:szCs w:val="22"/>
        </w:rPr>
        <w:t xml:space="preserve"> | Score: 56 | HIGH</w:t>
      </w:r>
    </w:p>
    <w:p w14:paraId="51F47367"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Risk statement: The risk of regulatory non-compliance caused by rapidly evolving provincial insurance rules and federal data privacy legislation resulting in regulatory fines, forced product withdrawal, and reputational damage.</w:t>
      </w:r>
    </w:p>
    <w:p w14:paraId="29FC21B8" w14:textId="77777777" w:rsidR="00D73D02" w:rsidRPr="005E2D2B" w:rsidRDefault="00D73D02" w:rsidP="005E2D2B">
      <w:pPr>
        <w:jc w:val="both"/>
        <w:rPr>
          <w:rFonts w:ascii="Times New Roman" w:hAnsi="Times New Roman" w:cs="Times New Roman"/>
          <w:sz w:val="22"/>
          <w:szCs w:val="22"/>
        </w:rPr>
      </w:pPr>
    </w:p>
    <w:p w14:paraId="48A64784"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Also sc</w:t>
      </w:r>
      <w:r w:rsidRPr="005E2D2B">
        <w:rPr>
          <w:rFonts w:ascii="Times New Roman" w:hAnsi="Times New Roman" w:cs="Times New Roman"/>
          <w:sz w:val="22"/>
          <w:szCs w:val="22"/>
        </w:rPr>
        <w:t>ored at 56 (Likelihood 7 x Impact 8), this risk is complex because CIBC is simultaneously entering a new regulated product category while navigating evolving obligations under PIPEDA and Bill C-27. Provincial insurance regulators have different requirement</w:t>
      </w:r>
      <w:r w:rsidRPr="005E2D2B">
        <w:rPr>
          <w:rFonts w:ascii="Times New Roman" w:hAnsi="Times New Roman" w:cs="Times New Roman"/>
          <w:sz w:val="22"/>
          <w:szCs w:val="22"/>
        </w:rPr>
        <w:t>s across Canada's provinces and territories, and AI-assisted underwriting introduces transparency and explainability obligations that are still being defined by regulators. The regulatory landscape could shift after the platform is live, requiring expensiv</w:t>
      </w:r>
      <w:r w:rsidRPr="005E2D2B">
        <w:rPr>
          <w:rFonts w:ascii="Times New Roman" w:hAnsi="Times New Roman" w:cs="Times New Roman"/>
          <w:sz w:val="22"/>
          <w:szCs w:val="22"/>
        </w:rPr>
        <w:t>e system modifications on short timelines. This risk is particularly difficult to control because it is largely driven by external regulatory developments.</w:t>
      </w:r>
    </w:p>
    <w:p w14:paraId="2E126B38" w14:textId="77777777" w:rsidR="00D73D02" w:rsidRPr="005E2D2B" w:rsidRDefault="00D73D02" w:rsidP="005E2D2B">
      <w:pPr>
        <w:jc w:val="both"/>
        <w:rPr>
          <w:rFonts w:ascii="Times New Roman" w:hAnsi="Times New Roman" w:cs="Times New Roman"/>
          <w:sz w:val="22"/>
          <w:szCs w:val="22"/>
        </w:rPr>
      </w:pPr>
    </w:p>
    <w:p w14:paraId="13A81C23" w14:textId="7D929D4C"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i/>
          <w:iCs/>
          <w:sz w:val="22"/>
          <w:szCs w:val="22"/>
        </w:rPr>
        <w:t>Response strategy — Mitigation and Transfer: Embed a compliance officer in the project team from da</w:t>
      </w:r>
      <w:r w:rsidRPr="005E2D2B">
        <w:rPr>
          <w:rFonts w:ascii="Times New Roman" w:hAnsi="Times New Roman" w:cs="Times New Roman"/>
          <w:i/>
          <w:iCs/>
          <w:sz w:val="22"/>
          <w:szCs w:val="22"/>
        </w:rPr>
        <w:t xml:space="preserve">y one. Use automated regulatory monitoring tools to flag new requirements as they emerge. The board must formally approve a compliance roadmap before go-live. Explore regulatory liability insurance as a transfer mechanism for the most uncertain compliance </w:t>
      </w:r>
      <w:proofErr w:type="gramStart"/>
      <w:r w:rsidRPr="005E2D2B">
        <w:rPr>
          <w:rFonts w:ascii="Times New Roman" w:hAnsi="Times New Roman" w:cs="Times New Roman"/>
          <w:i/>
          <w:iCs/>
          <w:sz w:val="22"/>
          <w:szCs w:val="22"/>
        </w:rPr>
        <w:t xml:space="preserve">exposures </w:t>
      </w:r>
      <w:r w:rsidR="007C11A0">
        <w:rPr>
          <w:rFonts w:ascii="Times New Roman" w:hAnsi="Times New Roman" w:cs="Times New Roman"/>
          <w:i/>
          <w:iCs/>
          <w:sz w:val="22"/>
          <w:szCs w:val="22"/>
        </w:rPr>
        <w:t>,</w:t>
      </w:r>
      <w:proofErr w:type="gramEnd"/>
      <w:r w:rsidRPr="005E2D2B">
        <w:rPr>
          <w:rFonts w:ascii="Times New Roman" w:hAnsi="Times New Roman" w:cs="Times New Roman"/>
          <w:i/>
          <w:iCs/>
          <w:sz w:val="22"/>
          <w:szCs w:val="22"/>
        </w:rPr>
        <w:t xml:space="preserve"> particularly those related to AI underwriting decisions.</w:t>
      </w:r>
    </w:p>
    <w:p w14:paraId="334C278F" w14:textId="77777777" w:rsidR="00D73D02" w:rsidRPr="005E2D2B" w:rsidRDefault="00D73D02" w:rsidP="005E2D2B">
      <w:pPr>
        <w:jc w:val="both"/>
        <w:rPr>
          <w:rFonts w:ascii="Times New Roman" w:hAnsi="Times New Roman" w:cs="Times New Roman"/>
          <w:sz w:val="22"/>
          <w:szCs w:val="22"/>
        </w:rPr>
      </w:pPr>
    </w:p>
    <w:p w14:paraId="0B965F4F" w14:textId="77777777" w:rsidR="00D73D02" w:rsidRPr="005E2D2B" w:rsidRDefault="001C4D72" w:rsidP="005E2D2B">
      <w:pPr>
        <w:pStyle w:val="Heading1"/>
        <w:jc w:val="both"/>
        <w:rPr>
          <w:rFonts w:ascii="Times New Roman" w:hAnsi="Times New Roman" w:cs="Times New Roman"/>
          <w:sz w:val="22"/>
          <w:szCs w:val="22"/>
        </w:rPr>
      </w:pPr>
      <w:r w:rsidRPr="005E2D2B">
        <w:rPr>
          <w:rFonts w:ascii="Times New Roman" w:hAnsi="Times New Roman" w:cs="Times New Roman"/>
          <w:sz w:val="22"/>
          <w:szCs w:val="22"/>
        </w:rPr>
        <w:t>7. Conclusion</w:t>
      </w:r>
    </w:p>
    <w:p w14:paraId="22D322AE" w14:textId="0C5E26B1"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CIBC's adoption of a digital insurance platform creates an ERM challenge that spans negative risks (cybersecurity, integration failure, regulatory exposure) and positive risks (first-mover advantage, cross-sell revenue, brand leadership). Using the M3 risk</w:t>
      </w:r>
      <w:r w:rsidRPr="005E2D2B">
        <w:rPr>
          <w:rFonts w:ascii="Times New Roman" w:hAnsi="Times New Roman" w:cs="Times New Roman"/>
          <w:sz w:val="22"/>
          <w:szCs w:val="22"/>
        </w:rPr>
        <w:t xml:space="preserve"> scoring framework, 12 risks were identified, categorised, </w:t>
      </w:r>
      <w:r w:rsidRPr="005E2D2B">
        <w:rPr>
          <w:rFonts w:ascii="Times New Roman" w:hAnsi="Times New Roman" w:cs="Times New Roman"/>
          <w:sz w:val="22"/>
          <w:szCs w:val="22"/>
        </w:rPr>
        <w:lastRenderedPageBreak/>
        <w:t xml:space="preserve">scored, and prioritised. Four carry a </w:t>
      </w:r>
      <w:r w:rsidR="007C11A0" w:rsidRPr="005E2D2B">
        <w:rPr>
          <w:rFonts w:ascii="Times New Roman" w:hAnsi="Times New Roman" w:cs="Times New Roman"/>
          <w:sz w:val="22"/>
          <w:szCs w:val="22"/>
        </w:rPr>
        <w:t>high</w:t>
      </w:r>
      <w:r w:rsidRPr="005E2D2B">
        <w:rPr>
          <w:rFonts w:ascii="Times New Roman" w:hAnsi="Times New Roman" w:cs="Times New Roman"/>
          <w:sz w:val="22"/>
          <w:szCs w:val="22"/>
        </w:rPr>
        <w:t xml:space="preserve"> priority rating — three negative and one positive — each requiring a Risk Mitigation Plan with board-level oversight.</w:t>
      </w:r>
    </w:p>
    <w:p w14:paraId="18E643E8" w14:textId="77777777" w:rsidR="00D73D02" w:rsidRPr="005E2D2B" w:rsidRDefault="00D73D02" w:rsidP="005E2D2B">
      <w:pPr>
        <w:jc w:val="both"/>
        <w:rPr>
          <w:rFonts w:ascii="Times New Roman" w:hAnsi="Times New Roman" w:cs="Times New Roman"/>
          <w:sz w:val="22"/>
          <w:szCs w:val="22"/>
        </w:rPr>
      </w:pPr>
    </w:p>
    <w:p w14:paraId="54C7D4D3" w14:textId="77777777" w:rsidR="00D73D02" w:rsidRPr="005E2D2B" w:rsidRDefault="001C4D72" w:rsidP="005E2D2B">
      <w:pPr>
        <w:spacing w:before="80" w:after="80"/>
        <w:jc w:val="both"/>
        <w:rPr>
          <w:rFonts w:ascii="Times New Roman" w:hAnsi="Times New Roman" w:cs="Times New Roman"/>
          <w:sz w:val="22"/>
          <w:szCs w:val="22"/>
        </w:rPr>
      </w:pPr>
      <w:r w:rsidRPr="005E2D2B">
        <w:rPr>
          <w:rFonts w:ascii="Times New Roman" w:hAnsi="Times New Roman" w:cs="Times New Roman"/>
          <w:sz w:val="22"/>
          <w:szCs w:val="22"/>
        </w:rPr>
        <w:t>The KRI framework provides measurab</w:t>
      </w:r>
      <w:r w:rsidRPr="005E2D2B">
        <w:rPr>
          <w:rFonts w:ascii="Times New Roman" w:hAnsi="Times New Roman" w:cs="Times New Roman"/>
          <w:sz w:val="22"/>
          <w:szCs w:val="22"/>
        </w:rPr>
        <w:t>le, threshold-based signals across people, processes, technology, facilities, compliance, and financial dimensions. The three problem statements translate SWOT findings into actionable monitoring priorities. The contributing factors and controls table give</w:t>
      </w:r>
      <w:r w:rsidRPr="005E2D2B">
        <w:rPr>
          <w:rFonts w:ascii="Times New Roman" w:hAnsi="Times New Roman" w:cs="Times New Roman"/>
          <w:sz w:val="22"/>
          <w:szCs w:val="22"/>
        </w:rPr>
        <w:t>s CIBC's risk management team a preliminary treatment plan for both sides of the risk equation. Together, these tools represent a complete ERM approach to one of the most strategically significant decisions CIBC is likely to make this decade.</w:t>
      </w:r>
    </w:p>
    <w:p w14:paraId="113C8FAD" w14:textId="77777777" w:rsidR="00D73D02" w:rsidRPr="005E2D2B" w:rsidRDefault="00D73D02" w:rsidP="005E2D2B">
      <w:pPr>
        <w:jc w:val="both"/>
        <w:rPr>
          <w:rFonts w:ascii="Times New Roman" w:hAnsi="Times New Roman" w:cs="Times New Roman"/>
          <w:sz w:val="22"/>
          <w:szCs w:val="22"/>
        </w:rPr>
      </w:pPr>
    </w:p>
    <w:p w14:paraId="5B609E56" w14:textId="77777777" w:rsidR="00D73D02" w:rsidRPr="005E2D2B" w:rsidRDefault="00D73D02">
      <w:pPr>
        <w:pageBreakBefore/>
        <w:rPr>
          <w:rFonts w:ascii="Times New Roman" w:hAnsi="Times New Roman" w:cs="Times New Roman"/>
          <w:sz w:val="22"/>
          <w:szCs w:val="22"/>
        </w:rPr>
      </w:pPr>
    </w:p>
    <w:p w14:paraId="24A735D1" w14:textId="77777777" w:rsidR="00D73D02" w:rsidRPr="005E2D2B" w:rsidRDefault="001C4D72">
      <w:pPr>
        <w:pStyle w:val="Heading1"/>
        <w:rPr>
          <w:rFonts w:ascii="Times New Roman" w:hAnsi="Times New Roman" w:cs="Times New Roman"/>
          <w:sz w:val="22"/>
          <w:szCs w:val="22"/>
        </w:rPr>
      </w:pPr>
      <w:r w:rsidRPr="005E2D2B">
        <w:rPr>
          <w:rFonts w:ascii="Times New Roman" w:hAnsi="Times New Roman" w:cs="Times New Roman"/>
          <w:sz w:val="22"/>
          <w:szCs w:val="22"/>
        </w:rPr>
        <w:t>References</w:t>
      </w:r>
    </w:p>
    <w:p w14:paraId="3DC84DF8" w14:textId="77777777" w:rsidR="00D73D02" w:rsidRPr="005E2D2B" w:rsidRDefault="001C4D72" w:rsidP="005E2D2B">
      <w:pPr>
        <w:spacing w:before="80" w:after="80"/>
        <w:ind w:left="720" w:hanging="720"/>
        <w:jc w:val="both"/>
        <w:rPr>
          <w:rFonts w:ascii="Times New Roman" w:hAnsi="Times New Roman" w:cs="Times New Roman"/>
          <w:sz w:val="22"/>
          <w:szCs w:val="22"/>
        </w:rPr>
      </w:pPr>
      <w:r w:rsidRPr="005E2D2B">
        <w:rPr>
          <w:rFonts w:ascii="Times New Roman" w:hAnsi="Times New Roman" w:cs="Times New Roman"/>
          <w:sz w:val="22"/>
          <w:szCs w:val="22"/>
        </w:rPr>
        <w:t xml:space="preserve">Beasley, M. S., Branson, B. C., &amp; Hancock, B. V. (2010). </w:t>
      </w:r>
      <w:r w:rsidRPr="005E2D2B">
        <w:rPr>
          <w:rFonts w:ascii="Times New Roman" w:hAnsi="Times New Roman" w:cs="Times New Roman"/>
          <w:i/>
          <w:iCs/>
          <w:sz w:val="22"/>
          <w:szCs w:val="22"/>
        </w:rPr>
        <w:t>Developing key risk indicators to strengthen enterprise risk management.</w:t>
      </w:r>
      <w:r w:rsidRPr="005E2D2B">
        <w:rPr>
          <w:rFonts w:ascii="Times New Roman" w:hAnsi="Times New Roman" w:cs="Times New Roman"/>
          <w:sz w:val="22"/>
          <w:szCs w:val="22"/>
        </w:rPr>
        <w:t xml:space="preserve"> Committee of Sponsoring Organizations of the Treadway Commission. https://www.coso.org</w:t>
      </w:r>
    </w:p>
    <w:p w14:paraId="48640207" w14:textId="77777777" w:rsidR="00D73D02" w:rsidRPr="005E2D2B" w:rsidRDefault="001C4D72" w:rsidP="005E2D2B">
      <w:pPr>
        <w:spacing w:before="80" w:after="80"/>
        <w:ind w:left="720" w:hanging="720"/>
        <w:jc w:val="both"/>
        <w:rPr>
          <w:rFonts w:ascii="Times New Roman" w:hAnsi="Times New Roman" w:cs="Times New Roman"/>
          <w:sz w:val="22"/>
          <w:szCs w:val="22"/>
        </w:rPr>
      </w:pPr>
      <w:r w:rsidRPr="005E2D2B">
        <w:rPr>
          <w:rFonts w:ascii="Times New Roman" w:hAnsi="Times New Roman" w:cs="Times New Roman"/>
          <w:sz w:val="22"/>
          <w:szCs w:val="22"/>
        </w:rPr>
        <w:t xml:space="preserve">CIBC. (2024). </w:t>
      </w:r>
      <w:r w:rsidRPr="005E2D2B">
        <w:rPr>
          <w:rFonts w:ascii="Times New Roman" w:hAnsi="Times New Roman" w:cs="Times New Roman"/>
          <w:i/>
          <w:iCs/>
          <w:sz w:val="22"/>
          <w:szCs w:val="22"/>
        </w:rPr>
        <w:t>About CIBC.</w:t>
      </w:r>
      <w:r w:rsidRPr="005E2D2B">
        <w:rPr>
          <w:rFonts w:ascii="Times New Roman" w:hAnsi="Times New Roman" w:cs="Times New Roman"/>
          <w:sz w:val="22"/>
          <w:szCs w:val="22"/>
        </w:rPr>
        <w:t xml:space="preserve"> https://www.c</w:t>
      </w:r>
      <w:r w:rsidRPr="005E2D2B">
        <w:rPr>
          <w:rFonts w:ascii="Times New Roman" w:hAnsi="Times New Roman" w:cs="Times New Roman"/>
          <w:sz w:val="22"/>
          <w:szCs w:val="22"/>
        </w:rPr>
        <w:t>ibc.com</w:t>
      </w:r>
    </w:p>
    <w:p w14:paraId="3FAEA5B4" w14:textId="77777777" w:rsidR="00D73D02" w:rsidRPr="005E2D2B" w:rsidRDefault="001C4D72" w:rsidP="005E2D2B">
      <w:pPr>
        <w:spacing w:before="80" w:after="80"/>
        <w:ind w:left="720" w:hanging="720"/>
        <w:jc w:val="both"/>
        <w:rPr>
          <w:rFonts w:ascii="Times New Roman" w:hAnsi="Times New Roman" w:cs="Times New Roman"/>
          <w:sz w:val="22"/>
          <w:szCs w:val="22"/>
        </w:rPr>
      </w:pPr>
      <w:r w:rsidRPr="005E2D2B">
        <w:rPr>
          <w:rFonts w:ascii="Times New Roman" w:hAnsi="Times New Roman" w:cs="Times New Roman"/>
          <w:sz w:val="22"/>
          <w:szCs w:val="22"/>
        </w:rPr>
        <w:t xml:space="preserve">Curtis, P., &amp; Carey, M. (2012). </w:t>
      </w:r>
      <w:r w:rsidRPr="005E2D2B">
        <w:rPr>
          <w:rFonts w:ascii="Times New Roman" w:hAnsi="Times New Roman" w:cs="Times New Roman"/>
          <w:i/>
          <w:iCs/>
          <w:sz w:val="22"/>
          <w:szCs w:val="22"/>
        </w:rPr>
        <w:t>Risk assessment in practice.</w:t>
      </w:r>
      <w:r w:rsidRPr="005E2D2B">
        <w:rPr>
          <w:rFonts w:ascii="Times New Roman" w:hAnsi="Times New Roman" w:cs="Times New Roman"/>
          <w:sz w:val="22"/>
          <w:szCs w:val="22"/>
        </w:rPr>
        <w:t xml:space="preserve"> Deloitte &amp; </w:t>
      </w:r>
      <w:proofErr w:type="spellStart"/>
      <w:r w:rsidRPr="005E2D2B">
        <w:rPr>
          <w:rFonts w:ascii="Times New Roman" w:hAnsi="Times New Roman" w:cs="Times New Roman"/>
          <w:sz w:val="22"/>
          <w:szCs w:val="22"/>
        </w:rPr>
        <w:t>Touche</w:t>
      </w:r>
      <w:proofErr w:type="spellEnd"/>
      <w:r w:rsidRPr="005E2D2B">
        <w:rPr>
          <w:rFonts w:ascii="Times New Roman" w:hAnsi="Times New Roman" w:cs="Times New Roman"/>
          <w:sz w:val="22"/>
          <w:szCs w:val="22"/>
        </w:rPr>
        <w:t xml:space="preserve"> LLP &amp; Committee of Sponsoring Organizations of the Treadway Commission. https://www.coso.org</w:t>
      </w:r>
    </w:p>
    <w:p w14:paraId="2A17B818" w14:textId="77777777" w:rsidR="00D73D02" w:rsidRPr="005E2D2B" w:rsidRDefault="001C4D72" w:rsidP="005E2D2B">
      <w:pPr>
        <w:spacing w:before="80" w:after="80"/>
        <w:ind w:left="720" w:hanging="720"/>
        <w:jc w:val="both"/>
        <w:rPr>
          <w:rFonts w:ascii="Times New Roman" w:hAnsi="Times New Roman" w:cs="Times New Roman"/>
          <w:sz w:val="22"/>
          <w:szCs w:val="22"/>
        </w:rPr>
      </w:pPr>
      <w:r w:rsidRPr="005E2D2B">
        <w:rPr>
          <w:rFonts w:ascii="Times New Roman" w:hAnsi="Times New Roman" w:cs="Times New Roman"/>
          <w:sz w:val="22"/>
          <w:szCs w:val="22"/>
        </w:rPr>
        <w:t xml:space="preserve">Deloitte. (2013). </w:t>
      </w:r>
      <w:r w:rsidRPr="005E2D2B">
        <w:rPr>
          <w:rFonts w:ascii="Times New Roman" w:hAnsi="Times New Roman" w:cs="Times New Roman"/>
          <w:i/>
          <w:iCs/>
          <w:sz w:val="22"/>
          <w:szCs w:val="22"/>
        </w:rPr>
        <w:t xml:space="preserve">Exploring strategic risk: 300 executives around the world </w:t>
      </w:r>
      <w:r w:rsidRPr="005E2D2B">
        <w:rPr>
          <w:rFonts w:ascii="Times New Roman" w:hAnsi="Times New Roman" w:cs="Times New Roman"/>
          <w:i/>
          <w:iCs/>
          <w:sz w:val="22"/>
          <w:szCs w:val="22"/>
        </w:rPr>
        <w:t>say their view of strategic risk is changing.</w:t>
      </w:r>
      <w:r w:rsidRPr="005E2D2B">
        <w:rPr>
          <w:rFonts w:ascii="Times New Roman" w:hAnsi="Times New Roman" w:cs="Times New Roman"/>
          <w:sz w:val="22"/>
          <w:szCs w:val="22"/>
        </w:rPr>
        <w:t xml:space="preserve"> Deloitte/Forbes Insights. https://www.deloitte.com/strategicrisksurvey</w:t>
      </w:r>
    </w:p>
    <w:p w14:paraId="6AFE320E" w14:textId="77777777" w:rsidR="00D73D02" w:rsidRPr="005E2D2B" w:rsidRDefault="001C4D72" w:rsidP="005E2D2B">
      <w:pPr>
        <w:spacing w:before="80" w:after="80"/>
        <w:ind w:left="720" w:hanging="720"/>
        <w:jc w:val="both"/>
        <w:rPr>
          <w:rFonts w:ascii="Times New Roman" w:hAnsi="Times New Roman" w:cs="Times New Roman"/>
          <w:sz w:val="22"/>
          <w:szCs w:val="22"/>
        </w:rPr>
      </w:pPr>
      <w:proofErr w:type="spellStart"/>
      <w:r w:rsidRPr="005E2D2B">
        <w:rPr>
          <w:rFonts w:ascii="Times New Roman" w:hAnsi="Times New Roman" w:cs="Times New Roman"/>
          <w:sz w:val="22"/>
          <w:szCs w:val="22"/>
        </w:rPr>
        <w:t>Strachnyi</w:t>
      </w:r>
      <w:proofErr w:type="spellEnd"/>
      <w:r w:rsidRPr="005E2D2B">
        <w:rPr>
          <w:rFonts w:ascii="Times New Roman" w:hAnsi="Times New Roman" w:cs="Times New Roman"/>
          <w:sz w:val="22"/>
          <w:szCs w:val="22"/>
        </w:rPr>
        <w:t xml:space="preserve">, K. (n.d.). </w:t>
      </w:r>
      <w:r w:rsidRPr="005E2D2B">
        <w:rPr>
          <w:rFonts w:ascii="Times New Roman" w:hAnsi="Times New Roman" w:cs="Times New Roman"/>
          <w:i/>
          <w:iCs/>
          <w:sz w:val="22"/>
          <w:szCs w:val="22"/>
        </w:rPr>
        <w:t>Operational risk: Key risk indicators.</w:t>
      </w:r>
      <w:r w:rsidRPr="005E2D2B">
        <w:rPr>
          <w:rFonts w:ascii="Times New Roman" w:hAnsi="Times New Roman" w:cs="Times New Roman"/>
          <w:sz w:val="22"/>
          <w:szCs w:val="22"/>
        </w:rPr>
        <w:t xml:space="preserve"> Workiva. https://www.workiva.com/blog/operational-risk-key-risk-indicators-kri</w:t>
      </w:r>
      <w:r w:rsidRPr="005E2D2B">
        <w:rPr>
          <w:rFonts w:ascii="Times New Roman" w:hAnsi="Times New Roman" w:cs="Times New Roman"/>
          <w:sz w:val="22"/>
          <w:szCs w:val="22"/>
        </w:rPr>
        <w:t>s</w:t>
      </w:r>
    </w:p>
    <w:p w14:paraId="34D32BE9" w14:textId="77777777" w:rsidR="00D73D02" w:rsidRDefault="00D73D02">
      <w:pPr>
        <w:sectPr w:rsidR="00D73D02">
          <w:headerReference w:type="default" r:id="rId9"/>
          <w:pgSz w:w="12240" w:h="15840"/>
          <w:pgMar w:top="1440" w:right="1440" w:bottom="1440" w:left="1440" w:header="708" w:footer="708" w:gutter="0"/>
          <w:pgNumType w:start="2"/>
          <w:cols w:space="720"/>
          <w:docGrid w:linePitch="360"/>
        </w:sectPr>
      </w:pPr>
    </w:p>
    <w:p w14:paraId="244867FB" w14:textId="77777777" w:rsidR="00D73D02" w:rsidRPr="005E2D2B" w:rsidRDefault="001C4D72">
      <w:pPr>
        <w:spacing w:after="100"/>
        <w:rPr>
          <w:rFonts w:ascii="Times New Roman" w:hAnsi="Times New Roman" w:cs="Times New Roman"/>
        </w:rPr>
      </w:pPr>
      <w:r w:rsidRPr="005E2D2B">
        <w:rPr>
          <w:rFonts w:ascii="Times New Roman" w:hAnsi="Times New Roman" w:cs="Times New Roman"/>
          <w:b/>
          <w:bCs/>
          <w:sz w:val="22"/>
          <w:szCs w:val="22"/>
        </w:rPr>
        <w:lastRenderedPageBreak/>
        <w:t>Risk Register — CIBC Digital Insurance Platform Adoption (ALY6130 W2 In-Class Activity)</w:t>
      </w:r>
    </w:p>
    <w:p w14:paraId="08C9D5F6" w14:textId="77777777" w:rsidR="00D73D02" w:rsidRPr="005E2D2B" w:rsidRDefault="001C4D72">
      <w:pPr>
        <w:spacing w:before="80" w:after="80"/>
        <w:rPr>
          <w:rFonts w:ascii="Times New Roman" w:hAnsi="Times New Roman" w:cs="Times New Roman"/>
        </w:rPr>
      </w:pPr>
      <w:r w:rsidRPr="005E2D2B">
        <w:rPr>
          <w:rFonts w:ascii="Times New Roman" w:hAnsi="Times New Roman" w:cs="Times New Roman"/>
        </w:rPr>
        <w:t>Risk Statement Format: The risk of... | caused by... | resulting in... | Scored: Likelihood x Impact. Positive risks are opportunities; Negati</w:t>
      </w:r>
      <w:r w:rsidRPr="005E2D2B">
        <w:rPr>
          <w:rFonts w:ascii="Times New Roman" w:hAnsi="Times New Roman" w:cs="Times New Roman"/>
        </w:rPr>
        <w:t>ve risks are threats.</w:t>
      </w:r>
    </w:p>
    <w:p w14:paraId="422206AC" w14:textId="77777777" w:rsidR="00D73D02" w:rsidRPr="005E2D2B" w:rsidRDefault="00D73D02">
      <w:pPr>
        <w:rPr>
          <w:rFonts w:ascii="Times New Roman" w:hAnsi="Times New Roman" w:cs="Times New Roman"/>
        </w:r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720"/>
        <w:gridCol w:w="720"/>
        <w:gridCol w:w="1420"/>
        <w:gridCol w:w="1420"/>
        <w:gridCol w:w="1420"/>
        <w:gridCol w:w="1204"/>
        <w:gridCol w:w="551"/>
        <w:gridCol w:w="570"/>
        <w:gridCol w:w="551"/>
        <w:gridCol w:w="639"/>
        <w:gridCol w:w="1801"/>
        <w:gridCol w:w="1038"/>
        <w:gridCol w:w="547"/>
      </w:tblGrid>
      <w:tr w:rsidR="00D73D02" w:rsidRPr="005E2D2B" w14:paraId="3B968A62"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2E66D930"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w:t>
            </w:r>
          </w:p>
        </w:tc>
        <w:tc>
          <w:tcPr>
            <w:tcW w:w="68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3AA6E513"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Date</w:t>
            </w:r>
          </w:p>
        </w:tc>
        <w:tc>
          <w:tcPr>
            <w:tcW w:w="68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2FAECD30"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Positive / Negative</w:t>
            </w:r>
          </w:p>
        </w:tc>
        <w:tc>
          <w:tcPr>
            <w:tcW w:w="134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6002889F"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The Risk of/That</w:t>
            </w:r>
          </w:p>
        </w:tc>
        <w:tc>
          <w:tcPr>
            <w:tcW w:w="134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5C4021F6"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Caused by</w:t>
            </w:r>
          </w:p>
        </w:tc>
        <w:tc>
          <w:tcPr>
            <w:tcW w:w="134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2363D148"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Resulting In</w:t>
            </w:r>
          </w:p>
        </w:tc>
        <w:tc>
          <w:tcPr>
            <w:tcW w:w="94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476074BF"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Consequence / Impact Type</w:t>
            </w:r>
          </w:p>
        </w:tc>
        <w:tc>
          <w:tcPr>
            <w:tcW w:w="52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5A6BA910"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Like. Score</w:t>
            </w:r>
          </w:p>
        </w:tc>
        <w:tc>
          <w:tcPr>
            <w:tcW w:w="52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6F41B74E"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Impact Score</w:t>
            </w:r>
          </w:p>
        </w:tc>
        <w:tc>
          <w:tcPr>
            <w:tcW w:w="52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47222C23"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Risk Score</w:t>
            </w:r>
          </w:p>
        </w:tc>
        <w:tc>
          <w:tcPr>
            <w:tcW w:w="56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05041DD9"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Priority (</w:t>
            </w:r>
            <w:proofErr w:type="gramStart"/>
            <w:r w:rsidRPr="005E2D2B">
              <w:rPr>
                <w:rFonts w:ascii="Times New Roman" w:hAnsi="Times New Roman" w:cs="Times New Roman"/>
                <w:b/>
                <w:bCs/>
                <w:color w:val="FFFFFF"/>
                <w:sz w:val="13"/>
                <w:szCs w:val="13"/>
              </w:rPr>
              <w:t>H,M</w:t>
            </w:r>
            <w:proofErr w:type="gramEnd"/>
            <w:r w:rsidRPr="005E2D2B">
              <w:rPr>
                <w:rFonts w:ascii="Times New Roman" w:hAnsi="Times New Roman" w:cs="Times New Roman"/>
                <w:b/>
                <w:bCs/>
                <w:color w:val="FFFFFF"/>
                <w:sz w:val="13"/>
                <w:szCs w:val="13"/>
              </w:rPr>
              <w:t>,L)</w:t>
            </w:r>
          </w:p>
        </w:tc>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09F9CD3A"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Mitigation / Controls</w:t>
            </w:r>
          </w:p>
        </w:tc>
        <w:tc>
          <w:tcPr>
            <w:tcW w:w="98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4F42D0CF"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Risk Owner</w:t>
            </w:r>
          </w:p>
        </w:tc>
        <w:tc>
          <w:tcPr>
            <w:tcW w:w="500" w:type="dxa"/>
            <w:tcBorders>
              <w:top w:val="single" w:sz="4" w:space="0" w:color="000000"/>
              <w:left w:val="single" w:sz="4" w:space="0" w:color="000000"/>
              <w:bottom w:val="single" w:sz="4" w:space="0" w:color="000000"/>
              <w:right w:val="single" w:sz="4" w:space="0" w:color="000000"/>
            </w:tcBorders>
            <w:shd w:val="clear" w:color="auto" w:fill="1A1A1A"/>
            <w:tcMar>
              <w:top w:w="60" w:type="dxa"/>
              <w:left w:w="70" w:type="dxa"/>
              <w:bottom w:w="60" w:type="dxa"/>
              <w:right w:w="70" w:type="dxa"/>
            </w:tcMar>
            <w:vAlign w:val="center"/>
          </w:tcPr>
          <w:p w14:paraId="51516B84" w14:textId="77777777" w:rsidR="00D73D02" w:rsidRPr="005E2D2B" w:rsidRDefault="001C4D72">
            <w:pPr>
              <w:jc w:val="center"/>
              <w:rPr>
                <w:rFonts w:ascii="Times New Roman" w:hAnsi="Times New Roman" w:cs="Times New Roman"/>
              </w:rPr>
            </w:pPr>
            <w:r w:rsidRPr="005E2D2B">
              <w:rPr>
                <w:rFonts w:ascii="Times New Roman" w:hAnsi="Times New Roman" w:cs="Times New Roman"/>
                <w:b/>
                <w:bCs/>
                <w:color w:val="FFFFFF"/>
                <w:sz w:val="13"/>
                <w:szCs w:val="13"/>
              </w:rPr>
              <w:t>Open / Closed</w:t>
            </w:r>
          </w:p>
        </w:tc>
      </w:tr>
      <w:tr w:rsidR="00D73D02" w:rsidRPr="005E2D2B" w14:paraId="275790E9"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947ACD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1</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DBF7D43"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6357184"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B50D0A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A data privacy breach exposing combined banking and insurance client records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661B8F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Inadequate security controls during integration and a high-value combined data environment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E019FD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Regulatory penalties under PIPEDA, mandatory breach notification, and severe client trus</w:t>
            </w:r>
            <w:r w:rsidRPr="005E2D2B">
              <w:rPr>
                <w:rFonts w:ascii="Times New Roman" w:hAnsi="Times New Roman" w:cs="Times New Roman"/>
                <w:sz w:val="13"/>
                <w:szCs w:val="13"/>
              </w:rPr>
              <w:t>t erosion</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F5DD93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Legal/Compliance; Reputational</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E62F23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9</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4F2FCA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8</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8D3500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72</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tcPr>
          <w:p w14:paraId="3DB23A0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9698A7D"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Zero-trust architecture; end-to-end encryption; PIA before go-live; CISO-led security programme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0F2DD1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CISO / Compliance</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018829C"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33DE6666"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55F063F"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2</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97F834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BDC9701"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899FB7F"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Critical system integration failure between CIBC core banking and the acquired insurance platform</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65213F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API incompatibility, mismatched data schemas, and insufficient integration testing</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5D5135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Insurance transaction failures, data loss, and client-facing service outage</w:t>
            </w:r>
            <w:r w:rsidRPr="005E2D2B">
              <w:rPr>
                <w:rFonts w:ascii="Times New Roman" w:hAnsi="Times New Roman" w:cs="Times New Roman"/>
                <w:sz w:val="13"/>
                <w:szCs w:val="13"/>
              </w:rPr>
              <w:t>s during rollout</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A52FEC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Operational; Technology</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D05689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7</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38A6790"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8</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FB3B8C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56</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tcPr>
          <w:p w14:paraId="5CC4B6B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1A226E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Phased rollout; dedicated integration testing environment; rollback procedures; PMO oversight</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4BA598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CTO / Platform Ops</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C08ACE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102AA289"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60B254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3</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4A206E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6EFE4B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C256883"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Regulatory non-compliance with provincial insurance rules and federal data privacy legislation</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2276080"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Rapidly evolving PIPEDA, Bill C-27, and provincial insurance licensing requirements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BADF28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Regulatory fines, forced product withdrawal, and reputational harm</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B3E11C4"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Legal/Comp</w:t>
            </w:r>
            <w:r w:rsidRPr="005E2D2B">
              <w:rPr>
                <w:rFonts w:ascii="Times New Roman" w:hAnsi="Times New Roman" w:cs="Times New Roman"/>
                <w:sz w:val="13"/>
                <w:szCs w:val="13"/>
              </w:rPr>
              <w:t>liance; Financial</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73C554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7</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09FA2A4"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8</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72F2300"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56</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tcPr>
          <w:p w14:paraId="465EA46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7D5980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Compliance officer embedded in project team; automated regulatory monitoring; quarterly legal reviews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835F62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Chief Compliance Officer</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930CCB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62CD469F"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EAA26A1"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4</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098C58D"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FDFB4F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42E8CF3"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Employee resistance to new digital insurance workflows and tools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8E20D9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Inadequate change management planning and insufficient leadership communication</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330F084"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Slow adoption, productivity loss, and delayed platform launch timeline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787BF8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Operational; People</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DCAC9F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7</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7B336F1"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4</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14F7B1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28</w:t>
            </w:r>
          </w:p>
        </w:tc>
        <w:tc>
          <w:tcPr>
            <w:tcW w:w="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70" w:type="dxa"/>
              <w:bottom w:w="60" w:type="dxa"/>
              <w:right w:w="70" w:type="dxa"/>
            </w:tcMar>
          </w:tcPr>
          <w:p w14:paraId="1131FC6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5AC7CD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 xml:space="preserve">Structured </w:t>
            </w:r>
            <w:r w:rsidRPr="005E2D2B">
              <w:rPr>
                <w:rFonts w:ascii="Times New Roman" w:hAnsi="Times New Roman" w:cs="Times New Roman"/>
                <w:sz w:val="13"/>
                <w:szCs w:val="13"/>
              </w:rPr>
              <w:t>change management programme; leadership town halls; upskilling workshops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53E2F4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COO / HR</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DA7A0B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7D3781F7"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81B402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5</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879758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69DC594"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DB1B84D"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Integration cost overruns exceeding the approved acquisition budget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5F82D6D"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Underestimation of technical complexity and scope creep during integration</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CF38510"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Budget breach, reduced ROI, and pressure to cut controls or testing to recover costs</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544A82F"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Financial</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5F4BFBC"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7</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96C4CA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6</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AC5E68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42</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tcPr>
          <w:p w14:paraId="3529C1E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E00943C"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Detailed budget with contingency reserve; monthly CFO review; phased spend ap</w:t>
            </w:r>
            <w:r w:rsidRPr="005E2D2B">
              <w:rPr>
                <w:rFonts w:ascii="Times New Roman" w:hAnsi="Times New Roman" w:cs="Times New Roman"/>
                <w:sz w:val="13"/>
                <w:szCs w:val="13"/>
              </w:rPr>
              <w:t>proval gates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743890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CFO</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4EDADF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5DD65B8C"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581EB7F"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434504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5F7EE1D"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376850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Exploitable security vulnerabilities in the acquired digital insurance platform</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4D9799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Unresolved technical debt, unpatched libraries, and undisclosed security issues from prior development team</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61A63D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Security gaps exposing client data before or after go-live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D75A5C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Technology; Compliance</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5654EE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9</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A90FA0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6</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6D530B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54</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tcPr>
          <w:p w14:paraId="4BBAC993"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7D3F83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Full application security audit (static and dynamic); pen</w:t>
            </w:r>
            <w:r w:rsidRPr="005E2D2B">
              <w:rPr>
                <w:rFonts w:ascii="Times New Roman" w:hAnsi="Times New Roman" w:cs="Times New Roman"/>
                <w:sz w:val="13"/>
                <w:szCs w:val="13"/>
              </w:rPr>
              <w:t>etration testing; 72-hour critical patch SLA</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9E68B2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CISO / CTO</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C755F51"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3B9CFF7E"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38301C0"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7</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3E6C7D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78D599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4B2276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Claims processing delays and poor digital user experience on the insurance portal</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19E93C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Insufficient support staffing and inadequate UX design in the new insurance interface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B990333"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Formal customer complaints, regulatory scrutiny, and client churn</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81CB2A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Operational; Reputational</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FFEF64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5</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339F4E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4</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17615B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20</w:t>
            </w:r>
          </w:p>
        </w:tc>
        <w:tc>
          <w:tcPr>
            <w:tcW w:w="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70" w:type="dxa"/>
              <w:bottom w:w="60" w:type="dxa"/>
              <w:right w:w="70" w:type="dxa"/>
            </w:tcMar>
          </w:tcPr>
          <w:p w14:paraId="1A2C03B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5977573"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UX testing pre-launch; 24/7 support tiers; SLA dashboards; voice-of-c</w:t>
            </w:r>
            <w:r w:rsidRPr="005E2D2B">
              <w:rPr>
                <w:rFonts w:ascii="Times New Roman" w:hAnsi="Times New Roman" w:cs="Times New Roman"/>
                <w:sz w:val="13"/>
                <w:szCs w:val="13"/>
              </w:rPr>
              <w:t>ustomer feedback loops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E817AD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COO / Customer Exp.</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8518D0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10BF0438"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102617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8</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361B9C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72176FC"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9DEA45F"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AML violations in the digital insurance onboarding process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D54B00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Insufficient anti-money laundering controls in the new insurance client onboarding workflow</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4F2868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FINTRAC penalties, regulatory investigation, and reputational harm</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7202F3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Legal/Compliance; Financial</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8C0AEC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3</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2FD883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8</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35F9F3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24</w:t>
            </w:r>
          </w:p>
        </w:tc>
        <w:tc>
          <w:tcPr>
            <w:tcW w:w="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70" w:type="dxa"/>
              <w:bottom w:w="60" w:type="dxa"/>
              <w:right w:w="70" w:type="dxa"/>
            </w:tcMar>
          </w:tcPr>
          <w:p w14:paraId="466BD6C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21B42F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AML screening at onboarding; FINTRAC compliance review of in</w:t>
            </w:r>
            <w:r w:rsidRPr="005E2D2B">
              <w:rPr>
                <w:rFonts w:ascii="Times New Roman" w:hAnsi="Times New Roman" w:cs="Times New Roman"/>
                <w:sz w:val="13"/>
                <w:szCs w:val="13"/>
              </w:rPr>
              <w:t>surance workflows; staff AML training</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AE40FA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Chief Compliance Officer</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A39A6C0"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62E895C2"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B11A48D"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9</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EE25E4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D47DEA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Negative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936699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Data accuracy errors in client insurance records after platform integration</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77E92E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Synchronisation failures between CIBC banking and insurance databases during and after integration</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DD6DD8C"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Incorrect client records, invalid policy details, and potential compliance breaches</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6FE02B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Operational; Compliance</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9BB5C41"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5</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3CF1CC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6</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B8FDF2D"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30</w:t>
            </w:r>
          </w:p>
        </w:tc>
        <w:tc>
          <w:tcPr>
            <w:tcW w:w="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70" w:type="dxa"/>
              <w:bottom w:w="60" w:type="dxa"/>
              <w:right w:w="70" w:type="dxa"/>
            </w:tcMar>
          </w:tcPr>
          <w:p w14:paraId="397195D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58F3B4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Data governance framework; automated rec</w:t>
            </w:r>
            <w:r w:rsidRPr="005E2D2B">
              <w:rPr>
                <w:rFonts w:ascii="Times New Roman" w:hAnsi="Times New Roman" w:cs="Times New Roman"/>
                <w:sz w:val="13"/>
                <w:szCs w:val="13"/>
              </w:rPr>
              <w:t>onciliation checks; data quality KRI dashboards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2E2775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Data Governance / COO</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5088523"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78B0D10C"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FC6320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10</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17A2EB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70" w:type="dxa"/>
              <w:bottom w:w="60" w:type="dxa"/>
              <w:right w:w="70" w:type="dxa"/>
            </w:tcMar>
          </w:tcPr>
          <w:p w14:paraId="075F7CE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Positive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547498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Capturing first-mover advantage in the Canadian digital insurance market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ADCFFA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 xml:space="preserve">Early platform </w:t>
            </w:r>
            <w:proofErr w:type="gramStart"/>
            <w:r w:rsidRPr="005E2D2B">
              <w:rPr>
                <w:rFonts w:ascii="Times New Roman" w:hAnsi="Times New Roman" w:cs="Times New Roman"/>
                <w:sz w:val="13"/>
                <w:szCs w:val="13"/>
              </w:rPr>
              <w:t>launch</w:t>
            </w:r>
            <w:proofErr w:type="gramEnd"/>
            <w:r w:rsidRPr="005E2D2B">
              <w:rPr>
                <w:rFonts w:ascii="Times New Roman" w:hAnsi="Times New Roman" w:cs="Times New Roman"/>
                <w:sz w:val="13"/>
                <w:szCs w:val="13"/>
              </w:rPr>
              <w:t xml:space="preserve"> before insurtech competitors (Lemonade, </w:t>
            </w:r>
            <w:proofErr w:type="spellStart"/>
            <w:r w:rsidRPr="005E2D2B">
              <w:rPr>
                <w:rFonts w:ascii="Times New Roman" w:hAnsi="Times New Roman" w:cs="Times New Roman"/>
                <w:sz w:val="13"/>
                <w:szCs w:val="13"/>
              </w:rPr>
              <w:t>PolicyMe</w:t>
            </w:r>
            <w:proofErr w:type="spellEnd"/>
            <w:r w:rsidRPr="005E2D2B">
              <w:rPr>
                <w:rFonts w:ascii="Times New Roman" w:hAnsi="Times New Roman" w:cs="Times New Roman"/>
                <w:sz w:val="13"/>
                <w:szCs w:val="13"/>
              </w:rPr>
              <w:t>) establish dominant Canadian positions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B47D53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Significant digital insurance market share gain and strengthened competitive positioning for CIBC</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DCBD0B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Strategic; Competitive</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F12AA4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7</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A1AA58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8</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B4C25B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56</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tcPr>
          <w:p w14:paraId="734F03B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94E6C7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Accelerated go-l</w:t>
            </w:r>
            <w:r w:rsidRPr="005E2D2B">
              <w:rPr>
                <w:rFonts w:ascii="Times New Roman" w:hAnsi="Times New Roman" w:cs="Times New Roman"/>
                <w:sz w:val="13"/>
                <w:szCs w:val="13"/>
              </w:rPr>
              <w:t>ive timeline; monthly competitive benchmarking; targeted digital insurance marketing</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0A38A6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Chief Strategy Officer</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D01CA0A"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25EB42F9"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250BD7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lastRenderedPageBreak/>
              <w:t>11</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E81145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70" w:type="dxa"/>
              <w:bottom w:w="60" w:type="dxa"/>
              <w:right w:w="70" w:type="dxa"/>
            </w:tcMar>
          </w:tcPr>
          <w:p w14:paraId="18F5F120"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Positive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E300FD9"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Achieving significant cross-sell revenue by bundling insurance with existing banking relationships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4DCCCA8"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11 million existing CIBC clients who already trust the bank and use digital banking channels daily</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5A3EDD3"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Increased revenue per household, deeper client relationshi</w:t>
            </w:r>
            <w:r w:rsidRPr="005E2D2B">
              <w:rPr>
                <w:rFonts w:ascii="Times New Roman" w:hAnsi="Times New Roman" w:cs="Times New Roman"/>
                <w:sz w:val="13"/>
                <w:szCs w:val="13"/>
              </w:rPr>
              <w:t>ps, and reduced client attrition</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CE77240"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Financial; Strategic</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616B65F"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7</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05F526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6</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3E8DE8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42</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tcPr>
          <w:p w14:paraId="57ACF7B1"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1A732AB"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Advisor cross-sell programme; embedded insurance offers in banking app; household revenue dashboards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64F9D2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CFO / Marketing</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74C51CE"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r w:rsidR="00D73D02" w:rsidRPr="005E2D2B" w14:paraId="3A4FFCB9" w14:textId="77777777">
        <w:tblPrEx>
          <w:tblCellMar>
            <w:top w:w="0" w:type="dxa"/>
            <w:bottom w:w="0" w:type="dxa"/>
          </w:tblCellMar>
        </w:tblPrEx>
        <w:tc>
          <w:tcPr>
            <w:tcW w:w="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D751CF4"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12</w:t>
            </w:r>
          </w:p>
        </w:tc>
        <w:tc>
          <w:tcPr>
            <w:tcW w:w="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20E495F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May 2026</w:t>
            </w:r>
          </w:p>
        </w:tc>
        <w:tc>
          <w:tcPr>
            <w:tcW w:w="6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70" w:type="dxa"/>
              <w:bottom w:w="60" w:type="dxa"/>
              <w:right w:w="70" w:type="dxa"/>
            </w:tcMar>
          </w:tcPr>
          <w:p w14:paraId="7C599F42"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Positive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53F9D3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Establishing CIBC as the leading integrated digital financial services provider in Canada</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47F12BC"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Unique positioning combining trusted banking brand with seamless digital insurance experience</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9FE824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Enhanced brand differentiation, improved client satisfaction scores, and</w:t>
            </w:r>
            <w:r w:rsidRPr="005E2D2B">
              <w:rPr>
                <w:rFonts w:ascii="Times New Roman" w:hAnsi="Times New Roman" w:cs="Times New Roman"/>
                <w:sz w:val="13"/>
                <w:szCs w:val="13"/>
              </w:rPr>
              <w:t xml:space="preserve"> long-term competitive advantage</w:t>
            </w:r>
          </w:p>
        </w:tc>
        <w:tc>
          <w:tcPr>
            <w:tcW w:w="9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3D89851"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Strategic; Reputational</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77580994"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5</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7746EC7"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8</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8CA6D1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40</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70" w:type="dxa"/>
              <w:bottom w:w="60" w:type="dxa"/>
              <w:right w:w="70" w:type="dxa"/>
            </w:tcMar>
          </w:tcPr>
          <w:p w14:paraId="28C79F9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b/>
                <w:bCs/>
                <w:sz w:val="13"/>
                <w:szCs w:val="13"/>
              </w:rPr>
              <w: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0D4218FC"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Brand investment in digital insurance identity; client experience monitoring; NPS tracking</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BC526B5"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CEO / Chief Strategy Officer</w:t>
            </w:r>
          </w:p>
        </w:tc>
        <w:tc>
          <w:tcPr>
            <w:tcW w:w="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56AB936" w14:textId="77777777" w:rsidR="00D73D02" w:rsidRPr="005E2D2B" w:rsidRDefault="001C4D72">
            <w:pPr>
              <w:spacing w:before="20" w:after="20"/>
              <w:rPr>
                <w:rFonts w:ascii="Times New Roman" w:hAnsi="Times New Roman" w:cs="Times New Roman"/>
              </w:rPr>
            </w:pPr>
            <w:r w:rsidRPr="005E2D2B">
              <w:rPr>
                <w:rFonts w:ascii="Times New Roman" w:hAnsi="Times New Roman" w:cs="Times New Roman"/>
                <w:sz w:val="13"/>
                <w:szCs w:val="13"/>
              </w:rPr>
              <w:t>Open</w:t>
            </w:r>
          </w:p>
        </w:tc>
      </w:tr>
    </w:tbl>
    <w:p w14:paraId="299F1036" w14:textId="77777777" w:rsidR="00D73D02" w:rsidRPr="005E2D2B" w:rsidRDefault="00D73D02">
      <w:pPr>
        <w:rPr>
          <w:rFonts w:ascii="Times New Roman" w:hAnsi="Times New Roman" w:cs="Times New Roman"/>
        </w:rPr>
      </w:pPr>
    </w:p>
    <w:p w14:paraId="563DBAA3" w14:textId="77777777" w:rsidR="00D73D02" w:rsidRPr="005E2D2B" w:rsidRDefault="001C4D72">
      <w:pPr>
        <w:spacing w:before="80" w:after="80"/>
        <w:rPr>
          <w:rFonts w:ascii="Times New Roman" w:hAnsi="Times New Roman" w:cs="Times New Roman"/>
        </w:rPr>
      </w:pPr>
      <w:r w:rsidRPr="005E2D2B">
        <w:rPr>
          <w:rFonts w:ascii="Times New Roman" w:hAnsi="Times New Roman" w:cs="Times New Roman"/>
          <w:i/>
          <w:iCs/>
        </w:rPr>
        <w:t>Risk Score = Likelihood Score x Impact Score.   High (H) = 36–81.   Moderate (M) = 10–35.   Low (L) = 1–9.   Shaded rows = Positive Risks (opportunities).   Bold Priority = Top 4.</w:t>
      </w:r>
    </w:p>
    <w:sectPr w:rsidR="00D73D02" w:rsidRPr="005E2D2B">
      <w:headerReference w:type="default" r:id="rId10"/>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E89FF" w14:textId="77777777" w:rsidR="001C4D72" w:rsidRDefault="001C4D72">
      <w:r>
        <w:separator/>
      </w:r>
    </w:p>
  </w:endnote>
  <w:endnote w:type="continuationSeparator" w:id="0">
    <w:p w14:paraId="3148A46F" w14:textId="77777777" w:rsidR="001C4D72" w:rsidRDefault="001C4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51F4E" w14:textId="77777777" w:rsidR="001C4D72" w:rsidRDefault="001C4D72">
      <w:r>
        <w:separator/>
      </w:r>
    </w:p>
  </w:footnote>
  <w:footnote w:type="continuationSeparator" w:id="0">
    <w:p w14:paraId="544A8786" w14:textId="77777777" w:rsidR="001C4D72" w:rsidRDefault="001C4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8938B" w14:textId="77777777" w:rsidR="00D73D02" w:rsidRDefault="00D73D0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38064" w14:textId="77777777" w:rsidR="00D73D02" w:rsidRDefault="00D73D0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D55BA" w14:textId="77777777" w:rsidR="00D73D02" w:rsidRDefault="001C4D72">
    <w:pPr>
      <w:jc w:val="right"/>
    </w:pPr>
    <w:r>
      <w:fldChar w:fldCharType="begin"/>
    </w:r>
    <w:r>
      <w:instrText>PAGE</w:instrText>
    </w:r>
    <w:r>
      <w:fldChar w:fldCharType="separate"/>
    </w:r>
    <w:r w:rsidR="005E2D2B">
      <w:rPr>
        <w:noProof/>
      </w:rPr>
      <w:t>2</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0268" w14:textId="23E26824" w:rsidR="00D73D02" w:rsidRDefault="001C4D72">
    <w:pPr>
      <w:jc w:val="right"/>
    </w:pPr>
    <w:r>
      <w:fldChar w:fldCharType="begin"/>
    </w:r>
    <w:r>
      <w:instrText>PAGE</w:instrText>
    </w:r>
    <w:r>
      <w:fldChar w:fldCharType="separate"/>
    </w:r>
    <w:r w:rsidR="005E2D2B">
      <w:rPr>
        <w:noProof/>
      </w:rPr>
      <w:t>12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E154D"/>
    <w:multiLevelType w:val="hybridMultilevel"/>
    <w:tmpl w:val="A554F3FE"/>
    <w:lvl w:ilvl="0" w:tplc="18E6AC5E">
      <w:start w:val="1"/>
      <w:numFmt w:val="bullet"/>
      <w:lvlText w:val="●"/>
      <w:lvlJc w:val="left"/>
      <w:pPr>
        <w:ind w:left="720" w:hanging="360"/>
      </w:pPr>
    </w:lvl>
    <w:lvl w:ilvl="1" w:tplc="12D28166">
      <w:start w:val="1"/>
      <w:numFmt w:val="bullet"/>
      <w:lvlText w:val="○"/>
      <w:lvlJc w:val="left"/>
      <w:pPr>
        <w:ind w:left="1440" w:hanging="360"/>
      </w:pPr>
    </w:lvl>
    <w:lvl w:ilvl="2" w:tplc="A69412B6">
      <w:start w:val="1"/>
      <w:numFmt w:val="bullet"/>
      <w:lvlText w:val="■"/>
      <w:lvlJc w:val="left"/>
      <w:pPr>
        <w:ind w:left="2160" w:hanging="360"/>
      </w:pPr>
    </w:lvl>
    <w:lvl w:ilvl="3" w:tplc="513CECA4">
      <w:start w:val="1"/>
      <w:numFmt w:val="bullet"/>
      <w:lvlText w:val="●"/>
      <w:lvlJc w:val="left"/>
      <w:pPr>
        <w:ind w:left="2880" w:hanging="360"/>
      </w:pPr>
    </w:lvl>
    <w:lvl w:ilvl="4" w:tplc="D4741464">
      <w:start w:val="1"/>
      <w:numFmt w:val="bullet"/>
      <w:lvlText w:val="○"/>
      <w:lvlJc w:val="left"/>
      <w:pPr>
        <w:ind w:left="3600" w:hanging="360"/>
      </w:pPr>
    </w:lvl>
    <w:lvl w:ilvl="5" w:tplc="A27ACE8E">
      <w:start w:val="1"/>
      <w:numFmt w:val="bullet"/>
      <w:lvlText w:val="■"/>
      <w:lvlJc w:val="left"/>
      <w:pPr>
        <w:ind w:left="4320" w:hanging="360"/>
      </w:pPr>
    </w:lvl>
    <w:lvl w:ilvl="6" w:tplc="C086622E">
      <w:start w:val="1"/>
      <w:numFmt w:val="bullet"/>
      <w:lvlText w:val="●"/>
      <w:lvlJc w:val="left"/>
      <w:pPr>
        <w:ind w:left="5040" w:hanging="360"/>
      </w:pPr>
    </w:lvl>
    <w:lvl w:ilvl="7" w:tplc="0F6AA79E">
      <w:start w:val="1"/>
      <w:numFmt w:val="bullet"/>
      <w:lvlText w:val="●"/>
      <w:lvlJc w:val="left"/>
      <w:pPr>
        <w:ind w:left="5760" w:hanging="360"/>
      </w:pPr>
    </w:lvl>
    <w:lvl w:ilvl="8" w:tplc="C74642FE">
      <w:start w:val="1"/>
      <w:numFmt w:val="bullet"/>
      <w:lvlText w:val="●"/>
      <w:lvlJc w:val="left"/>
      <w:pPr>
        <w:ind w:left="6480" w:hanging="360"/>
      </w:pPr>
    </w:lvl>
  </w:abstractNum>
  <w:abstractNum w:abstractNumId="1" w15:restartNumberingAfterBreak="0">
    <w:nsid w:val="4BE83B0F"/>
    <w:multiLevelType w:val="hybridMultilevel"/>
    <w:tmpl w:val="C178B618"/>
    <w:lvl w:ilvl="0" w:tplc="5B6A7A3A">
      <w:start w:val="1"/>
      <w:numFmt w:val="bullet"/>
      <w:lvlText w:val="•"/>
      <w:lvlJc w:val="left"/>
      <w:pPr>
        <w:ind w:left="720" w:hanging="360"/>
      </w:pPr>
    </w:lvl>
    <w:lvl w:ilvl="1" w:tplc="6E124040">
      <w:numFmt w:val="decimal"/>
      <w:lvlText w:val=""/>
      <w:lvlJc w:val="left"/>
    </w:lvl>
    <w:lvl w:ilvl="2" w:tplc="39AC00A0">
      <w:numFmt w:val="decimal"/>
      <w:lvlText w:val=""/>
      <w:lvlJc w:val="left"/>
    </w:lvl>
    <w:lvl w:ilvl="3" w:tplc="746004B8">
      <w:numFmt w:val="decimal"/>
      <w:lvlText w:val=""/>
      <w:lvlJc w:val="left"/>
    </w:lvl>
    <w:lvl w:ilvl="4" w:tplc="649874C6">
      <w:numFmt w:val="decimal"/>
      <w:lvlText w:val=""/>
      <w:lvlJc w:val="left"/>
    </w:lvl>
    <w:lvl w:ilvl="5" w:tplc="2D78B0F4">
      <w:numFmt w:val="decimal"/>
      <w:lvlText w:val=""/>
      <w:lvlJc w:val="left"/>
    </w:lvl>
    <w:lvl w:ilvl="6" w:tplc="244619FC">
      <w:numFmt w:val="decimal"/>
      <w:lvlText w:val=""/>
      <w:lvlJc w:val="left"/>
    </w:lvl>
    <w:lvl w:ilvl="7" w:tplc="3920D3B2">
      <w:numFmt w:val="decimal"/>
      <w:lvlText w:val=""/>
      <w:lvlJc w:val="left"/>
    </w:lvl>
    <w:lvl w:ilvl="8" w:tplc="0E12136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D02"/>
    <w:rsid w:val="001C4D72"/>
    <w:rsid w:val="005E2D2B"/>
    <w:rsid w:val="007C11A0"/>
    <w:rsid w:val="00D73D02"/>
    <w:rsid w:val="00DD43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D85E"/>
  <w15:docId w15:val="{6DD878B4-E8AA-45EF-97A2-E9212C0D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0000"/>
      <w:sz w:val="28"/>
      <w:szCs w:val="28"/>
    </w:rPr>
  </w:style>
  <w:style w:type="paragraph" w:styleId="Heading2">
    <w:name w:val="heading 2"/>
    <w:uiPriority w:val="9"/>
    <w:unhideWhenUsed/>
    <w:qFormat/>
    <w:pPr>
      <w:spacing w:before="220" w:after="10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4261</Words>
  <Characters>24293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gafar adesina</cp:lastModifiedBy>
  <cp:revision>3</cp:revision>
  <dcterms:created xsi:type="dcterms:W3CDTF">2026-05-30T01:37:00Z</dcterms:created>
  <dcterms:modified xsi:type="dcterms:W3CDTF">2026-05-30T01:42:00Z</dcterms:modified>
</cp:coreProperties>
</file>