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5B975" w14:textId="77777777" w:rsidR="000D1EDB" w:rsidRDefault="00000000">
      <w:pPr>
        <w:spacing w:after="80"/>
        <w:jc w:val="center"/>
      </w:pPr>
      <w:r>
        <w:rPr>
          <w:rFonts w:ascii="Arial" w:eastAsia="Arial" w:hAnsi="Arial" w:cs="Arial"/>
          <w:b/>
          <w:bCs/>
          <w:sz w:val="26"/>
          <w:szCs w:val="26"/>
        </w:rPr>
        <w:t>Individual Contribution Report</w:t>
      </w:r>
    </w:p>
    <w:p w14:paraId="52A862D1" w14:textId="77777777" w:rsidR="000D1EDB" w:rsidRDefault="00000000">
      <w:pPr>
        <w:spacing w:after="80"/>
        <w:jc w:val="center"/>
      </w:pPr>
      <w:r>
        <w:rPr>
          <w:rFonts w:ascii="Arial" w:eastAsia="Arial" w:hAnsi="Arial" w:cs="Arial"/>
          <w:b/>
          <w:bCs/>
          <w:sz w:val="26"/>
          <w:szCs w:val="26"/>
        </w:rPr>
        <w:t>Ottun Oluwatomi</w:t>
      </w:r>
    </w:p>
    <w:p w14:paraId="20E3D74D" w14:textId="77777777" w:rsidR="000D1EDB" w:rsidRDefault="00000000">
      <w:pPr>
        <w:spacing w:after="80"/>
        <w:jc w:val="center"/>
      </w:pPr>
      <w:r>
        <w:rPr>
          <w:rFonts w:ascii="Arial" w:eastAsia="Arial" w:hAnsi="Arial" w:cs="Arial"/>
          <w:b/>
          <w:bCs/>
          <w:sz w:val="22"/>
          <w:szCs w:val="22"/>
        </w:rPr>
        <w:t>Assigned Risk: Risk 1: Data Privacy Breach</w:t>
      </w:r>
    </w:p>
    <w:p w14:paraId="5FC7639C" w14:textId="77777777" w:rsidR="000D1EDB" w:rsidRDefault="00000000">
      <w:pPr>
        <w:spacing w:after="80"/>
        <w:jc w:val="center"/>
      </w:pPr>
      <w:r>
        <w:rPr>
          <w:rFonts w:ascii="Arial" w:eastAsia="Arial" w:hAnsi="Arial" w:cs="Arial"/>
        </w:rPr>
        <w:t>Risk Type: Negative Risk</w:t>
      </w:r>
    </w:p>
    <w:p w14:paraId="7F45522D" w14:textId="77777777" w:rsidR="000D1EDB" w:rsidRDefault="000D1EDB">
      <w:pPr>
        <w:spacing w:after="120"/>
      </w:pPr>
    </w:p>
    <w:p w14:paraId="216E87E1" w14:textId="77777777" w:rsidR="000D1EDB" w:rsidRPr="004E39E9" w:rsidRDefault="00000000" w:rsidP="004E39E9">
      <w:pPr>
        <w:spacing w:before="240" w:after="120"/>
        <w:jc w:val="both"/>
        <w:rPr>
          <w:sz w:val="24"/>
          <w:szCs w:val="24"/>
        </w:rPr>
      </w:pPr>
      <w:r>
        <w:rPr>
          <w:rFonts w:eastAsia="Arial"/>
          <w:b/>
          <w:bCs/>
          <w:sz w:val="24"/>
          <w:szCs w:val="24"/>
        </w:rPr>
        <w:t>SECTION A: Introduction and Company Background</w:t>
      </w:r>
    </w:p>
    <w:p w14:paraId="285F7C0F" w14:textId="77777777" w:rsidR="000D1EDB" w:rsidRPr="004E39E9" w:rsidRDefault="00000000" w:rsidP="004E39E9">
      <w:pPr>
        <w:spacing w:after="160"/>
        <w:jc w:val="both"/>
        <w:rPr>
          <w:sz w:val="24"/>
          <w:szCs w:val="24"/>
        </w:rPr>
      </w:pPr>
      <w:r>
        <w:rPr>
          <w:rFonts w:eastAsia="Arial"/>
          <w:sz w:val="24"/>
          <w:szCs w:val="24"/>
        </w:rPr>
        <w:t>For 157 years, CIBC did what Canada's most trusted banks do best — it kept its clients' money safe, grew their wealth, and showed up reliably through every recession, crisis, and market shock the last century could throw at it. But the acquisition of a cloud-native digital insurance platform is a different kind of challenge entirely. This is not a new branch in a new city. This is a fundamentally different industry, with different regulators, different technology, different competitors, and a different definition of what it means to fail.</w:t>
      </w:r>
    </w:p>
    <w:p w14:paraId="72272390" w14:textId="77777777" w:rsidR="000D1EDB" w:rsidRPr="004E39E9" w:rsidRDefault="000D1EDB" w:rsidP="004E39E9">
      <w:pPr>
        <w:spacing w:after="120"/>
        <w:jc w:val="both"/>
        <w:rPr>
          <w:sz w:val="24"/>
          <w:szCs w:val="24"/>
        </w:rPr>
      </w:pPr>
    </w:p>
    <w:p w14:paraId="628C3C87" w14:textId="77777777" w:rsidR="000D1EDB" w:rsidRPr="004E39E9" w:rsidRDefault="00000000" w:rsidP="004E39E9">
      <w:pPr>
        <w:spacing w:after="160"/>
        <w:jc w:val="both"/>
        <w:rPr>
          <w:sz w:val="24"/>
          <w:szCs w:val="24"/>
        </w:rPr>
      </w:pPr>
      <w:r>
        <w:rPr>
          <w:rFonts w:eastAsia="Arial"/>
          <w:sz w:val="24"/>
          <w:szCs w:val="24"/>
        </w:rPr>
        <w:t>The opportunity is genuine. Canada's digital insurance market is growing fast, Insurtech competitors like Lemonade and PolicyMe are moving faster, and CIBC's 11 million existing client relationships give it a cross-sell advantage that no pure-play Insurtech can replicate. But walking into a new market while integrating an unfamiliar technology platform, satisfying ten provincial insurance regulators, managing a combined banking and health-data environment, and navigating Canada's tightening privacy legislation, all simultaneously, is not a strategy problem. It is a risk management problem.</w:t>
      </w:r>
    </w:p>
    <w:p w14:paraId="38FAF291" w14:textId="77777777" w:rsidR="000D1EDB" w:rsidRPr="004E39E9" w:rsidRDefault="000D1EDB" w:rsidP="004E39E9">
      <w:pPr>
        <w:spacing w:after="120"/>
        <w:jc w:val="both"/>
        <w:rPr>
          <w:sz w:val="24"/>
          <w:szCs w:val="24"/>
        </w:rPr>
      </w:pPr>
    </w:p>
    <w:p w14:paraId="0E387142" w14:textId="77777777" w:rsidR="000D1EDB" w:rsidRPr="004E39E9" w:rsidRDefault="00000000" w:rsidP="004E39E9">
      <w:pPr>
        <w:spacing w:after="160"/>
        <w:jc w:val="both"/>
        <w:rPr>
          <w:sz w:val="24"/>
          <w:szCs w:val="24"/>
        </w:rPr>
      </w:pPr>
      <w:r>
        <w:rPr>
          <w:rFonts w:eastAsia="Arial"/>
          <w:sz w:val="24"/>
          <w:szCs w:val="24"/>
        </w:rPr>
        <w:t>CIBC reported revenues of approximately CAD $23.6 billion in fiscal year 2023 and operates under the oversight of OSFI, FCAC, FINTRAC, and provincial insurance regulators across Canada. The Canadian digital insurance market is growing at approximately 12% annually. Key competitors include Lemonade, PolicyMe, Manulife, Sun Life, and Intact Financial. TD Bank and RBC have announced digital insurance partnerships but have not yet launched fully integrated banking-and-insurance platforms, giving CIBC a narrow window to establish first-mover advantage.</w:t>
      </w:r>
    </w:p>
    <w:p w14:paraId="265D9684" w14:textId="77777777" w:rsidR="000D1EDB" w:rsidRPr="004E39E9" w:rsidRDefault="000D1EDB" w:rsidP="004E39E9">
      <w:pPr>
        <w:spacing w:after="120"/>
        <w:jc w:val="both"/>
        <w:rPr>
          <w:sz w:val="24"/>
          <w:szCs w:val="24"/>
        </w:rPr>
      </w:pPr>
    </w:p>
    <w:p w14:paraId="6F641FDD" w14:textId="77777777" w:rsidR="000D1EDB" w:rsidRPr="004E39E9" w:rsidRDefault="00000000" w:rsidP="004E39E9">
      <w:pPr>
        <w:spacing w:before="240" w:after="120"/>
        <w:jc w:val="both"/>
        <w:rPr>
          <w:sz w:val="24"/>
          <w:szCs w:val="24"/>
        </w:rPr>
      </w:pPr>
      <w:r>
        <w:rPr>
          <w:rFonts w:eastAsia="Arial"/>
          <w:b/>
          <w:bCs/>
          <w:sz w:val="24"/>
          <w:szCs w:val="24"/>
        </w:rPr>
        <w:t>SECTION B: Problem Statement — Risk 1</w:t>
      </w:r>
    </w:p>
    <w:p w14:paraId="6F276049" w14:textId="77777777" w:rsidR="000D1EDB" w:rsidRPr="004E39E9" w:rsidRDefault="00000000" w:rsidP="004E39E9">
      <w:pPr>
        <w:spacing w:before="160" w:after="60"/>
        <w:jc w:val="both"/>
        <w:rPr>
          <w:sz w:val="24"/>
          <w:szCs w:val="24"/>
        </w:rPr>
      </w:pPr>
      <w:r>
        <w:rPr>
          <w:rFonts w:eastAsia="Arial"/>
          <w:b/>
          <w:bCs/>
          <w:sz w:val="24"/>
          <w:szCs w:val="24"/>
        </w:rPr>
        <w:t>SWOT Source:</w:t>
      </w:r>
    </w:p>
    <w:p w14:paraId="54A5CC3A" w14:textId="77777777" w:rsidR="000D1EDB" w:rsidRPr="004E39E9" w:rsidRDefault="00000000" w:rsidP="004E39E9">
      <w:pPr>
        <w:spacing w:after="160"/>
        <w:jc w:val="both"/>
        <w:rPr>
          <w:sz w:val="24"/>
          <w:szCs w:val="24"/>
        </w:rPr>
      </w:pPr>
      <w:r>
        <w:rPr>
          <w:rFonts w:eastAsia="Arial"/>
          <w:sz w:val="24"/>
          <w:szCs w:val="24"/>
        </w:rPr>
        <w:t>THREAT: "Holding both banking and insurance data in a connected ecosystem makes CIBC a high-value target for cyberattacks, a level of exposure and reputational consequence it has not previously faced at this scale."</w:t>
      </w:r>
    </w:p>
    <w:p w14:paraId="7798A2B6" w14:textId="77777777" w:rsidR="000D1EDB" w:rsidRPr="004E39E9" w:rsidRDefault="000D1EDB" w:rsidP="004E39E9">
      <w:pPr>
        <w:spacing w:after="120"/>
        <w:jc w:val="both"/>
        <w:rPr>
          <w:sz w:val="24"/>
          <w:szCs w:val="24"/>
        </w:rPr>
      </w:pPr>
    </w:p>
    <w:p w14:paraId="35A7118F" w14:textId="77777777" w:rsidR="000D1EDB" w:rsidRPr="004E39E9" w:rsidRDefault="00000000" w:rsidP="004E39E9">
      <w:pPr>
        <w:spacing w:after="160"/>
        <w:jc w:val="both"/>
        <w:rPr>
          <w:sz w:val="24"/>
          <w:szCs w:val="24"/>
        </w:rPr>
      </w:pPr>
      <w:r>
        <w:rPr>
          <w:rFonts w:eastAsia="Arial"/>
          <w:sz w:val="24"/>
          <w:szCs w:val="24"/>
        </w:rPr>
        <w:t xml:space="preserve">Insurtech competitors have highlighted the dangers of combined financial and insurance data environments, Lemonade experienced a data breach in 2022 affecting policyholder records. CIBC is now building exactly this type of combined environment. The risk requires immediate monitoring because the integration window is the period of greatest vulnerability, PIPEDA and </w:t>
      </w:r>
      <w:r>
        <w:rPr>
          <w:rFonts w:eastAsia="Arial"/>
          <w:sz w:val="24"/>
          <w:szCs w:val="24"/>
        </w:rPr>
        <w:lastRenderedPageBreak/>
        <w:t>Bill C-27 impose strict breach notification obligations, and a breach during or immediately after launch would cause regulatory penalties and permanent reputational damage in a market CIBC has not yet established itself. A major data breach would directly weaken CIBC's competitive position against digital insurers such as Lemonade and PolicyMe by eroding the client trust that is CIBC's primary differentiator in this space and would slow market adoption at precisely the moment the bank needs to capture first-mover share.</w:t>
      </w:r>
    </w:p>
    <w:p w14:paraId="655974F0" w14:textId="77777777" w:rsidR="000D1EDB" w:rsidRPr="004E39E9" w:rsidRDefault="000D1EDB" w:rsidP="004E39E9">
      <w:pPr>
        <w:spacing w:after="120"/>
        <w:jc w:val="both"/>
        <w:rPr>
          <w:sz w:val="24"/>
          <w:szCs w:val="24"/>
        </w:rPr>
      </w:pPr>
    </w:p>
    <w:p w14:paraId="33E7FACC" w14:textId="77777777" w:rsidR="000D1EDB" w:rsidRDefault="00000000">
      <w:pPr>
        <w:spacing w:before="240" w:after="120"/>
      </w:pPr>
      <w:r>
        <w:rPr>
          <w:rFonts w:ascii="Arial" w:eastAsia="Arial" w:hAnsi="Arial" w:cs="Arial"/>
          <w:b/>
          <w:bCs/>
          <w:sz w:val="28"/>
          <w:szCs w:val="28"/>
        </w:rPr>
        <w:t>SECTION C: Risk Statement — Risk 1: Data Privacy Breach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D1EDB" w:rsidRPr="004E39E9" w14:paraId="57DB9C59" w14:textId="77777777">
        <w:tc>
          <w:tcPr>
            <w:tcW w:w="2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658D3541" w14:textId="77777777" w:rsidR="000D1EDB" w:rsidRPr="004E39E9" w:rsidRDefault="00000000">
            <w:pPr>
              <w:rPr>
                <w:sz w:val="22"/>
                <w:szCs w:val="22"/>
              </w:rPr>
            </w:pPr>
            <w:r>
              <w:rPr>
                <w:rFonts w:eastAsia="Arial"/>
                <w:b/>
                <w:bCs/>
                <w:sz w:val="22"/>
                <w:szCs w:val="22"/>
              </w:rPr>
              <w:t>Field</w:t>
            </w:r>
          </w:p>
        </w:tc>
        <w:tc>
          <w:tcPr>
            <w:tcW w:w="73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7540F3F3" w14:textId="77777777" w:rsidR="000D1EDB" w:rsidRPr="004E39E9" w:rsidRDefault="00000000">
            <w:pPr>
              <w:rPr>
                <w:sz w:val="22"/>
                <w:szCs w:val="22"/>
              </w:rPr>
            </w:pPr>
            <w:r>
              <w:rPr>
                <w:rFonts w:eastAsia="Arial"/>
                <w:b/>
                <w:bCs/>
                <w:sz w:val="22"/>
                <w:szCs w:val="22"/>
              </w:rPr>
              <w:t>Detail</w:t>
            </w:r>
          </w:p>
        </w:tc>
      </w:tr>
      <w:tr w:rsidR="000D1EDB" w:rsidRPr="004E39E9" w14:paraId="08B6DBB7"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09F1E7" w14:textId="77777777" w:rsidR="000D1EDB" w:rsidRPr="004E39E9" w:rsidRDefault="00000000">
            <w:pPr>
              <w:rPr>
                <w:sz w:val="22"/>
                <w:szCs w:val="22"/>
              </w:rPr>
            </w:pPr>
            <w:r>
              <w:rPr>
                <w:rFonts w:eastAsia="Arial"/>
                <w:b/>
                <w:bCs/>
                <w:sz w:val="22"/>
                <w:szCs w:val="22"/>
              </w:rPr>
              <w:t>The risk of...</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91F026" w14:textId="77777777" w:rsidR="000D1EDB" w:rsidRPr="004E39E9" w:rsidRDefault="00000000">
            <w:pPr>
              <w:rPr>
                <w:sz w:val="22"/>
                <w:szCs w:val="22"/>
              </w:rPr>
            </w:pPr>
            <w:r>
              <w:rPr>
                <w:rFonts w:eastAsia="Arial"/>
                <w:sz w:val="22"/>
                <w:szCs w:val="22"/>
              </w:rPr>
              <w:t>A data privacy breach exposing combined banking and insurance client records</w:t>
            </w:r>
          </w:p>
        </w:tc>
      </w:tr>
      <w:tr w:rsidR="000D1EDB" w:rsidRPr="004E39E9" w14:paraId="2CECE49C"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17C342" w14:textId="77777777" w:rsidR="000D1EDB" w:rsidRPr="004E39E9" w:rsidRDefault="00000000">
            <w:pPr>
              <w:rPr>
                <w:sz w:val="22"/>
                <w:szCs w:val="22"/>
              </w:rPr>
            </w:pPr>
            <w:r>
              <w:rPr>
                <w:rFonts w:eastAsia="Arial"/>
                <w:b/>
                <w:bCs/>
                <w:sz w:val="22"/>
                <w:szCs w:val="22"/>
              </w:rPr>
              <w:t>Caused by...</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AABBA1" w14:textId="77777777" w:rsidR="000D1EDB" w:rsidRPr="004E39E9" w:rsidRDefault="00000000">
            <w:pPr>
              <w:rPr>
                <w:sz w:val="22"/>
                <w:szCs w:val="22"/>
              </w:rPr>
            </w:pPr>
            <w:r>
              <w:rPr>
                <w:rFonts w:eastAsia="Arial"/>
                <w:sz w:val="22"/>
                <w:szCs w:val="22"/>
              </w:rPr>
              <w:t>Inadequate security controls and access management during the integration of a cloud-native insurance platform into CIBC's core banking infrastructure, creating a high-value combined data environment targeted by sophisticated threat actors</w:t>
            </w:r>
          </w:p>
        </w:tc>
      </w:tr>
      <w:tr w:rsidR="000D1EDB" w:rsidRPr="004E39E9" w14:paraId="3D8BAD78"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0AF556" w14:textId="77777777" w:rsidR="000D1EDB" w:rsidRPr="004E39E9" w:rsidRDefault="00000000">
            <w:pPr>
              <w:rPr>
                <w:sz w:val="22"/>
                <w:szCs w:val="22"/>
              </w:rPr>
            </w:pPr>
            <w:r>
              <w:rPr>
                <w:rFonts w:eastAsia="Arial"/>
                <w:b/>
                <w:bCs/>
                <w:sz w:val="22"/>
                <w:szCs w:val="22"/>
              </w:rPr>
              <w:t>Resulting in...</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72B4B8" w14:textId="77777777" w:rsidR="000D1EDB" w:rsidRPr="004E39E9" w:rsidRDefault="00000000">
            <w:pPr>
              <w:rPr>
                <w:sz w:val="22"/>
                <w:szCs w:val="22"/>
              </w:rPr>
            </w:pPr>
            <w:r>
              <w:rPr>
                <w:rFonts w:eastAsia="Arial"/>
                <w:sz w:val="22"/>
                <w:szCs w:val="22"/>
              </w:rPr>
              <w:t>Mandatory breach notification obligations under PIPEDA, regulatory fines under Bill C-27, client trust erosion, and sustained reputational damage in a product category CIBC has just entered</w:t>
            </w:r>
          </w:p>
        </w:tc>
      </w:tr>
      <w:tr w:rsidR="000D1EDB" w:rsidRPr="004E39E9" w14:paraId="6B12C7B7"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8A9808" w14:textId="77777777" w:rsidR="000D1EDB" w:rsidRPr="004E39E9" w:rsidRDefault="00000000">
            <w:pPr>
              <w:rPr>
                <w:sz w:val="22"/>
                <w:szCs w:val="22"/>
              </w:rPr>
            </w:pPr>
            <w:r>
              <w:rPr>
                <w:rFonts w:eastAsia="Arial"/>
                <w:b/>
                <w:bCs/>
                <w:sz w:val="22"/>
                <w:szCs w:val="22"/>
              </w:rPr>
              <w:t>Risk Type</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F730AB" w14:textId="77777777" w:rsidR="000D1EDB" w:rsidRPr="004E39E9" w:rsidRDefault="00000000">
            <w:pPr>
              <w:rPr>
                <w:sz w:val="22"/>
                <w:szCs w:val="22"/>
              </w:rPr>
            </w:pPr>
            <w:r>
              <w:rPr>
                <w:rFonts w:eastAsia="Arial"/>
                <w:sz w:val="22"/>
                <w:szCs w:val="22"/>
              </w:rPr>
              <w:t>Legal/Compliance; Reputational; Financial; Competitive</w:t>
            </w:r>
          </w:p>
        </w:tc>
      </w:tr>
      <w:tr w:rsidR="000D1EDB" w:rsidRPr="004E39E9" w14:paraId="2EDDB09D"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84AF24" w14:textId="77777777" w:rsidR="000D1EDB" w:rsidRPr="004E39E9" w:rsidRDefault="00000000">
            <w:pPr>
              <w:rPr>
                <w:sz w:val="22"/>
                <w:szCs w:val="22"/>
              </w:rPr>
            </w:pPr>
            <w:r>
              <w:rPr>
                <w:rFonts w:eastAsia="Arial"/>
                <w:b/>
                <w:bCs/>
                <w:sz w:val="22"/>
                <w:szCs w:val="22"/>
              </w:rPr>
              <w:t>Likelihood Score</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3FD510" w14:textId="77777777" w:rsidR="000D1EDB" w:rsidRPr="004E39E9" w:rsidRDefault="00000000">
            <w:pPr>
              <w:rPr>
                <w:sz w:val="22"/>
                <w:szCs w:val="22"/>
              </w:rPr>
            </w:pPr>
            <w:r>
              <w:rPr>
                <w:rFonts w:eastAsia="Arial"/>
                <w:sz w:val="22"/>
                <w:szCs w:val="22"/>
              </w:rPr>
              <w:t>9 / 9 — Very Likely</w:t>
            </w:r>
          </w:p>
        </w:tc>
      </w:tr>
      <w:tr w:rsidR="000D1EDB" w:rsidRPr="004E39E9" w14:paraId="6227920D"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CD3CCC" w14:textId="77777777" w:rsidR="000D1EDB" w:rsidRPr="004E39E9" w:rsidRDefault="00000000">
            <w:pPr>
              <w:rPr>
                <w:sz w:val="22"/>
                <w:szCs w:val="22"/>
              </w:rPr>
            </w:pPr>
            <w:r>
              <w:rPr>
                <w:rFonts w:eastAsia="Arial"/>
                <w:b/>
                <w:bCs/>
                <w:sz w:val="22"/>
                <w:szCs w:val="22"/>
              </w:rPr>
              <w:t>Impact Score</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A215B5" w14:textId="77777777" w:rsidR="000D1EDB" w:rsidRPr="004E39E9" w:rsidRDefault="00000000">
            <w:pPr>
              <w:rPr>
                <w:sz w:val="22"/>
                <w:szCs w:val="22"/>
              </w:rPr>
            </w:pPr>
            <w:r>
              <w:rPr>
                <w:rFonts w:eastAsia="Arial"/>
                <w:sz w:val="22"/>
                <w:szCs w:val="22"/>
              </w:rPr>
              <w:t>8 / 9 — Extremely High</w:t>
            </w:r>
          </w:p>
        </w:tc>
      </w:tr>
      <w:tr w:rsidR="000D1EDB" w:rsidRPr="004E39E9" w14:paraId="45064974" w14:textId="77777777">
        <w:tc>
          <w:tcPr>
            <w:tcW w:w="2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231AD9A3" w14:textId="77777777" w:rsidR="000D1EDB" w:rsidRPr="004E39E9" w:rsidRDefault="00000000">
            <w:pPr>
              <w:rPr>
                <w:sz w:val="22"/>
                <w:szCs w:val="22"/>
              </w:rPr>
            </w:pPr>
            <w:r>
              <w:rPr>
                <w:rFonts w:eastAsia="Arial"/>
                <w:b/>
                <w:bCs/>
                <w:sz w:val="22"/>
                <w:szCs w:val="22"/>
              </w:rPr>
              <w:t>Risk Score</w:t>
            </w:r>
          </w:p>
        </w:tc>
        <w:tc>
          <w:tcPr>
            <w:tcW w:w="73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581BFEAE" w14:textId="77777777" w:rsidR="000D1EDB" w:rsidRPr="004E39E9" w:rsidRDefault="00000000">
            <w:pPr>
              <w:rPr>
                <w:sz w:val="22"/>
                <w:szCs w:val="22"/>
              </w:rPr>
            </w:pPr>
            <w:r>
              <w:rPr>
                <w:rFonts w:eastAsia="Arial"/>
                <w:b/>
                <w:bCs/>
                <w:sz w:val="22"/>
                <w:szCs w:val="22"/>
              </w:rPr>
              <w:t>72 (High Priority — Score 36–81)</w:t>
            </w:r>
          </w:p>
        </w:tc>
      </w:tr>
    </w:tbl>
    <w:p w14:paraId="1D3CC4BA" w14:textId="77777777" w:rsidR="000D1EDB" w:rsidRDefault="000D1EDB">
      <w:pPr>
        <w:spacing w:after="120"/>
      </w:pPr>
    </w:p>
    <w:p w14:paraId="3F53E864" w14:textId="77777777" w:rsidR="000D1EDB" w:rsidRDefault="00000000">
      <w:pPr>
        <w:spacing w:before="240" w:after="120"/>
      </w:pPr>
      <w:r>
        <w:rPr>
          <w:rFonts w:ascii="Arial" w:eastAsia="Arial" w:hAnsi="Arial" w:cs="Arial"/>
          <w:b/>
          <w:bCs/>
          <w:sz w:val="28"/>
          <w:szCs w:val="28"/>
        </w:rPr>
        <w:t>SECTION D: Impact Statement — Risk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D1EDB" w:rsidRPr="004E39E9" w14:paraId="60DCE910" w14:textId="77777777">
        <w:tc>
          <w:tcPr>
            <w:tcW w:w="2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11070F7C" w14:textId="77777777" w:rsidR="000D1EDB" w:rsidRPr="004E39E9" w:rsidRDefault="00000000">
            <w:pPr>
              <w:rPr>
                <w:sz w:val="22"/>
                <w:szCs w:val="22"/>
              </w:rPr>
            </w:pPr>
            <w:r>
              <w:rPr>
                <w:rFonts w:eastAsia="Arial"/>
                <w:b/>
                <w:bCs/>
                <w:sz w:val="22"/>
                <w:szCs w:val="22"/>
              </w:rPr>
              <w:t>Impact Type</w:t>
            </w:r>
          </w:p>
        </w:tc>
        <w:tc>
          <w:tcPr>
            <w:tcW w:w="73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56E9C2A4" w14:textId="77777777" w:rsidR="000D1EDB" w:rsidRPr="004E39E9" w:rsidRDefault="00000000">
            <w:pPr>
              <w:rPr>
                <w:sz w:val="22"/>
                <w:szCs w:val="22"/>
              </w:rPr>
            </w:pPr>
            <w:r>
              <w:rPr>
                <w:rFonts w:eastAsia="Arial"/>
                <w:b/>
                <w:bCs/>
                <w:sz w:val="22"/>
                <w:szCs w:val="22"/>
              </w:rPr>
              <w:t>Impact Description</w:t>
            </w:r>
          </w:p>
        </w:tc>
      </w:tr>
      <w:tr w:rsidR="000D1EDB" w:rsidRPr="004E39E9" w14:paraId="59093D26"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E602B3" w14:textId="77777777" w:rsidR="000D1EDB" w:rsidRPr="004E39E9" w:rsidRDefault="00000000">
            <w:pPr>
              <w:rPr>
                <w:sz w:val="22"/>
                <w:szCs w:val="22"/>
              </w:rPr>
            </w:pPr>
            <w:r>
              <w:rPr>
                <w:rFonts w:eastAsia="Arial"/>
                <w:b/>
                <w:bCs/>
                <w:sz w:val="22"/>
                <w:szCs w:val="22"/>
              </w:rPr>
              <w:t>Financial</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02587B" w14:textId="77777777" w:rsidR="000D1EDB" w:rsidRPr="004E39E9" w:rsidRDefault="00000000">
            <w:pPr>
              <w:rPr>
                <w:sz w:val="22"/>
                <w:szCs w:val="22"/>
              </w:rPr>
            </w:pPr>
            <w:r>
              <w:rPr>
                <w:rFonts w:eastAsia="Arial"/>
                <w:sz w:val="22"/>
                <w:szCs w:val="22"/>
              </w:rPr>
              <w:t>Regulatory fines under PIPEDA and Bill C-27 could reach CAD $25 million or more for a serious breach. Legal costs from class-action litigation by affected policyholders could exceed CAD $50 million.</w:t>
            </w:r>
          </w:p>
        </w:tc>
      </w:tr>
      <w:tr w:rsidR="000D1EDB" w:rsidRPr="004E39E9" w14:paraId="2FCC1518"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7BCC2C" w14:textId="77777777" w:rsidR="000D1EDB" w:rsidRPr="004E39E9" w:rsidRDefault="00000000">
            <w:pPr>
              <w:rPr>
                <w:sz w:val="22"/>
                <w:szCs w:val="22"/>
              </w:rPr>
            </w:pPr>
            <w:r>
              <w:rPr>
                <w:rFonts w:eastAsia="Arial"/>
                <w:b/>
                <w:bCs/>
                <w:sz w:val="22"/>
                <w:szCs w:val="22"/>
              </w:rPr>
              <w:t>Operational</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548701" w14:textId="77777777" w:rsidR="000D1EDB" w:rsidRPr="004E39E9" w:rsidRDefault="00000000">
            <w:pPr>
              <w:rPr>
                <w:sz w:val="22"/>
                <w:szCs w:val="22"/>
              </w:rPr>
            </w:pPr>
            <w:r>
              <w:rPr>
                <w:rFonts w:eastAsia="Arial"/>
                <w:sz w:val="22"/>
                <w:szCs w:val="22"/>
              </w:rPr>
              <w:t>Platform shutdown and mandatory third-party audit could delay the digital insurance launch by 6 to 12 months.</w:t>
            </w:r>
          </w:p>
        </w:tc>
      </w:tr>
      <w:tr w:rsidR="000D1EDB" w:rsidRPr="004E39E9" w14:paraId="7B65D845"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520A91" w14:textId="77777777" w:rsidR="000D1EDB" w:rsidRPr="004E39E9" w:rsidRDefault="00000000">
            <w:pPr>
              <w:rPr>
                <w:sz w:val="22"/>
                <w:szCs w:val="22"/>
              </w:rPr>
            </w:pPr>
            <w:r>
              <w:rPr>
                <w:rFonts w:eastAsia="Arial"/>
                <w:b/>
                <w:bCs/>
                <w:sz w:val="22"/>
                <w:szCs w:val="22"/>
              </w:rPr>
              <w:t>Legal / Compliance</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6C3624" w14:textId="77777777" w:rsidR="000D1EDB" w:rsidRPr="004E39E9" w:rsidRDefault="00000000">
            <w:pPr>
              <w:rPr>
                <w:sz w:val="22"/>
                <w:szCs w:val="22"/>
              </w:rPr>
            </w:pPr>
            <w:r>
              <w:rPr>
                <w:rFonts w:eastAsia="Arial"/>
                <w:sz w:val="22"/>
                <w:szCs w:val="22"/>
              </w:rPr>
              <w:t>OSFI may require CIBC to suspend insurance product sales pending a full compliance review.</w:t>
            </w:r>
          </w:p>
        </w:tc>
      </w:tr>
      <w:tr w:rsidR="000D1EDB" w:rsidRPr="004E39E9" w14:paraId="20F7B79F"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26BD11" w14:textId="77777777" w:rsidR="000D1EDB" w:rsidRPr="004E39E9" w:rsidRDefault="00000000">
            <w:pPr>
              <w:rPr>
                <w:sz w:val="22"/>
                <w:szCs w:val="22"/>
              </w:rPr>
            </w:pPr>
            <w:r>
              <w:rPr>
                <w:rFonts w:eastAsia="Arial"/>
                <w:b/>
                <w:bCs/>
                <w:sz w:val="22"/>
                <w:szCs w:val="22"/>
              </w:rPr>
              <w:t>Reputational</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2FDB2B" w14:textId="77777777" w:rsidR="000D1EDB" w:rsidRPr="004E39E9" w:rsidRDefault="00000000">
            <w:pPr>
              <w:rPr>
                <w:sz w:val="22"/>
                <w:szCs w:val="22"/>
              </w:rPr>
            </w:pPr>
            <w:r>
              <w:rPr>
                <w:rFonts w:eastAsia="Arial"/>
                <w:sz w:val="22"/>
                <w:szCs w:val="22"/>
              </w:rPr>
              <w:t>A breach at launch would associate CIBC's new insurance brand with failure, causing client churn across both banking and insurance product lines and requiring years of brand recovery investment.</w:t>
            </w:r>
          </w:p>
        </w:tc>
      </w:tr>
    </w:tbl>
    <w:p w14:paraId="5A4C0EAD" w14:textId="77777777" w:rsidR="000D1EDB" w:rsidRDefault="000D1EDB">
      <w:pPr>
        <w:spacing w:after="120"/>
      </w:pPr>
    </w:p>
    <w:p w14:paraId="32DBDA5D" w14:textId="77777777" w:rsidR="000D1EDB" w:rsidRDefault="00000000">
      <w:pPr>
        <w:spacing w:before="240" w:after="120"/>
      </w:pPr>
      <w:r>
        <w:rPr>
          <w:rFonts w:ascii="Arial" w:eastAsia="Arial" w:hAnsi="Arial" w:cs="Arial"/>
          <w:b/>
          <w:bCs/>
          <w:sz w:val="28"/>
          <w:szCs w:val="28"/>
        </w:rPr>
        <w:t>SECTION E: Key Risk Indicator (KRI) — Risk 1</w:t>
      </w:r>
    </w:p>
    <w:p w14:paraId="3755019F" w14:textId="77777777" w:rsidR="000D1EDB" w:rsidRPr="004E39E9" w:rsidRDefault="00000000">
      <w:pPr>
        <w:spacing w:before="160" w:after="60"/>
        <w:rPr>
          <w:sz w:val="22"/>
          <w:szCs w:val="22"/>
        </w:rPr>
      </w:pPr>
      <w:r>
        <w:rPr>
          <w:rFonts w:eastAsia="Arial"/>
          <w:b/>
          <w:bCs/>
          <w:sz w:val="22"/>
          <w:szCs w:val="22"/>
        </w:rPr>
        <w:lastRenderedPageBreak/>
        <w:t>Selected KRI:</w:t>
      </w:r>
    </w:p>
    <w:p w14:paraId="532BF073" w14:textId="77777777" w:rsidR="000D1EDB" w:rsidRDefault="00000000">
      <w:pPr>
        <w:spacing w:after="160"/>
      </w:pPr>
      <w:r>
        <w:rPr>
          <w:rFonts w:eastAsia="Arial"/>
          <w:sz w:val="22"/>
          <w:szCs w:val="22"/>
        </w:rPr>
        <w:t>Number of critical security vulnerabilities remaining unpatched beyond 72 hours (Leading Indicator — predicts future breach likelihood before an incident occurs</w:t>
      </w:r>
      <w:r>
        <w:rPr>
          <w:rFonts w:ascii="Arial" w:eastAsia="Arial" w:hAnsi="Arial" w:cs="Arial"/>
        </w:rPr>
        <w:t>).</w:t>
      </w:r>
    </w:p>
    <w:p w14:paraId="57B454C0" w14:textId="77777777" w:rsidR="000D1EDB" w:rsidRDefault="000D1ED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6360"/>
      </w:tblGrid>
      <w:tr w:rsidR="000D1EDB" w14:paraId="502DA73A" w14:textId="77777777">
        <w:tc>
          <w:tcPr>
            <w:tcW w:w="14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3C2435F2" w14:textId="77777777" w:rsidR="000D1EDB" w:rsidRDefault="00000000">
            <w:r>
              <w:rPr>
                <w:rFonts w:ascii="Arial" w:eastAsia="Arial" w:hAnsi="Arial" w:cs="Arial"/>
                <w:b/>
                <w:bCs/>
              </w:rPr>
              <w:t>Level</w:t>
            </w:r>
          </w:p>
        </w:tc>
        <w:tc>
          <w:tcPr>
            <w:tcW w:w="16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543669D7" w14:textId="77777777" w:rsidR="000D1EDB" w:rsidRDefault="00000000">
            <w:r>
              <w:rPr>
                <w:rFonts w:ascii="Arial" w:eastAsia="Arial" w:hAnsi="Arial" w:cs="Arial"/>
                <w:b/>
                <w:bCs/>
              </w:rPr>
              <w:t>Status</w:t>
            </w:r>
          </w:p>
        </w:tc>
        <w:tc>
          <w:tcPr>
            <w:tcW w:w="63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468750A5" w14:textId="77777777" w:rsidR="000D1EDB" w:rsidRDefault="00000000">
            <w:r>
              <w:rPr>
                <w:rFonts w:ascii="Arial" w:eastAsia="Arial" w:hAnsi="Arial" w:cs="Arial"/>
                <w:b/>
                <w:bCs/>
              </w:rPr>
              <w:t>Threshold Definition and Required Action</w:t>
            </w:r>
          </w:p>
        </w:tc>
      </w:tr>
      <w:tr w:rsidR="000D1EDB" w14:paraId="406346F5" w14:textId="77777777">
        <w:tc>
          <w:tcPr>
            <w:tcW w:w="1400" w:type="dxa"/>
            <w:tcBorders>
              <w:top w:val="single" w:sz="4" w:space="0" w:color="000000"/>
              <w:left w:val="single" w:sz="4" w:space="0" w:color="000000"/>
              <w:bottom w:val="single" w:sz="4" w:space="0" w:color="000000"/>
              <w:right w:val="single" w:sz="4" w:space="0" w:color="000000"/>
            </w:tcBorders>
            <w:shd w:val="clear" w:color="auto" w:fill="C6EFCE"/>
            <w:tcMar>
              <w:top w:w="80" w:type="dxa"/>
              <w:left w:w="120" w:type="dxa"/>
              <w:bottom w:w="80" w:type="dxa"/>
              <w:right w:w="120" w:type="dxa"/>
            </w:tcMar>
          </w:tcPr>
          <w:p w14:paraId="02753B62" w14:textId="77777777" w:rsidR="000D1EDB" w:rsidRDefault="00000000">
            <w:r>
              <w:rPr>
                <w:rFonts w:ascii="Arial" w:eastAsia="Arial" w:hAnsi="Arial" w:cs="Arial"/>
                <w:b/>
                <w:bCs/>
              </w:rPr>
              <w:t>GREEN</w:t>
            </w:r>
          </w:p>
        </w:tc>
        <w:tc>
          <w:tcPr>
            <w:tcW w:w="1600" w:type="dxa"/>
            <w:tcBorders>
              <w:top w:val="single" w:sz="4" w:space="0" w:color="000000"/>
              <w:left w:val="single" w:sz="4" w:space="0" w:color="000000"/>
              <w:bottom w:val="single" w:sz="4" w:space="0" w:color="000000"/>
              <w:right w:val="single" w:sz="4" w:space="0" w:color="000000"/>
            </w:tcBorders>
            <w:shd w:val="clear" w:color="auto" w:fill="C6EFCE"/>
            <w:tcMar>
              <w:top w:w="80" w:type="dxa"/>
              <w:left w:w="120" w:type="dxa"/>
              <w:bottom w:w="80" w:type="dxa"/>
              <w:right w:w="120" w:type="dxa"/>
            </w:tcMar>
          </w:tcPr>
          <w:p w14:paraId="6673D3E0" w14:textId="77777777" w:rsidR="000D1EDB" w:rsidRDefault="00000000">
            <w:r>
              <w:rPr>
                <w:rFonts w:ascii="Arial" w:eastAsia="Arial" w:hAnsi="Arial" w:cs="Arial"/>
              </w:rPr>
              <w:t>Optimized — Within Risk Appetite</w:t>
            </w:r>
          </w:p>
        </w:tc>
        <w:tc>
          <w:tcPr>
            <w:tcW w:w="6360" w:type="dxa"/>
            <w:tcBorders>
              <w:top w:val="single" w:sz="4" w:space="0" w:color="000000"/>
              <w:left w:val="single" w:sz="4" w:space="0" w:color="000000"/>
              <w:bottom w:val="single" w:sz="4" w:space="0" w:color="000000"/>
              <w:right w:val="single" w:sz="4" w:space="0" w:color="000000"/>
            </w:tcBorders>
            <w:shd w:val="clear" w:color="auto" w:fill="C6EFCE"/>
            <w:tcMar>
              <w:top w:w="80" w:type="dxa"/>
              <w:left w:w="120" w:type="dxa"/>
              <w:bottom w:w="80" w:type="dxa"/>
              <w:right w:w="120" w:type="dxa"/>
            </w:tcMar>
          </w:tcPr>
          <w:p w14:paraId="049417D7" w14:textId="77777777" w:rsidR="000D1EDB" w:rsidRDefault="00000000">
            <w:r>
              <w:rPr>
                <w:rFonts w:ascii="Arial" w:eastAsia="Arial" w:hAnsi="Arial" w:cs="Arial"/>
              </w:rPr>
              <w:t>Zero critical vulnerabilities unpatched beyond 72 hours. Security posture is within CIBC's defined risk appetite.</w:t>
            </w:r>
          </w:p>
        </w:tc>
      </w:tr>
      <w:tr w:rsidR="000D1EDB" w14:paraId="590B1630" w14:textId="77777777">
        <w:tc>
          <w:tcPr>
            <w:tcW w:w="1400" w:type="dxa"/>
            <w:tcBorders>
              <w:top w:val="single" w:sz="4" w:space="0" w:color="000000"/>
              <w:left w:val="single" w:sz="4" w:space="0" w:color="000000"/>
              <w:bottom w:val="single" w:sz="4" w:space="0" w:color="000000"/>
              <w:right w:val="single" w:sz="4" w:space="0" w:color="000000"/>
            </w:tcBorders>
            <w:shd w:val="clear" w:color="auto" w:fill="FFEB9C"/>
            <w:tcMar>
              <w:top w:w="80" w:type="dxa"/>
              <w:left w:w="120" w:type="dxa"/>
              <w:bottom w:w="80" w:type="dxa"/>
              <w:right w:w="120" w:type="dxa"/>
            </w:tcMar>
          </w:tcPr>
          <w:p w14:paraId="3BA5F328" w14:textId="77777777" w:rsidR="000D1EDB" w:rsidRDefault="00000000">
            <w:r>
              <w:rPr>
                <w:rFonts w:ascii="Arial" w:eastAsia="Arial" w:hAnsi="Arial" w:cs="Arial"/>
                <w:b/>
                <w:bCs/>
              </w:rPr>
              <w:t>AMBER</w:t>
            </w:r>
          </w:p>
        </w:tc>
        <w:tc>
          <w:tcPr>
            <w:tcW w:w="1600" w:type="dxa"/>
            <w:tcBorders>
              <w:top w:val="single" w:sz="4" w:space="0" w:color="000000"/>
              <w:left w:val="single" w:sz="4" w:space="0" w:color="000000"/>
              <w:bottom w:val="single" w:sz="4" w:space="0" w:color="000000"/>
              <w:right w:val="single" w:sz="4" w:space="0" w:color="000000"/>
            </w:tcBorders>
            <w:shd w:val="clear" w:color="auto" w:fill="FFEB9C"/>
            <w:tcMar>
              <w:top w:w="80" w:type="dxa"/>
              <w:left w:w="120" w:type="dxa"/>
              <w:bottom w:w="80" w:type="dxa"/>
              <w:right w:w="120" w:type="dxa"/>
            </w:tcMar>
          </w:tcPr>
          <w:p w14:paraId="686E0A50" w14:textId="77777777" w:rsidR="000D1EDB" w:rsidRDefault="00000000">
            <w:r>
              <w:rPr>
                <w:rFonts w:ascii="Arial" w:eastAsia="Arial" w:hAnsi="Arial" w:cs="Arial"/>
              </w:rPr>
              <w:t>Warning — Risk Increasing</w:t>
            </w:r>
          </w:p>
        </w:tc>
        <w:tc>
          <w:tcPr>
            <w:tcW w:w="6360" w:type="dxa"/>
            <w:tcBorders>
              <w:top w:val="single" w:sz="4" w:space="0" w:color="000000"/>
              <w:left w:val="single" w:sz="4" w:space="0" w:color="000000"/>
              <w:bottom w:val="single" w:sz="4" w:space="0" w:color="000000"/>
              <w:right w:val="single" w:sz="4" w:space="0" w:color="000000"/>
            </w:tcBorders>
            <w:shd w:val="clear" w:color="auto" w:fill="FFEB9C"/>
            <w:tcMar>
              <w:top w:w="80" w:type="dxa"/>
              <w:left w:w="120" w:type="dxa"/>
              <w:bottom w:w="80" w:type="dxa"/>
              <w:right w:w="120" w:type="dxa"/>
            </w:tcMar>
          </w:tcPr>
          <w:p w14:paraId="608E9586" w14:textId="77777777" w:rsidR="000D1EDB" w:rsidRDefault="00000000">
            <w:r>
              <w:rPr>
                <w:rFonts w:ascii="Arial" w:eastAsia="Arial" w:hAnsi="Arial" w:cs="Arial"/>
              </w:rPr>
              <w:t>1 critical vulnerability unpatched beyond 72 hours. Integration security team notified. Patch timeline escalated to CISO. Weekly reporting to senior leadership begins.</w:t>
            </w:r>
          </w:p>
        </w:tc>
      </w:tr>
      <w:tr w:rsidR="000D1EDB" w14:paraId="3EA55D32" w14:textId="77777777">
        <w:tc>
          <w:tcPr>
            <w:tcW w:w="1400" w:type="dxa"/>
            <w:tcBorders>
              <w:top w:val="single" w:sz="4" w:space="0" w:color="000000"/>
              <w:left w:val="single" w:sz="4" w:space="0" w:color="000000"/>
              <w:bottom w:val="single" w:sz="4" w:space="0" w:color="000000"/>
              <w:right w:val="single" w:sz="4" w:space="0" w:color="000000"/>
            </w:tcBorders>
            <w:shd w:val="clear" w:color="auto" w:fill="FFC7CE"/>
            <w:tcMar>
              <w:top w:w="80" w:type="dxa"/>
              <w:left w:w="120" w:type="dxa"/>
              <w:bottom w:w="80" w:type="dxa"/>
              <w:right w:w="120" w:type="dxa"/>
            </w:tcMar>
          </w:tcPr>
          <w:p w14:paraId="195F077B" w14:textId="77777777" w:rsidR="000D1EDB" w:rsidRDefault="00000000">
            <w:r>
              <w:rPr>
                <w:rFonts w:ascii="Arial" w:eastAsia="Arial" w:hAnsi="Arial" w:cs="Arial"/>
                <w:b/>
                <w:bCs/>
              </w:rPr>
              <w:t>RED</w:t>
            </w:r>
          </w:p>
        </w:tc>
        <w:tc>
          <w:tcPr>
            <w:tcW w:w="1600" w:type="dxa"/>
            <w:tcBorders>
              <w:top w:val="single" w:sz="4" w:space="0" w:color="000000"/>
              <w:left w:val="single" w:sz="4" w:space="0" w:color="000000"/>
              <w:bottom w:val="single" w:sz="4" w:space="0" w:color="000000"/>
              <w:right w:val="single" w:sz="4" w:space="0" w:color="000000"/>
            </w:tcBorders>
            <w:shd w:val="clear" w:color="auto" w:fill="FFC7CE"/>
            <w:tcMar>
              <w:top w:w="80" w:type="dxa"/>
              <w:left w:w="120" w:type="dxa"/>
              <w:bottom w:w="80" w:type="dxa"/>
              <w:right w:w="120" w:type="dxa"/>
            </w:tcMar>
          </w:tcPr>
          <w:p w14:paraId="6DAEBD91" w14:textId="77777777" w:rsidR="000D1EDB" w:rsidRDefault="00000000">
            <w:r>
              <w:rPr>
                <w:rFonts w:ascii="Arial" w:eastAsia="Arial" w:hAnsi="Arial" w:cs="Arial"/>
              </w:rPr>
              <w:t>Critical — Immediate Action</w:t>
            </w:r>
          </w:p>
        </w:tc>
        <w:tc>
          <w:tcPr>
            <w:tcW w:w="6360" w:type="dxa"/>
            <w:tcBorders>
              <w:top w:val="single" w:sz="4" w:space="0" w:color="000000"/>
              <w:left w:val="single" w:sz="4" w:space="0" w:color="000000"/>
              <w:bottom w:val="single" w:sz="4" w:space="0" w:color="000000"/>
              <w:right w:val="single" w:sz="4" w:space="0" w:color="000000"/>
            </w:tcBorders>
            <w:shd w:val="clear" w:color="auto" w:fill="FFC7CE"/>
            <w:tcMar>
              <w:top w:w="80" w:type="dxa"/>
              <w:left w:w="120" w:type="dxa"/>
              <w:bottom w:w="80" w:type="dxa"/>
              <w:right w:w="120" w:type="dxa"/>
            </w:tcMar>
          </w:tcPr>
          <w:p w14:paraId="63AB533E" w14:textId="77777777" w:rsidR="000D1EDB" w:rsidRDefault="00000000">
            <w:r>
              <w:rPr>
                <w:rFonts w:ascii="Arial" w:eastAsia="Arial" w:hAnsi="Arial" w:cs="Arial"/>
              </w:rPr>
              <w:t>2 or more critical vulnerabilities unpatched beyond 72 hours OR any confirmed unauthorized access attempt targeting the insurance platform. Immediate CISO escalation to CEO and Board. Platform integration paused pending security audit.</w:t>
            </w:r>
          </w:p>
        </w:tc>
      </w:tr>
    </w:tbl>
    <w:p w14:paraId="68F521AD" w14:textId="77777777" w:rsidR="000D1EDB" w:rsidRDefault="000D1EDB">
      <w:pPr>
        <w:spacing w:after="120"/>
      </w:pPr>
    </w:p>
    <w:p w14:paraId="1F19D3E0" w14:textId="77777777" w:rsidR="000D1EDB" w:rsidRDefault="00000000">
      <w:pPr>
        <w:spacing w:before="240" w:after="120"/>
      </w:pPr>
      <w:r>
        <w:rPr>
          <w:rFonts w:ascii="Arial" w:eastAsia="Arial" w:hAnsi="Arial" w:cs="Arial"/>
          <w:b/>
          <w:bCs/>
          <w:sz w:val="28"/>
          <w:szCs w:val="28"/>
        </w:rPr>
        <w:t>SECTION F: Excel Workbook Contribution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D1EDB" w:rsidRPr="004E39E9" w14:paraId="650339D5" w14:textId="77777777">
        <w:tc>
          <w:tcPr>
            <w:tcW w:w="3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3CE1ECAD" w14:textId="77777777" w:rsidR="000D1EDB" w:rsidRPr="004E39E9" w:rsidRDefault="00000000">
            <w:pPr>
              <w:rPr>
                <w:sz w:val="22"/>
                <w:szCs w:val="22"/>
              </w:rPr>
            </w:pPr>
            <w:r>
              <w:rPr>
                <w:rFonts w:eastAsia="Arial"/>
                <w:b/>
                <w:bCs/>
                <w:sz w:val="22"/>
                <w:szCs w:val="22"/>
              </w:rPr>
              <w:t>Excel Sheet</w:t>
            </w:r>
          </w:p>
        </w:tc>
        <w:tc>
          <w:tcPr>
            <w:tcW w:w="63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42417A72" w14:textId="77777777" w:rsidR="000D1EDB" w:rsidRPr="004E39E9" w:rsidRDefault="00000000">
            <w:pPr>
              <w:rPr>
                <w:sz w:val="22"/>
                <w:szCs w:val="22"/>
              </w:rPr>
            </w:pPr>
            <w:r>
              <w:rPr>
                <w:rFonts w:eastAsia="Arial"/>
                <w:b/>
                <w:bCs/>
                <w:sz w:val="22"/>
                <w:szCs w:val="22"/>
              </w:rPr>
              <w:t>Contribution</w:t>
            </w:r>
          </w:p>
        </w:tc>
      </w:tr>
      <w:tr w:rsidR="000D1EDB" w:rsidRPr="004E39E9" w14:paraId="684845CB"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CE9917" w14:textId="77777777" w:rsidR="000D1EDB" w:rsidRPr="004E39E9" w:rsidRDefault="00000000">
            <w:pPr>
              <w:rPr>
                <w:sz w:val="22"/>
                <w:szCs w:val="22"/>
              </w:rPr>
            </w:pPr>
            <w:r>
              <w:rPr>
                <w:rFonts w:eastAsia="Arial"/>
                <w:sz w:val="22"/>
                <w:szCs w:val="22"/>
              </w:rPr>
              <w:t>Risk Register — Row 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D3D2BB" w14:textId="77777777" w:rsidR="000D1EDB" w:rsidRPr="004E39E9" w:rsidRDefault="00000000">
            <w:pPr>
              <w:rPr>
                <w:sz w:val="22"/>
                <w:szCs w:val="22"/>
              </w:rPr>
            </w:pPr>
            <w:r>
              <w:rPr>
                <w:rFonts w:eastAsia="Arial"/>
                <w:sz w:val="22"/>
                <w:szCs w:val="22"/>
              </w:rPr>
              <w:t>Data Privacy Breach | L=9, I=8, RS=72 | Priority: H | Owner: CISO / Chief Compliance Officer</w:t>
            </w:r>
          </w:p>
        </w:tc>
      </w:tr>
      <w:tr w:rsidR="000D1EDB" w:rsidRPr="004E39E9" w14:paraId="47E7E84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AA723C" w14:textId="77777777" w:rsidR="000D1EDB" w:rsidRPr="004E39E9" w:rsidRDefault="00000000">
            <w:pPr>
              <w:rPr>
                <w:sz w:val="22"/>
                <w:szCs w:val="22"/>
              </w:rPr>
            </w:pPr>
            <w:r>
              <w:rPr>
                <w:rFonts w:eastAsia="Arial"/>
                <w:sz w:val="22"/>
                <w:szCs w:val="22"/>
              </w:rPr>
              <w:t>KRI Framework — Row 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ED3A72" w14:textId="77777777" w:rsidR="000D1EDB" w:rsidRPr="004E39E9" w:rsidRDefault="00000000">
            <w:pPr>
              <w:rPr>
                <w:sz w:val="22"/>
                <w:szCs w:val="22"/>
              </w:rPr>
            </w:pPr>
            <w:r>
              <w:rPr>
                <w:rFonts w:eastAsia="Arial"/>
                <w:sz w:val="22"/>
                <w:szCs w:val="22"/>
              </w:rPr>
              <w:t>KRI: Critical vulnerabilities unpatched &gt;72 hrs | Green/Amber/Red thresholds defined | KRI Owner: CISO</w:t>
            </w:r>
          </w:p>
        </w:tc>
      </w:tr>
      <w:tr w:rsidR="000D1EDB" w:rsidRPr="004E39E9" w14:paraId="48FEB659"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C7B75A" w14:textId="77777777" w:rsidR="000D1EDB" w:rsidRPr="004E39E9" w:rsidRDefault="00000000">
            <w:pPr>
              <w:rPr>
                <w:sz w:val="22"/>
                <w:szCs w:val="22"/>
              </w:rPr>
            </w:pPr>
            <w:r>
              <w:rPr>
                <w:rFonts w:eastAsia="Arial"/>
                <w:sz w:val="22"/>
                <w:szCs w:val="22"/>
              </w:rPr>
              <w:t>Risk Calculation Sheet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D1C851" w14:textId="77777777" w:rsidR="000D1EDB" w:rsidRPr="004E39E9" w:rsidRDefault="00000000">
            <w:pPr>
              <w:rPr>
                <w:sz w:val="22"/>
                <w:szCs w:val="22"/>
              </w:rPr>
            </w:pPr>
            <w:r>
              <w:rPr>
                <w:rFonts w:eastAsia="Arial"/>
                <w:sz w:val="22"/>
                <w:szCs w:val="22"/>
              </w:rPr>
              <w:t>Risk 1 calculation block: likelihood, impact scores, impact-by-type breakdown, impact statement, mitigation controls</w:t>
            </w:r>
          </w:p>
        </w:tc>
      </w:tr>
    </w:tbl>
    <w:p w14:paraId="6EA655E3" w14:textId="77777777" w:rsidR="000D1EDB" w:rsidRDefault="000D1EDB">
      <w:pPr>
        <w:spacing w:after="120"/>
      </w:pPr>
    </w:p>
    <w:p w14:paraId="7E39D255" w14:textId="77777777" w:rsidR="008B0A6C" w:rsidRDefault="008B0A6C">
      <w:pPr>
        <w:spacing w:after="80"/>
      </w:pPr>
    </w:p>
    <w:p w14:paraId="0B47043D" w14:textId="77777777" w:rsidR="008B0A6C" w:rsidRDefault="00000000">
      <w:pPr>
        <w:spacing w:before="240" w:after="120"/>
      </w:pPr>
      <w:r>
        <w:rPr>
          <w:rFonts w:ascii="Arial" w:hAnsi="Arial" w:cs="Arial"/>
          <w:b/>
          <w:bCs/>
          <w:sz w:val="28"/>
          <w:szCs w:val="28"/>
        </w:rPr>
        <w:t>SECTION G: Risk Register</w:t>
      </w:r>
    </w:p>
    <w:p w14:paraId="3E7A474A" w14:textId="77777777" w:rsidR="008B0A6C" w:rsidRDefault="00000000">
      <w:pPr>
        <w:spacing w:before="120" w:after="80"/>
      </w:pPr>
      <w:r>
        <w:rPr>
          <w:rFonts w:ascii="Arial" w:hAnsi="Arial" w:cs="Arial"/>
          <w:b/>
          <w:bCs/>
          <w:sz w:val="22"/>
          <w:szCs w:val="22"/>
        </w:rPr>
        <w:t>Table 8: Risk Register — CIBC Digital Insurance Platform Acquisition</w:t>
      </w:r>
    </w:p>
    <w:tbl>
      <w:tblPr>
        <w:tblW w:w="9360" w:type="dxa"/>
        <w:tblLayout w:type="fixed"/>
        <w:tblLook w:val="04A0" w:firstRow="1" w:lastRow="0" w:firstColumn="1" w:lastColumn="0" w:noHBand="0" w:noVBand="1"/>
      </w:tblPr>
      <w:tblGrid>
        <w:gridCol w:w="360"/>
        <w:gridCol w:w="560"/>
        <w:gridCol w:w="1000"/>
        <w:gridCol w:w="1300"/>
        <w:gridCol w:w="1100"/>
        <w:gridCol w:w="820"/>
        <w:gridCol w:w="400"/>
        <w:gridCol w:w="400"/>
        <w:gridCol w:w="400"/>
        <w:gridCol w:w="400"/>
        <w:gridCol w:w="1020"/>
        <w:gridCol w:w="1600"/>
      </w:tblGrid>
      <w:tr w:rsidR="008B0A6C" w14:paraId="28543477" w14:textId="77777777">
        <w:tc>
          <w:tcPr>
            <w:tcW w:w="3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40DC562" w14:textId="77777777" w:rsidR="008B0A6C" w:rsidRDefault="00000000">
            <w:r>
              <w:rPr>
                <w:rFonts w:ascii="Arial" w:hAnsi="Arial" w:cs="Arial"/>
                <w:b/>
                <w:bCs/>
                <w:sz w:val="18"/>
                <w:szCs w:val="18"/>
              </w:rPr>
              <w:t>#</w:t>
            </w:r>
          </w:p>
        </w:tc>
        <w:tc>
          <w:tcPr>
            <w:tcW w:w="5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4F5A4932" w14:textId="77777777" w:rsidR="008B0A6C" w:rsidRDefault="00000000">
            <w:r>
              <w:rPr>
                <w:rFonts w:ascii="Arial" w:hAnsi="Arial" w:cs="Arial"/>
                <w:b/>
                <w:bCs/>
                <w:sz w:val="18"/>
                <w:szCs w:val="18"/>
              </w:rPr>
              <w:t>Pos / Neg</w:t>
            </w:r>
          </w:p>
        </w:tc>
        <w:tc>
          <w:tcPr>
            <w:tcW w:w="1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55B6E219" w14:textId="77777777" w:rsidR="008B0A6C" w:rsidRDefault="00000000">
            <w:r>
              <w:rPr>
                <w:rFonts w:ascii="Arial" w:hAnsi="Arial" w:cs="Arial"/>
                <w:b/>
                <w:bCs/>
                <w:sz w:val="18"/>
                <w:szCs w:val="18"/>
              </w:rPr>
              <w:t>The risk of / that</w:t>
            </w:r>
          </w:p>
        </w:tc>
        <w:tc>
          <w:tcPr>
            <w:tcW w:w="13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640CB83D" w14:textId="77777777" w:rsidR="008B0A6C" w:rsidRDefault="00000000">
            <w:r>
              <w:rPr>
                <w:rFonts w:ascii="Arial" w:hAnsi="Arial" w:cs="Arial"/>
                <w:b/>
                <w:bCs/>
                <w:sz w:val="18"/>
                <w:szCs w:val="18"/>
              </w:rPr>
              <w:t>Caused by</w:t>
            </w:r>
          </w:p>
        </w:tc>
        <w:tc>
          <w:tcPr>
            <w:tcW w:w="11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5704F039" w14:textId="77777777" w:rsidR="008B0A6C" w:rsidRDefault="00000000">
            <w:r>
              <w:rPr>
                <w:rFonts w:ascii="Arial" w:hAnsi="Arial" w:cs="Arial"/>
                <w:b/>
                <w:bCs/>
                <w:sz w:val="18"/>
                <w:szCs w:val="18"/>
              </w:rPr>
              <w:t>Resulting in</w:t>
            </w:r>
          </w:p>
        </w:tc>
        <w:tc>
          <w:tcPr>
            <w:tcW w:w="82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380A268" w14:textId="77777777" w:rsidR="008B0A6C" w:rsidRDefault="00000000">
            <w:r>
              <w:rPr>
                <w:rFonts w:ascii="Arial" w:hAnsi="Arial" w:cs="Arial"/>
                <w:b/>
                <w:bCs/>
                <w:sz w:val="18"/>
                <w:szCs w:val="18"/>
              </w:rPr>
              <w:t>Consequence / Impact</w:t>
            </w:r>
          </w:p>
        </w:tc>
        <w:tc>
          <w:tcPr>
            <w:tcW w:w="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8E3589C" w14:textId="77777777" w:rsidR="008B0A6C" w:rsidRDefault="00000000">
            <w:r>
              <w:rPr>
                <w:rFonts w:ascii="Arial" w:hAnsi="Arial" w:cs="Arial"/>
                <w:b/>
                <w:bCs/>
                <w:sz w:val="18"/>
                <w:szCs w:val="18"/>
              </w:rPr>
              <w:t>L</w:t>
            </w:r>
          </w:p>
        </w:tc>
        <w:tc>
          <w:tcPr>
            <w:tcW w:w="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34CB10A5" w14:textId="77777777" w:rsidR="008B0A6C" w:rsidRDefault="00000000">
            <w:r>
              <w:rPr>
                <w:rFonts w:ascii="Arial" w:hAnsi="Arial" w:cs="Arial"/>
                <w:b/>
                <w:bCs/>
                <w:sz w:val="18"/>
                <w:szCs w:val="18"/>
              </w:rPr>
              <w:t>I</w:t>
            </w:r>
          </w:p>
        </w:tc>
        <w:tc>
          <w:tcPr>
            <w:tcW w:w="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6D4A57B7" w14:textId="77777777" w:rsidR="008B0A6C" w:rsidRDefault="00000000">
            <w:r>
              <w:rPr>
                <w:rFonts w:ascii="Arial" w:hAnsi="Arial" w:cs="Arial"/>
                <w:b/>
                <w:bCs/>
                <w:sz w:val="18"/>
                <w:szCs w:val="18"/>
              </w:rPr>
              <w:t>RS</w:t>
            </w:r>
          </w:p>
        </w:tc>
        <w:tc>
          <w:tcPr>
            <w:tcW w:w="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5813F626" w14:textId="77777777" w:rsidR="008B0A6C" w:rsidRDefault="00000000">
            <w:r>
              <w:rPr>
                <w:rFonts w:ascii="Arial" w:hAnsi="Arial" w:cs="Arial"/>
                <w:b/>
                <w:bCs/>
                <w:sz w:val="18"/>
                <w:szCs w:val="18"/>
              </w:rPr>
              <w:t>Pri</w:t>
            </w:r>
          </w:p>
        </w:tc>
        <w:tc>
          <w:tcPr>
            <w:tcW w:w="102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10D6F496" w14:textId="77777777" w:rsidR="008B0A6C" w:rsidRDefault="00000000">
            <w:r>
              <w:rPr>
                <w:rFonts w:ascii="Arial" w:hAnsi="Arial" w:cs="Arial"/>
                <w:b/>
                <w:bCs/>
                <w:sz w:val="18"/>
                <w:szCs w:val="18"/>
              </w:rPr>
              <w:t>Mitigation / Controls</w:t>
            </w:r>
          </w:p>
        </w:tc>
        <w:tc>
          <w:tcPr>
            <w:tcW w:w="16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171DDBC" w14:textId="77777777" w:rsidR="008B0A6C" w:rsidRDefault="00000000">
            <w:r>
              <w:rPr>
                <w:rFonts w:ascii="Arial" w:hAnsi="Arial" w:cs="Arial"/>
                <w:b/>
                <w:bCs/>
                <w:sz w:val="18"/>
                <w:szCs w:val="18"/>
              </w:rPr>
              <w:t>Risk Owner</w:t>
            </w:r>
          </w:p>
        </w:tc>
      </w:tr>
      <w:tr w:rsidR="008B0A6C" w14:paraId="57B69237"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6D716D" w14:textId="77777777" w:rsidR="008B0A6C" w:rsidRDefault="00000000">
            <w:r>
              <w:rPr>
                <w:rFonts w:ascii="Arial" w:hAnsi="Arial" w:cs="Arial"/>
                <w:b/>
                <w:bCs/>
              </w:rPr>
              <w:t>1</w:t>
            </w:r>
          </w:p>
        </w:tc>
        <w:tc>
          <w:tcPr>
            <w:tcW w:w="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A54548" w14:textId="77777777" w:rsidR="008B0A6C" w:rsidRDefault="00000000">
            <w:r>
              <w:rPr>
                <w:rFonts w:ascii="Arial" w:hAnsi="Arial" w:cs="Arial"/>
              </w:rPr>
              <w:t>Negative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5F9719" w14:textId="77777777" w:rsidR="008B0A6C" w:rsidRDefault="00000000">
            <w:r>
              <w:rPr>
                <w:rFonts w:ascii="Arial" w:hAnsi="Arial" w:cs="Arial"/>
              </w:rPr>
              <w:t xml:space="preserve">A data privacy breach exposing combined banking </w:t>
            </w:r>
            <w:r>
              <w:rPr>
                <w:rFonts w:ascii="Arial" w:hAnsi="Arial" w:cs="Arial"/>
              </w:rPr>
              <w:lastRenderedPageBreak/>
              <w:t>and insurance client records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347FE8" w14:textId="77777777" w:rsidR="008B0A6C" w:rsidRDefault="00000000">
            <w:r>
              <w:rPr>
                <w:rFonts w:ascii="Arial" w:hAnsi="Arial" w:cs="Arial"/>
              </w:rPr>
              <w:lastRenderedPageBreak/>
              <w:t>Inadequate security controls and access management during integration of a cloud-</w:t>
            </w:r>
            <w:r>
              <w:rPr>
                <w:rFonts w:ascii="Arial" w:hAnsi="Arial" w:cs="Arial"/>
              </w:rPr>
              <w:lastRenderedPageBreak/>
              <w:t>native insurance platform into CIBC's core banking infrastructure</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1BE1B7" w14:textId="77777777" w:rsidR="008B0A6C" w:rsidRDefault="00000000">
            <w:r>
              <w:rPr>
                <w:rFonts w:ascii="Arial" w:hAnsi="Arial" w:cs="Arial"/>
              </w:rPr>
              <w:lastRenderedPageBreak/>
              <w:t xml:space="preserve">Mandatory breach notification under PIPEDA, regulatory fines under Bill </w:t>
            </w:r>
            <w:r>
              <w:rPr>
                <w:rFonts w:ascii="Arial" w:hAnsi="Arial" w:cs="Arial"/>
              </w:rPr>
              <w:lastRenderedPageBreak/>
              <w:t>C-27, client trust erosion, reputational damage</w:t>
            </w:r>
          </w:p>
        </w:tc>
        <w:tc>
          <w:tcPr>
            <w:tcW w:w="8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AEFBAD" w14:textId="77777777" w:rsidR="008B0A6C" w:rsidRDefault="00000000">
            <w:r>
              <w:rPr>
                <w:rFonts w:ascii="Arial" w:hAnsi="Arial" w:cs="Arial"/>
              </w:rPr>
              <w:lastRenderedPageBreak/>
              <w:t xml:space="preserve">Legal/Compliance; Reputational; Financial; </w:t>
            </w:r>
            <w:r>
              <w:rPr>
                <w:rFonts w:ascii="Arial" w:hAnsi="Arial" w:cs="Arial"/>
              </w:rPr>
              <w:lastRenderedPageBreak/>
              <w:t>Competitive</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F9FFA6" w14:textId="77777777" w:rsidR="008B0A6C" w:rsidRDefault="00000000">
            <w:r>
              <w:rPr>
                <w:rFonts w:ascii="Arial" w:hAnsi="Arial" w:cs="Arial"/>
                <w:b/>
                <w:bCs/>
              </w:rPr>
              <w:lastRenderedPageBreak/>
              <w:t>9</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D18169" w14:textId="77777777" w:rsidR="008B0A6C" w:rsidRDefault="00000000">
            <w:r>
              <w:rPr>
                <w:rFonts w:ascii="Arial" w:hAnsi="Arial" w:cs="Arial"/>
                <w:b/>
                <w:bCs/>
              </w:rPr>
              <w:t>8</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5E6799" w14:textId="77777777" w:rsidR="008B0A6C" w:rsidRDefault="00000000">
            <w:r>
              <w:rPr>
                <w:rFonts w:ascii="Arial" w:hAnsi="Arial" w:cs="Arial"/>
                <w:b/>
                <w:bCs/>
              </w:rPr>
              <w:t>72</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B912E0" w14:textId="77777777" w:rsidR="008B0A6C" w:rsidRDefault="00000000">
            <w:r>
              <w:rPr>
                <w:rFonts w:ascii="Arial" w:hAnsi="Arial" w:cs="Arial"/>
                <w:b/>
                <w:bCs/>
              </w:rPr>
              <w:t>H</w:t>
            </w:r>
          </w:p>
        </w:tc>
        <w:tc>
          <w:tcPr>
            <w:tcW w:w="10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16015B" w14:textId="77777777" w:rsidR="008B0A6C" w:rsidRDefault="00000000">
            <w:r>
              <w:rPr>
                <w:rFonts w:ascii="Arial" w:hAnsi="Arial" w:cs="Arial"/>
              </w:rPr>
              <w:t xml:space="preserve">Zero-trust architecture; end-to-end encryption; </w:t>
            </w:r>
            <w:r>
              <w:rPr>
                <w:rFonts w:ascii="Arial" w:hAnsi="Arial" w:cs="Arial"/>
              </w:rPr>
              <w:lastRenderedPageBreak/>
              <w:t>Privacy Impact Assessment before go-live; CISO-led 24/7 SOC; mandatory breach notification procedures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3EBBC7" w14:textId="77777777" w:rsidR="008B0A6C" w:rsidRDefault="00000000">
            <w:r>
              <w:rPr>
                <w:rFonts w:ascii="Arial" w:hAnsi="Arial" w:cs="Arial"/>
              </w:rPr>
              <w:lastRenderedPageBreak/>
              <w:t>CISO / Chief Compliance Officer</w:t>
            </w:r>
          </w:p>
        </w:tc>
      </w:tr>
      <w:tr w:rsidR="008B0A6C" w14:paraId="47AB5518"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14286B" w14:textId="77777777" w:rsidR="008B0A6C" w:rsidRDefault="00000000">
            <w:r>
              <w:rPr>
                <w:rFonts w:ascii="Arial" w:hAnsi="Arial" w:cs="Arial"/>
                <w:b/>
                <w:bCs/>
              </w:rPr>
              <w:t>2</w:t>
            </w:r>
          </w:p>
        </w:tc>
        <w:tc>
          <w:tcPr>
            <w:tcW w:w="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5F3B95" w14:textId="77777777" w:rsidR="008B0A6C" w:rsidRDefault="00000000">
            <w:r>
              <w:rPr>
                <w:rFonts w:ascii="Arial" w:hAnsi="Arial" w:cs="Arial"/>
              </w:rPr>
              <w:t>Negative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7D8B23" w14:textId="77777777" w:rsidR="008B0A6C" w:rsidRDefault="00000000">
            <w:r>
              <w:rPr>
                <w:rFonts w:ascii="Arial" w:hAnsi="Arial" w:cs="Arial"/>
              </w:rPr>
              <w:t>Regulatory non-compliance with provincial insurance licensing rules and federal data privacy legislation</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4F868C" w14:textId="77777777" w:rsidR="008B0A6C" w:rsidRDefault="00000000">
            <w:r>
              <w:rPr>
                <w:rFonts w:ascii="Arial" w:hAnsi="Arial" w:cs="Arial"/>
              </w:rPr>
              <w:t>Rapidly evolving regulatory landscape governing digital insurance, AI-assisted underwriting, and health data privacy under PIPEDA and Bill C-27</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E9719E" w14:textId="77777777" w:rsidR="008B0A6C" w:rsidRDefault="00000000">
            <w:r>
              <w:rPr>
                <w:rFonts w:ascii="Arial" w:hAnsi="Arial" w:cs="Arial"/>
              </w:rPr>
              <w:t>Regulatory fines, mandatory product withdrawal from non-compliant provinces, forced system modifications, reputational harm</w:t>
            </w:r>
          </w:p>
        </w:tc>
        <w:tc>
          <w:tcPr>
            <w:tcW w:w="8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B87C30" w14:textId="77777777" w:rsidR="008B0A6C" w:rsidRDefault="00000000">
            <w:r>
              <w:rPr>
                <w:rFonts w:ascii="Arial" w:hAnsi="Arial" w:cs="Arial"/>
              </w:rPr>
              <w:t>Legal/Compliance; Financial; Operational; Competitive</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810359" w14:textId="77777777" w:rsidR="008B0A6C" w:rsidRDefault="00000000">
            <w:r>
              <w:rPr>
                <w:rFonts w:ascii="Arial" w:hAnsi="Arial" w:cs="Arial"/>
                <w:b/>
                <w:bCs/>
              </w:rPr>
              <w:t>7</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6A32DD" w14:textId="77777777" w:rsidR="008B0A6C" w:rsidRDefault="00000000">
            <w:r>
              <w:rPr>
                <w:rFonts w:ascii="Arial" w:hAnsi="Arial" w:cs="Arial"/>
                <w:b/>
                <w:bCs/>
              </w:rPr>
              <w:t>8</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2E37B4" w14:textId="77777777" w:rsidR="008B0A6C" w:rsidRDefault="00000000">
            <w:r>
              <w:rPr>
                <w:rFonts w:ascii="Arial" w:hAnsi="Arial" w:cs="Arial"/>
                <w:b/>
                <w:bCs/>
              </w:rPr>
              <w:t>56</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1BD20D" w14:textId="77777777" w:rsidR="008B0A6C" w:rsidRDefault="00000000">
            <w:r>
              <w:rPr>
                <w:rFonts w:ascii="Arial" w:hAnsi="Arial" w:cs="Arial"/>
                <w:b/>
                <w:bCs/>
              </w:rPr>
              <w:t>H</w:t>
            </w:r>
          </w:p>
        </w:tc>
        <w:tc>
          <w:tcPr>
            <w:tcW w:w="10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561883" w14:textId="77777777" w:rsidR="008B0A6C" w:rsidRDefault="00000000">
            <w:r>
              <w:rPr>
                <w:rFonts w:ascii="Arial" w:hAnsi="Arial" w:cs="Arial"/>
              </w:rPr>
              <w:t>Dedicated compliance officer in project team; automated regulatory monitoring; provincial licensing review before each launch; board-approved compliance roadmap</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F7209E" w14:textId="77777777" w:rsidR="008B0A6C" w:rsidRDefault="00000000">
            <w:r>
              <w:rPr>
                <w:rFonts w:ascii="Arial" w:hAnsi="Arial" w:cs="Arial"/>
              </w:rPr>
              <w:t>Chief Compliance Officer</w:t>
            </w:r>
          </w:p>
        </w:tc>
      </w:tr>
      <w:tr w:rsidR="008B0A6C" w14:paraId="1D0A4FBF"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EC51C3" w14:textId="77777777" w:rsidR="008B0A6C" w:rsidRDefault="00000000">
            <w:r>
              <w:rPr>
                <w:rFonts w:ascii="Arial" w:hAnsi="Arial" w:cs="Arial"/>
                <w:b/>
                <w:bCs/>
              </w:rPr>
              <w:t>3</w:t>
            </w:r>
          </w:p>
        </w:tc>
        <w:tc>
          <w:tcPr>
            <w:tcW w:w="56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F0969BA" w14:textId="77777777" w:rsidR="008B0A6C" w:rsidRDefault="00000000">
            <w:r>
              <w:rPr>
                <w:rFonts w:ascii="Arial" w:hAnsi="Arial" w:cs="Arial"/>
              </w:rPr>
              <w:t>Positive</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729CDC6" w14:textId="77777777" w:rsidR="008B0A6C" w:rsidRDefault="00000000">
            <w:r>
              <w:rPr>
                <w:rFonts w:ascii="Arial" w:hAnsi="Arial" w:cs="Arial"/>
              </w:rPr>
              <w:t>Capturing significant first-mover advantage in the Canadian digital banking</w:t>
            </w:r>
            <w:r>
              <w:rPr>
                <w:rFonts w:ascii="Arial" w:hAnsi="Arial" w:cs="Arial"/>
              </w:rPr>
              <w:lastRenderedPageBreak/>
              <w:t>-and-insurance integration market</w:t>
            </w:r>
          </w:p>
        </w:tc>
        <w:tc>
          <w:tcPr>
            <w:tcW w:w="13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19C81088" w14:textId="77777777" w:rsidR="008B0A6C" w:rsidRDefault="00000000">
            <w:r>
              <w:rPr>
                <w:rFonts w:ascii="Arial" w:hAnsi="Arial" w:cs="Arial"/>
              </w:rPr>
              <w:lastRenderedPageBreak/>
              <w:t xml:space="preserve">CIBC's early entry leveraging 11 million banking clients and trusted brand, ahead of Lemonade, PolicyMe, </w:t>
            </w:r>
            <w:r>
              <w:rPr>
                <w:rFonts w:ascii="Arial" w:hAnsi="Arial" w:cs="Arial"/>
              </w:rPr>
              <w:lastRenderedPageBreak/>
              <w:t>and rival Canadian banks</w:t>
            </w:r>
          </w:p>
        </w:tc>
        <w:tc>
          <w:tcPr>
            <w:tcW w:w="11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2B2EDE97" w14:textId="7359AA8E" w:rsidR="008B0A6C" w:rsidRDefault="00000000">
            <w:r>
              <w:rPr>
                <w:rFonts w:ascii="Arial" w:hAnsi="Arial" w:cs="Arial"/>
              </w:rPr>
              <w:lastRenderedPageBreak/>
              <w:t>Substantial digital insurance market share gain, increased revenue per househol</w:t>
            </w:r>
            <w:r>
              <w:rPr>
                <w:rFonts w:ascii="Arial" w:hAnsi="Arial" w:cs="Arial"/>
              </w:rPr>
              <w:lastRenderedPageBreak/>
              <w:t xml:space="preserve">d, durable client relationships, sustainable competitive </w:t>
            </w:r>
            <w:r w:rsidR="00FF01F9">
              <w:rPr>
                <w:rFonts w:ascii="Arial" w:hAnsi="Arial" w:cs="Arial"/>
              </w:rPr>
              <w:t>advantage</w:t>
            </w:r>
          </w:p>
        </w:tc>
        <w:tc>
          <w:tcPr>
            <w:tcW w:w="82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401E0EA3" w14:textId="77777777" w:rsidR="008B0A6C" w:rsidRDefault="00000000">
            <w:r>
              <w:rPr>
                <w:rFonts w:ascii="Arial" w:hAnsi="Arial" w:cs="Arial"/>
              </w:rPr>
              <w:lastRenderedPageBreak/>
              <w:t>Strategic; Financial; Competitive</w:t>
            </w:r>
          </w:p>
        </w:tc>
        <w:tc>
          <w:tcPr>
            <w:tcW w:w="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C245D81" w14:textId="77777777" w:rsidR="008B0A6C" w:rsidRDefault="00000000">
            <w:r>
              <w:rPr>
                <w:rFonts w:ascii="Arial" w:hAnsi="Arial" w:cs="Arial"/>
                <w:b/>
                <w:bCs/>
              </w:rPr>
              <w:t>7</w:t>
            </w:r>
          </w:p>
        </w:tc>
        <w:tc>
          <w:tcPr>
            <w:tcW w:w="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A23F2FB" w14:textId="77777777" w:rsidR="008B0A6C" w:rsidRDefault="00000000">
            <w:r>
              <w:rPr>
                <w:rFonts w:ascii="Arial" w:hAnsi="Arial" w:cs="Arial"/>
                <w:b/>
                <w:bCs/>
              </w:rPr>
              <w:t>8</w:t>
            </w:r>
          </w:p>
        </w:tc>
        <w:tc>
          <w:tcPr>
            <w:tcW w:w="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02D6E36" w14:textId="77777777" w:rsidR="008B0A6C" w:rsidRDefault="00000000">
            <w:r>
              <w:rPr>
                <w:rFonts w:ascii="Arial" w:hAnsi="Arial" w:cs="Arial"/>
                <w:b/>
                <w:bCs/>
              </w:rPr>
              <w:t>56</w:t>
            </w:r>
          </w:p>
        </w:tc>
        <w:tc>
          <w:tcPr>
            <w:tcW w:w="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9E9DE29" w14:textId="77777777" w:rsidR="008B0A6C" w:rsidRDefault="00000000">
            <w:r>
              <w:rPr>
                <w:rFonts w:ascii="Arial" w:hAnsi="Arial" w:cs="Arial"/>
                <w:b/>
                <w:bCs/>
              </w:rPr>
              <w:t>H</w:t>
            </w:r>
          </w:p>
        </w:tc>
        <w:tc>
          <w:tcPr>
            <w:tcW w:w="102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1BFCD537" w14:textId="77777777" w:rsidR="008B0A6C" w:rsidRDefault="00000000">
            <w:r>
              <w:rPr>
                <w:rFonts w:ascii="Arial" w:hAnsi="Arial" w:cs="Arial"/>
              </w:rPr>
              <w:t xml:space="preserve">Accelerate go-live as board-level priority; dedicated marketing budget; </w:t>
            </w:r>
            <w:r>
              <w:rPr>
                <w:rFonts w:ascii="Arial" w:hAnsi="Arial" w:cs="Arial"/>
              </w:rPr>
              <w:lastRenderedPageBreak/>
              <w:t>advisor cross-sell incentive programme; protect platform quality at launch</w:t>
            </w:r>
          </w:p>
        </w:tc>
        <w:tc>
          <w:tcPr>
            <w:tcW w:w="16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4D8C5E4B" w14:textId="77777777" w:rsidR="008B0A6C" w:rsidRDefault="00000000">
            <w:r>
              <w:rPr>
                <w:rFonts w:ascii="Arial" w:hAnsi="Arial" w:cs="Arial"/>
              </w:rPr>
              <w:lastRenderedPageBreak/>
              <w:t>Chief Strategy Officer / CFO</w:t>
            </w:r>
          </w:p>
        </w:tc>
      </w:tr>
    </w:tbl>
    <w:p w14:paraId="2FA20677" w14:textId="77777777" w:rsidR="008B0A6C" w:rsidRDefault="00000000">
      <w:pPr>
        <w:spacing w:after="80"/>
      </w:pPr>
      <w:r>
        <w:rPr>
          <w:rFonts w:ascii="Arial" w:hAnsi="Arial" w:cs="Arial"/>
          <w:i/>
          <w:iCs/>
          <w:sz w:val="18"/>
          <w:szCs w:val="18"/>
        </w:rPr>
        <w:t>Risk Score = Likelihood x Impact. High (H) = 36-81. Moderate (M) = 10-35. Low (L) = 1-9. Shaded rows = Positive Risks.</w:t>
      </w:r>
    </w:p>
    <w:p w14:paraId="75DEBFEB" w14:textId="77777777" w:rsidR="008B0A6C" w:rsidRDefault="008B0A6C">
      <w:pPr>
        <w:spacing w:after="80"/>
      </w:pPr>
    </w:p>
    <w:p w14:paraId="7D759F84" w14:textId="77777777" w:rsidR="008B0A6C" w:rsidRDefault="00000000">
      <w:pPr>
        <w:spacing w:before="240" w:after="120"/>
      </w:pPr>
      <w:r>
        <w:rPr>
          <w:rFonts w:ascii="Arial" w:hAnsi="Arial" w:cs="Arial"/>
          <w:b/>
          <w:bCs/>
          <w:sz w:val="28"/>
          <w:szCs w:val="28"/>
        </w:rPr>
        <w:t>SECTION H: KRI Summary</w:t>
      </w:r>
    </w:p>
    <w:p w14:paraId="2475829E" w14:textId="77777777" w:rsidR="008B0A6C" w:rsidRDefault="00000000">
      <w:pPr>
        <w:spacing w:before="120" w:after="80"/>
      </w:pPr>
      <w:r>
        <w:rPr>
          <w:rFonts w:ascii="Arial" w:hAnsi="Arial" w:cs="Arial"/>
          <w:b/>
          <w:bCs/>
          <w:sz w:val="22"/>
          <w:szCs w:val="22"/>
        </w:rPr>
        <w:t>Table 9: KRI Summary — Traffic Light Thresholds for Each Risk</w:t>
      </w:r>
    </w:p>
    <w:tbl>
      <w:tblPr>
        <w:tblW w:w="9360" w:type="dxa"/>
        <w:tblLayout w:type="fixed"/>
        <w:tblLook w:val="04A0" w:firstRow="1" w:lastRow="0" w:firstColumn="1" w:lastColumn="0" w:noHBand="0" w:noVBand="1"/>
      </w:tblPr>
      <w:tblGrid>
        <w:gridCol w:w="360"/>
        <w:gridCol w:w="1500"/>
        <w:gridCol w:w="2150"/>
        <w:gridCol w:w="2150"/>
        <w:gridCol w:w="2150"/>
        <w:gridCol w:w="1050"/>
      </w:tblGrid>
      <w:tr w:rsidR="008B0A6C" w14:paraId="27A28E8E" w14:textId="77777777">
        <w:tc>
          <w:tcPr>
            <w:tcW w:w="3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4B209E05" w14:textId="77777777" w:rsidR="008B0A6C" w:rsidRDefault="00000000">
            <w:r>
              <w:rPr>
                <w:rFonts w:ascii="Arial" w:hAnsi="Arial" w:cs="Arial"/>
                <w:b/>
                <w:bCs/>
                <w:sz w:val="18"/>
                <w:szCs w:val="18"/>
              </w:rPr>
              <w:t>#</w:t>
            </w:r>
          </w:p>
        </w:tc>
        <w:tc>
          <w:tcPr>
            <w:tcW w:w="1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3D5B0F9E" w14:textId="77777777" w:rsidR="008B0A6C" w:rsidRDefault="00000000">
            <w:r>
              <w:rPr>
                <w:rFonts w:ascii="Arial" w:hAnsi="Arial" w:cs="Arial"/>
                <w:b/>
                <w:bCs/>
                <w:sz w:val="18"/>
                <w:szCs w:val="18"/>
              </w:rPr>
              <w:t>KRI (Leading Indicator)</w:t>
            </w:r>
          </w:p>
        </w:tc>
        <w:tc>
          <w:tcPr>
            <w:tcW w:w="215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6972E628" w14:textId="77777777" w:rsidR="008B0A6C" w:rsidRDefault="00000000">
            <w:r>
              <w:rPr>
                <w:rFonts w:ascii="Arial" w:hAnsi="Arial" w:cs="Arial"/>
                <w:b/>
                <w:bCs/>
                <w:sz w:val="18"/>
                <w:szCs w:val="18"/>
              </w:rPr>
              <w:t>Green — Optimized (Within Appetite)</w:t>
            </w:r>
          </w:p>
        </w:tc>
        <w:tc>
          <w:tcPr>
            <w:tcW w:w="215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7F46A7D" w14:textId="77777777" w:rsidR="008B0A6C" w:rsidRDefault="00000000">
            <w:r>
              <w:rPr>
                <w:rFonts w:ascii="Arial" w:hAnsi="Arial" w:cs="Arial"/>
                <w:b/>
                <w:bCs/>
                <w:sz w:val="18"/>
                <w:szCs w:val="18"/>
              </w:rPr>
              <w:t>Amber — Warning (Risk Increasing)</w:t>
            </w:r>
          </w:p>
        </w:tc>
        <w:tc>
          <w:tcPr>
            <w:tcW w:w="215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6A63511" w14:textId="77777777" w:rsidR="008B0A6C" w:rsidRDefault="00000000">
            <w:r>
              <w:rPr>
                <w:rFonts w:ascii="Arial" w:hAnsi="Arial" w:cs="Arial"/>
                <w:b/>
                <w:bCs/>
                <w:sz w:val="18"/>
                <w:szCs w:val="18"/>
              </w:rPr>
              <w:t>Red — Critical (Immediate Action)</w:t>
            </w:r>
          </w:p>
        </w:tc>
        <w:tc>
          <w:tcPr>
            <w:tcW w:w="105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614ED086" w14:textId="77777777" w:rsidR="008B0A6C" w:rsidRDefault="00000000">
            <w:r>
              <w:rPr>
                <w:rFonts w:ascii="Arial" w:hAnsi="Arial" w:cs="Arial"/>
                <w:b/>
                <w:bCs/>
                <w:sz w:val="18"/>
                <w:szCs w:val="18"/>
              </w:rPr>
              <w:t>KRI Owner</w:t>
            </w:r>
          </w:p>
        </w:tc>
      </w:tr>
      <w:tr w:rsidR="008B0A6C" w14:paraId="0DEA26DD"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43AA51" w14:textId="77777777" w:rsidR="008B0A6C" w:rsidRDefault="00000000">
            <w:r>
              <w:rPr>
                <w:rFonts w:ascii="Arial" w:hAnsi="Arial" w:cs="Arial"/>
                <w:b/>
                <w:bCs/>
              </w:rPr>
              <w:t>1</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E998E7" w14:textId="77777777" w:rsidR="008B0A6C" w:rsidRDefault="00000000">
            <w:r>
              <w:rPr>
                <w:rFonts w:ascii="Arial" w:hAnsi="Arial" w:cs="Arial"/>
              </w:rPr>
              <w:t>Critical vulnerabilities unpatched &gt;72 hrs</w:t>
            </w:r>
          </w:p>
        </w:tc>
        <w:tc>
          <w:tcPr>
            <w:tcW w:w="215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49BA797" w14:textId="77777777" w:rsidR="008B0A6C" w:rsidRDefault="00000000">
            <w:r>
              <w:rPr>
                <w:rFonts w:ascii="Arial" w:hAnsi="Arial" w:cs="Arial"/>
              </w:rPr>
              <w:t>Zero critical vulnerabilities unpatched beyond 72 hours. Security posture within CIBC's defined risk appetite.</w:t>
            </w:r>
          </w:p>
        </w:tc>
        <w:tc>
          <w:tcPr>
            <w:tcW w:w="215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7279253E" w14:textId="77777777" w:rsidR="008B0A6C" w:rsidRDefault="00000000">
            <w:r>
              <w:rPr>
                <w:rFonts w:ascii="Arial" w:hAnsi="Arial" w:cs="Arial"/>
              </w:rPr>
              <w:t>1 critical vulnerability unpatched beyond 72 hours. Security team notified. Patch timeline escalated to CISO. Weekly reporting begins.</w:t>
            </w:r>
          </w:p>
        </w:tc>
        <w:tc>
          <w:tcPr>
            <w:tcW w:w="215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2C96B01D" w14:textId="77777777" w:rsidR="008B0A6C" w:rsidRDefault="00000000">
            <w:r>
              <w:rPr>
                <w:rFonts w:ascii="Arial" w:hAnsi="Arial" w:cs="Arial"/>
              </w:rPr>
              <w:t>2+ critical vulnerabilities unpatched &gt;72 hrs OR any confirmed unauthorized access attempt. Immediate CISO escalation to CEO and Board. Integration paused.</w:t>
            </w: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EF144A" w14:textId="77777777" w:rsidR="008B0A6C" w:rsidRDefault="00000000">
            <w:r>
              <w:rPr>
                <w:rFonts w:ascii="Arial" w:hAnsi="Arial" w:cs="Arial"/>
              </w:rPr>
              <w:t>CISO</w:t>
            </w:r>
          </w:p>
        </w:tc>
      </w:tr>
      <w:tr w:rsidR="008B0A6C" w14:paraId="06E3F104"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E1A6CD" w14:textId="77777777" w:rsidR="008B0A6C" w:rsidRDefault="00000000">
            <w:r>
              <w:rPr>
                <w:rFonts w:ascii="Arial" w:hAnsi="Arial" w:cs="Arial"/>
                <w:b/>
                <w:bCs/>
              </w:rPr>
              <w:t>2</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C9015A" w14:textId="77777777" w:rsidR="008B0A6C" w:rsidRDefault="00000000">
            <w:r>
              <w:rPr>
                <w:rFonts w:ascii="Arial" w:hAnsi="Arial" w:cs="Arial"/>
              </w:rPr>
              <w:t>Open compliance findings / regulatory changes &gt;30 days</w:t>
            </w:r>
          </w:p>
        </w:tc>
        <w:tc>
          <w:tcPr>
            <w:tcW w:w="215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345D5B3" w14:textId="77777777" w:rsidR="008B0A6C" w:rsidRDefault="00000000">
            <w:r>
              <w:rPr>
                <w:rFonts w:ascii="Arial" w:hAnsi="Arial" w:cs="Arial"/>
              </w:rPr>
              <w:t>Zero open compliance findings beyond 30 days. All provincial licensing confirmed before launch.</w:t>
            </w:r>
          </w:p>
        </w:tc>
        <w:tc>
          <w:tcPr>
            <w:tcW w:w="215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3924258B" w14:textId="77777777" w:rsidR="008B0A6C" w:rsidRDefault="00000000">
            <w:r>
              <w:rPr>
                <w:rFonts w:ascii="Arial" w:hAnsi="Arial" w:cs="Arial"/>
              </w:rPr>
              <w:t>1-2 open findings not implemented within 30 days. Compliance committee convened. CCO approves remediation timeline.</w:t>
            </w:r>
          </w:p>
        </w:tc>
        <w:tc>
          <w:tcPr>
            <w:tcW w:w="215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3AC12674" w14:textId="77777777" w:rsidR="008B0A6C" w:rsidRDefault="00000000">
            <w:r>
              <w:rPr>
                <w:rFonts w:ascii="Arial" w:hAnsi="Arial" w:cs="Arial"/>
              </w:rPr>
              <w:t>3+ open findings unresolved &gt;30 days OR formal regulatory inquiry received. CEO and Board escalation. Platform sales halted.</w:t>
            </w: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ED0BA1" w14:textId="77777777" w:rsidR="008B0A6C" w:rsidRDefault="00000000">
            <w:r>
              <w:rPr>
                <w:rFonts w:ascii="Arial" w:hAnsi="Arial" w:cs="Arial"/>
              </w:rPr>
              <w:t>Chief Compliance Officer</w:t>
            </w:r>
          </w:p>
        </w:tc>
      </w:tr>
      <w:tr w:rsidR="008B0A6C" w14:paraId="56C892D5" w14:textId="77777777">
        <w:tc>
          <w:tcPr>
            <w:tcW w:w="36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1A1CB8A" w14:textId="77777777" w:rsidR="008B0A6C" w:rsidRDefault="00000000">
            <w:r>
              <w:rPr>
                <w:rFonts w:ascii="Arial" w:hAnsi="Arial" w:cs="Arial"/>
                <w:b/>
                <w:bCs/>
              </w:rPr>
              <w:t>3</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670A69F6" w14:textId="77777777" w:rsidR="008B0A6C" w:rsidRDefault="00000000">
            <w:r>
              <w:rPr>
                <w:rFonts w:ascii="Arial" w:hAnsi="Arial" w:cs="Arial"/>
              </w:rPr>
              <w:t>Monthly digital insurance client adoption rate (%)</w:t>
            </w:r>
          </w:p>
        </w:tc>
        <w:tc>
          <w:tcPr>
            <w:tcW w:w="215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158FF3BD" w14:textId="77777777" w:rsidR="008B0A6C" w:rsidRDefault="00000000">
            <w:r>
              <w:rPr>
                <w:rFonts w:ascii="Arial" w:hAnsi="Arial" w:cs="Arial"/>
              </w:rPr>
              <w:t>Adoption rate above 5% of active digital banking clients within 12 months. Cross-sell programme on track.</w:t>
            </w:r>
          </w:p>
        </w:tc>
        <w:tc>
          <w:tcPr>
            <w:tcW w:w="215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4E864651" w14:textId="77777777" w:rsidR="008B0A6C" w:rsidRDefault="00000000">
            <w:r>
              <w:rPr>
                <w:rFonts w:ascii="Arial" w:hAnsi="Arial" w:cs="Arial"/>
              </w:rPr>
              <w:t>Adoption rate 2-5% at 12 months. Marketing reviewed. Advisor incentive programme reassessed.</w:t>
            </w:r>
          </w:p>
        </w:tc>
        <w:tc>
          <w:tcPr>
            <w:tcW w:w="215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10447529" w14:textId="77777777" w:rsidR="008B0A6C" w:rsidRDefault="00000000">
            <w:r>
              <w:rPr>
                <w:rFonts w:ascii="Arial" w:hAnsi="Arial" w:cs="Arial"/>
              </w:rPr>
              <w:t>Adoption rate below 2% at 12 months OR rival bank launches integrated platform first. Strategy committee review. CEO briefed.</w:t>
            </w:r>
          </w:p>
        </w:tc>
        <w:tc>
          <w:tcPr>
            <w:tcW w:w="105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2D4F504E" w14:textId="77777777" w:rsidR="008B0A6C" w:rsidRDefault="00000000">
            <w:r>
              <w:rPr>
                <w:rFonts w:ascii="Arial" w:hAnsi="Arial" w:cs="Arial"/>
              </w:rPr>
              <w:t>Chief Strategy Officer</w:t>
            </w:r>
          </w:p>
        </w:tc>
      </w:tr>
    </w:tbl>
    <w:p w14:paraId="67B5CEB1" w14:textId="77777777" w:rsidR="008B0A6C" w:rsidRDefault="00000000">
      <w:pPr>
        <w:spacing w:after="80"/>
      </w:pPr>
      <w:r>
        <w:rPr>
          <w:rFonts w:ascii="Arial" w:hAnsi="Arial" w:cs="Arial"/>
          <w:i/>
          <w:iCs/>
          <w:sz w:val="18"/>
          <w:szCs w:val="18"/>
        </w:rPr>
        <w:t>Shaded row = Positive Risk KRI. For positive risks, Red threshold indicates the opportunity window is closing and requires immediate strategy review.</w:t>
      </w:r>
    </w:p>
    <w:p w14:paraId="44C749EC" w14:textId="77777777" w:rsidR="008B0A6C" w:rsidRDefault="008B0A6C">
      <w:pPr>
        <w:spacing w:after="80"/>
      </w:pPr>
    </w:p>
    <w:sectPr w:rsidR="008B0A6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B20E1" w14:textId="77777777" w:rsidR="00381F3A" w:rsidRDefault="00381F3A">
      <w:r>
        <w:separator/>
      </w:r>
    </w:p>
  </w:endnote>
  <w:endnote w:type="continuationSeparator" w:id="0">
    <w:p w14:paraId="58C29BC1" w14:textId="77777777" w:rsidR="00381F3A" w:rsidRDefault="00381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368AC" w14:textId="77777777" w:rsidR="000D1EDB" w:rsidRDefault="00000000">
    <w:pPr>
      <w:jc w:val="center"/>
    </w:pPr>
    <w:r>
      <w:rPr>
        <w:rFonts w:ascii="Arial" w:eastAsia="Arial" w:hAnsi="Arial" w:cs="Arial"/>
        <w:sz w:val="16"/>
        <w:szCs w:val="16"/>
      </w:rPr>
      <w:t xml:space="preserve">Page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4E39E9">
      <w:rPr>
        <w:rFonts w:ascii="Arial" w:eastAsia="Arial" w:hAnsi="Arial" w:cs="Arial"/>
        <w:noProof/>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482FB" w14:textId="77777777" w:rsidR="00381F3A" w:rsidRDefault="00381F3A">
      <w:r>
        <w:separator/>
      </w:r>
    </w:p>
  </w:footnote>
  <w:footnote w:type="continuationSeparator" w:id="0">
    <w:p w14:paraId="6F05D1FC" w14:textId="77777777" w:rsidR="00381F3A" w:rsidRDefault="00381F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32F51" w14:textId="77777777" w:rsidR="000D1EDB" w:rsidRDefault="000D1E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DA4E69"/>
    <w:multiLevelType w:val="hybridMultilevel"/>
    <w:tmpl w:val="B71E908A"/>
    <w:lvl w:ilvl="0" w:tplc="75A6DBD8">
      <w:start w:val="1"/>
      <w:numFmt w:val="bullet"/>
      <w:lvlText w:val="●"/>
      <w:lvlJc w:val="left"/>
      <w:pPr>
        <w:ind w:left="720" w:hanging="360"/>
      </w:pPr>
    </w:lvl>
    <w:lvl w:ilvl="1" w:tplc="886893D0">
      <w:start w:val="1"/>
      <w:numFmt w:val="bullet"/>
      <w:lvlText w:val="○"/>
      <w:lvlJc w:val="left"/>
      <w:pPr>
        <w:ind w:left="1440" w:hanging="360"/>
      </w:pPr>
    </w:lvl>
    <w:lvl w:ilvl="2" w:tplc="04C6A3D4">
      <w:start w:val="1"/>
      <w:numFmt w:val="bullet"/>
      <w:lvlText w:val="■"/>
      <w:lvlJc w:val="left"/>
      <w:pPr>
        <w:ind w:left="2160" w:hanging="360"/>
      </w:pPr>
    </w:lvl>
    <w:lvl w:ilvl="3" w:tplc="79726A78">
      <w:start w:val="1"/>
      <w:numFmt w:val="bullet"/>
      <w:lvlText w:val="●"/>
      <w:lvlJc w:val="left"/>
      <w:pPr>
        <w:ind w:left="2880" w:hanging="360"/>
      </w:pPr>
    </w:lvl>
    <w:lvl w:ilvl="4" w:tplc="03FE8A60">
      <w:start w:val="1"/>
      <w:numFmt w:val="bullet"/>
      <w:lvlText w:val="○"/>
      <w:lvlJc w:val="left"/>
      <w:pPr>
        <w:ind w:left="3600" w:hanging="360"/>
      </w:pPr>
    </w:lvl>
    <w:lvl w:ilvl="5" w:tplc="204A24A8">
      <w:start w:val="1"/>
      <w:numFmt w:val="bullet"/>
      <w:lvlText w:val="■"/>
      <w:lvlJc w:val="left"/>
      <w:pPr>
        <w:ind w:left="4320" w:hanging="360"/>
      </w:pPr>
    </w:lvl>
    <w:lvl w:ilvl="6" w:tplc="C350538A">
      <w:start w:val="1"/>
      <w:numFmt w:val="bullet"/>
      <w:lvlText w:val="●"/>
      <w:lvlJc w:val="left"/>
      <w:pPr>
        <w:ind w:left="5040" w:hanging="360"/>
      </w:pPr>
    </w:lvl>
    <w:lvl w:ilvl="7" w:tplc="50CE5E74">
      <w:start w:val="1"/>
      <w:numFmt w:val="bullet"/>
      <w:lvlText w:val="●"/>
      <w:lvlJc w:val="left"/>
      <w:pPr>
        <w:ind w:left="5760" w:hanging="360"/>
      </w:pPr>
    </w:lvl>
    <w:lvl w:ilvl="8" w:tplc="1ABC0E4A">
      <w:start w:val="1"/>
      <w:numFmt w:val="bullet"/>
      <w:lvlText w:val="●"/>
      <w:lvlJc w:val="left"/>
      <w:pPr>
        <w:ind w:left="6480" w:hanging="360"/>
      </w:pPr>
    </w:lvl>
  </w:abstractNum>
  <w:num w:numId="1" w16cid:durableId="20187277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EDB"/>
    <w:rsid w:val="00044C32"/>
    <w:rsid w:val="000D1EDB"/>
    <w:rsid w:val="00381F3A"/>
    <w:rsid w:val="004E39E9"/>
    <w:rsid w:val="0072171F"/>
    <w:rsid w:val="008657BC"/>
    <w:rsid w:val="008B0A6C"/>
    <w:rsid w:val="00C60641"/>
    <w:rsid w:val="00DD476C"/>
    <w:rsid w:val="00FF0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CC6DCF"/>
  <w15:docId w15:val="{F5625390-6CD3-A747-9492-C2F67EA72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1455</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Okikioluwa Olarewaju</cp:lastModifiedBy>
  <cp:revision>3</cp:revision>
  <dcterms:created xsi:type="dcterms:W3CDTF">2026-06-03T01:47:00Z</dcterms:created>
  <dcterms:modified xsi:type="dcterms:W3CDTF">2026-06-03T04:18:00Z</dcterms:modified>
</cp:coreProperties>
</file>