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904C8" w14:textId="77777777" w:rsidR="009921C1" w:rsidRDefault="00000000">
      <w:pPr>
        <w:spacing w:after="160"/>
      </w:pPr>
      <w:r>
        <w:rPr>
          <w:rFonts w:ascii="Arial" w:eastAsia="Arial" w:hAnsi="Arial" w:cs="Arial"/>
          <w:b/>
          <w:bCs/>
          <w:sz w:val="26"/>
          <w:szCs w:val="26"/>
        </w:rPr>
        <w:t>ALY6130 | Group 7 — Individual Contribution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000"/>
        <w:gridCol w:w="5760"/>
      </w:tblGrid>
      <w:tr w:rsidR="009921C1" w14:paraId="707E6C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9937D0" w14:textId="77777777" w:rsidR="009921C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Team member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FEE128" w14:textId="77777777" w:rsidR="009921C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Assigned risk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109705" w14:textId="77777777" w:rsidR="009921C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Key contributions</w:t>
            </w:r>
          </w:p>
        </w:tc>
      </w:tr>
      <w:tr w:rsidR="009921C1" w14:paraId="26876E3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0F110F" w14:textId="77777777" w:rsidR="009921C1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Ottun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Oluwatomi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0E42FF" w14:textId="77777777" w:rsidR="009921C1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Negative Risk</w:t>
            </w:r>
          </w:p>
          <w:p w14:paraId="6C2CDC3E" w14:textId="77777777" w:rsidR="009921C1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Risk 1 — Data Privacy Breach</w:t>
            </w:r>
          </w:p>
          <w:p w14:paraId="100A2BCA" w14:textId="77777777" w:rsidR="009921C1" w:rsidRDefault="00000000">
            <w: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>Score: 72 · High Priority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3EA232" w14:textId="77777777" w:rsidR="009921C1" w:rsidRDefault="00000000">
            <w:pPr>
              <w:spacing w:after="60"/>
              <w:ind w:left="200" w:hanging="200"/>
            </w:pPr>
            <w:r>
              <w:rPr>
                <w:rFonts w:ascii="Arial" w:eastAsia="Arial" w:hAnsi="Arial" w:cs="Arial"/>
              </w:rPr>
              <w:t>•  Authored the group Introduction and Company Background (Section A)</w:t>
            </w:r>
          </w:p>
          <w:p w14:paraId="0AE152C0" w14:textId="77777777" w:rsidR="009921C1" w:rsidRDefault="00000000">
            <w:pPr>
              <w:spacing w:after="60"/>
              <w:ind w:left="200" w:hanging="200"/>
            </w:pPr>
            <w:r>
              <w:rPr>
                <w:rFonts w:ascii="Arial" w:eastAsia="Arial" w:hAnsi="Arial" w:cs="Arial"/>
              </w:rPr>
              <w:t>•  Problem statement: combined banking and insurance data as a cyberattack target, referencing Lemonade's 2022 breach</w:t>
            </w:r>
          </w:p>
          <w:p w14:paraId="01304986" w14:textId="77777777" w:rsidR="009921C1" w:rsidRDefault="00000000">
            <w:pPr>
              <w:spacing w:after="60"/>
              <w:ind w:left="200" w:hanging="200"/>
            </w:pPr>
            <w:r>
              <w:rPr>
                <w:rFonts w:ascii="Arial" w:eastAsia="Arial" w:hAnsi="Arial" w:cs="Arial"/>
              </w:rPr>
              <w:t>•  Risk statement: inadequate security controls during cloud-native platform integration</w:t>
            </w:r>
          </w:p>
          <w:p w14:paraId="34814EE1" w14:textId="77777777" w:rsidR="009921C1" w:rsidRDefault="00000000">
            <w:pPr>
              <w:spacing w:after="60"/>
              <w:ind w:left="200" w:hanging="200"/>
            </w:pPr>
            <w:r>
              <w:rPr>
                <w:rFonts w:ascii="Arial" w:eastAsia="Arial" w:hAnsi="Arial" w:cs="Arial"/>
              </w:rPr>
              <w:t>•  Impact: up to CAD $25M in regulatory fines, CAD $50M+ in litigation, 6–12 month launch delay</w:t>
            </w:r>
          </w:p>
          <w:p w14:paraId="5FBBE63A" w14:textId="77777777" w:rsidR="009921C1" w:rsidRDefault="00000000">
            <w:pPr>
              <w:spacing w:after="60"/>
              <w:ind w:left="200" w:hanging="200"/>
            </w:pPr>
            <w:r>
              <w:rPr>
                <w:rFonts w:ascii="Arial" w:eastAsia="Arial" w:hAnsi="Arial" w:cs="Arial"/>
              </w:rPr>
              <w:t>•  KRI: critical security vulnerabilities unpatched beyond 72 hours (Green / Amber / Red thresholds)</w:t>
            </w:r>
          </w:p>
          <w:p w14:paraId="467C3844" w14:textId="77777777" w:rsidR="009921C1" w:rsidRDefault="00000000">
            <w:pPr>
              <w:ind w:left="200" w:hanging="200"/>
            </w:pPr>
            <w:r>
              <w:rPr>
                <w:rFonts w:ascii="Arial" w:eastAsia="Arial" w:hAnsi="Arial" w:cs="Arial"/>
              </w:rPr>
              <w:t>•  Risk Register Row 1 · KRI Framework Row 1 · Risk Calculation Sheet</w:t>
            </w:r>
          </w:p>
        </w:tc>
      </w:tr>
      <w:tr w:rsidR="009921C1" w14:paraId="24DE3FF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9CABFE" w14:textId="77777777" w:rsidR="009921C1" w:rsidRDefault="00000000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Efemena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Okpa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7F11F3" w14:textId="77777777" w:rsidR="009921C1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Negative Risk</w:t>
            </w:r>
          </w:p>
          <w:p w14:paraId="1AE09FF3" w14:textId="77777777" w:rsidR="009921C1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Risk 2 — Regulatory &amp; Compliance Exposure</w:t>
            </w:r>
          </w:p>
          <w:p w14:paraId="3664ECBE" w14:textId="77777777" w:rsidR="009921C1" w:rsidRDefault="00000000">
            <w: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>Score: 56 · High Priority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DB0917" w14:textId="77777777" w:rsidR="009921C1" w:rsidRDefault="00000000">
            <w:pPr>
              <w:spacing w:after="60"/>
              <w:ind w:left="200" w:hanging="200"/>
            </w:pPr>
            <w:r>
              <w:rPr>
                <w:rFonts w:ascii="Arial" w:eastAsia="Arial" w:hAnsi="Arial" w:cs="Arial"/>
              </w:rPr>
              <w:t>•  SWOT foundation table mapping all three group risks to source threats and opportunities</w:t>
            </w:r>
          </w:p>
          <w:p w14:paraId="65F8AFEA" w14:textId="77777777" w:rsidR="009921C1" w:rsidRDefault="00000000">
            <w:pPr>
              <w:spacing w:after="60"/>
              <w:ind w:left="200" w:hanging="200"/>
            </w:pPr>
            <w:r>
              <w:rPr>
                <w:rFonts w:ascii="Arial" w:eastAsia="Arial" w:hAnsi="Arial" w:cs="Arial"/>
              </w:rPr>
              <w:t>•  Problem statement: Bill C-27, PIPEDA obligations, and provincial digital insurance distribution rules</w:t>
            </w:r>
          </w:p>
          <w:p w14:paraId="108187D1" w14:textId="77777777" w:rsidR="009921C1" w:rsidRDefault="00000000">
            <w:pPr>
              <w:spacing w:after="60"/>
              <w:ind w:left="200" w:hanging="200"/>
            </w:pPr>
            <w:r>
              <w:rPr>
                <w:rFonts w:ascii="Arial" w:eastAsia="Arial" w:hAnsi="Arial" w:cs="Arial"/>
              </w:rPr>
              <w:t>•  Risk statement: non-compliance forcing product withdrawal, fines, and platform modification</w:t>
            </w:r>
          </w:p>
          <w:p w14:paraId="54440E4D" w14:textId="77777777" w:rsidR="009921C1" w:rsidRDefault="00000000">
            <w:pPr>
              <w:spacing w:after="60"/>
              <w:ind w:left="200" w:hanging="200"/>
            </w:pPr>
            <w:r>
              <w:rPr>
                <w:rFonts w:ascii="Arial" w:eastAsia="Arial" w:hAnsi="Arial" w:cs="Arial"/>
              </w:rPr>
              <w:t>•  Impact: up to CAD $10M per regulatory incident, CAD $5–20M in premium refunds, 3–</w:t>
            </w:r>
            <w:proofErr w:type="gramStart"/>
            <w:r>
              <w:rPr>
                <w:rFonts w:ascii="Arial" w:eastAsia="Arial" w:hAnsi="Arial" w:cs="Arial"/>
              </w:rPr>
              <w:t>9 month</w:t>
            </w:r>
            <w:proofErr w:type="gramEnd"/>
            <w:r>
              <w:rPr>
                <w:rFonts w:ascii="Arial" w:eastAsia="Arial" w:hAnsi="Arial" w:cs="Arial"/>
              </w:rPr>
              <w:t xml:space="preserve"> operational delay</w:t>
            </w:r>
          </w:p>
          <w:p w14:paraId="51E594B6" w14:textId="77777777" w:rsidR="009921C1" w:rsidRDefault="00000000">
            <w:pPr>
              <w:spacing w:after="60"/>
              <w:ind w:left="200" w:hanging="200"/>
            </w:pPr>
            <w:r>
              <w:rPr>
                <w:rFonts w:ascii="Arial" w:eastAsia="Arial" w:hAnsi="Arial" w:cs="Arial"/>
              </w:rPr>
              <w:t>•  KRI: open compliance findings or unimplemented regulatory changes older than 30 days</w:t>
            </w:r>
          </w:p>
          <w:p w14:paraId="6F86E3CE" w14:textId="77777777" w:rsidR="009921C1" w:rsidRDefault="00000000">
            <w:pPr>
              <w:ind w:left="200" w:hanging="200"/>
            </w:pPr>
            <w:r>
              <w:rPr>
                <w:rFonts w:ascii="Arial" w:eastAsia="Arial" w:hAnsi="Arial" w:cs="Arial"/>
              </w:rPr>
              <w:t>•  Risk Register Row 2 · KRI Framework Row 2 · Risk Calculation Sheet</w:t>
            </w:r>
          </w:p>
        </w:tc>
      </w:tr>
      <w:tr w:rsidR="009921C1" w14:paraId="3A40EC3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479574" w14:textId="77777777" w:rsidR="009921C1" w:rsidRDefault="00000000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Anthony Onwuka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3D76FB" w14:textId="77777777" w:rsidR="009921C1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Positive Risk</w:t>
            </w:r>
          </w:p>
          <w:p w14:paraId="570A4DFA" w14:textId="77777777" w:rsidR="009921C1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Risk 3 — First-Mover Market Capture</w:t>
            </w:r>
          </w:p>
          <w:p w14:paraId="415E6502" w14:textId="77777777" w:rsidR="009921C1" w:rsidRDefault="00000000">
            <w: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>Score: 56 · High Priority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55DADC" w14:textId="77777777" w:rsidR="009921C1" w:rsidRDefault="00000000">
            <w:pPr>
              <w:spacing w:after="60"/>
              <w:ind w:left="200" w:hanging="200"/>
            </w:pPr>
            <w:r>
              <w:rPr>
                <w:rFonts w:ascii="Arial" w:eastAsia="Arial" w:hAnsi="Arial" w:cs="Arial"/>
              </w:rPr>
              <w:t>•  Authored the group Conclusion and References sections</w:t>
            </w:r>
          </w:p>
          <w:p w14:paraId="41BA21A8" w14:textId="77777777" w:rsidR="009921C1" w:rsidRDefault="00000000">
            <w:pPr>
              <w:spacing w:after="60"/>
              <w:ind w:left="200" w:hanging="200"/>
            </w:pPr>
            <w:r>
              <w:rPr>
                <w:rFonts w:ascii="Arial" w:eastAsia="Arial" w:hAnsi="Arial" w:cs="Arial"/>
              </w:rPr>
              <w:t xml:space="preserve">•  Problem statement: McKinsey consumer trust data and </w:t>
            </w:r>
            <w:proofErr w:type="spellStart"/>
            <w:r>
              <w:rPr>
                <w:rFonts w:ascii="Arial" w:eastAsia="Arial" w:hAnsi="Arial" w:cs="Arial"/>
              </w:rPr>
              <w:t>PolicyMe's</w:t>
            </w:r>
            <w:proofErr w:type="spellEnd"/>
            <w:r>
              <w:rPr>
                <w:rFonts w:ascii="Arial" w:eastAsia="Arial" w:hAnsi="Arial" w:cs="Arial"/>
              </w:rPr>
              <w:t xml:space="preserve"> 40% YoY growth as evidence of the opportunity window</w:t>
            </w:r>
          </w:p>
          <w:p w14:paraId="1CAA0DEA" w14:textId="77777777" w:rsidR="009921C1" w:rsidRDefault="00000000">
            <w:pPr>
              <w:spacing w:after="60"/>
              <w:ind w:left="200" w:hanging="200"/>
            </w:pPr>
            <w:r>
              <w:rPr>
                <w:rFonts w:ascii="Arial" w:eastAsia="Arial" w:hAnsi="Arial" w:cs="Arial"/>
              </w:rPr>
              <w:t>•  Risk statement: CIBC's 11M client base as a first-mover advantage before TD/RBC launch integrated products</w:t>
            </w:r>
          </w:p>
          <w:p w14:paraId="42E4825B" w14:textId="77777777" w:rsidR="009921C1" w:rsidRDefault="00000000">
            <w:pPr>
              <w:spacing w:after="60"/>
              <w:ind w:left="200" w:hanging="200"/>
            </w:pPr>
            <w:r>
              <w:rPr>
                <w:rFonts w:ascii="Arial" w:eastAsia="Arial" w:hAnsi="Arial" w:cs="Arial"/>
              </w:rPr>
              <w:t>•  Impact: projected CAD $165M annual premiums at 5% adoption; CAD $40–60M opportunity cost if missed</w:t>
            </w:r>
          </w:p>
          <w:p w14:paraId="5369A750" w14:textId="77777777" w:rsidR="009921C1" w:rsidRDefault="00000000">
            <w:pPr>
              <w:spacing w:after="60"/>
              <w:ind w:left="200" w:hanging="200"/>
            </w:pPr>
            <w:r>
              <w:rPr>
                <w:rFonts w:ascii="Arial" w:eastAsia="Arial" w:hAnsi="Arial" w:cs="Arial"/>
              </w:rPr>
              <w:t>•  KRI: monthly digital insurance client adoption rate among active banking clients (target above 5% at 12 months)</w:t>
            </w:r>
          </w:p>
          <w:p w14:paraId="17448221" w14:textId="77777777" w:rsidR="009921C1" w:rsidRDefault="00000000">
            <w:pPr>
              <w:ind w:left="200" w:hanging="200"/>
            </w:pPr>
            <w:r>
              <w:rPr>
                <w:rFonts w:ascii="Arial" w:eastAsia="Arial" w:hAnsi="Arial" w:cs="Arial"/>
              </w:rPr>
              <w:t>•  Risk Register Row 3 · KRI Framework Row 3 · Risk Calculation Sheet</w:t>
            </w:r>
          </w:p>
        </w:tc>
      </w:tr>
    </w:tbl>
    <w:p w14:paraId="67B253EA" w14:textId="77777777" w:rsidR="009921C1" w:rsidRDefault="009921C1">
      <w:pPr>
        <w:spacing w:after="80"/>
      </w:pPr>
    </w:p>
    <w:sectPr w:rsidR="009921C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9524F"/>
    <w:multiLevelType w:val="hybridMultilevel"/>
    <w:tmpl w:val="ACE0B82E"/>
    <w:lvl w:ilvl="0" w:tplc="3E92CC5C">
      <w:start w:val="1"/>
      <w:numFmt w:val="bullet"/>
      <w:lvlText w:val="●"/>
      <w:lvlJc w:val="left"/>
      <w:pPr>
        <w:ind w:left="720" w:hanging="360"/>
      </w:pPr>
    </w:lvl>
    <w:lvl w:ilvl="1" w:tplc="8118E836">
      <w:start w:val="1"/>
      <w:numFmt w:val="bullet"/>
      <w:lvlText w:val="○"/>
      <w:lvlJc w:val="left"/>
      <w:pPr>
        <w:ind w:left="1440" w:hanging="360"/>
      </w:pPr>
    </w:lvl>
    <w:lvl w:ilvl="2" w:tplc="E9469EAE">
      <w:start w:val="1"/>
      <w:numFmt w:val="bullet"/>
      <w:lvlText w:val="■"/>
      <w:lvlJc w:val="left"/>
      <w:pPr>
        <w:ind w:left="2160" w:hanging="360"/>
      </w:pPr>
    </w:lvl>
    <w:lvl w:ilvl="3" w:tplc="EA02EAEA">
      <w:start w:val="1"/>
      <w:numFmt w:val="bullet"/>
      <w:lvlText w:val="●"/>
      <w:lvlJc w:val="left"/>
      <w:pPr>
        <w:ind w:left="2880" w:hanging="360"/>
      </w:pPr>
    </w:lvl>
    <w:lvl w:ilvl="4" w:tplc="A25E6B3A">
      <w:start w:val="1"/>
      <w:numFmt w:val="bullet"/>
      <w:lvlText w:val="○"/>
      <w:lvlJc w:val="left"/>
      <w:pPr>
        <w:ind w:left="3600" w:hanging="360"/>
      </w:pPr>
    </w:lvl>
    <w:lvl w:ilvl="5" w:tplc="F182A3FE">
      <w:start w:val="1"/>
      <w:numFmt w:val="bullet"/>
      <w:lvlText w:val="■"/>
      <w:lvlJc w:val="left"/>
      <w:pPr>
        <w:ind w:left="4320" w:hanging="360"/>
      </w:pPr>
    </w:lvl>
    <w:lvl w:ilvl="6" w:tplc="E54E6F84">
      <w:start w:val="1"/>
      <w:numFmt w:val="bullet"/>
      <w:lvlText w:val="●"/>
      <w:lvlJc w:val="left"/>
      <w:pPr>
        <w:ind w:left="5040" w:hanging="360"/>
      </w:pPr>
    </w:lvl>
    <w:lvl w:ilvl="7" w:tplc="74C8B77A">
      <w:start w:val="1"/>
      <w:numFmt w:val="bullet"/>
      <w:lvlText w:val="●"/>
      <w:lvlJc w:val="left"/>
      <w:pPr>
        <w:ind w:left="5760" w:hanging="360"/>
      </w:pPr>
    </w:lvl>
    <w:lvl w:ilvl="8" w:tplc="3C3402FE">
      <w:start w:val="1"/>
      <w:numFmt w:val="bullet"/>
      <w:lvlText w:val="●"/>
      <w:lvlJc w:val="left"/>
      <w:pPr>
        <w:ind w:left="6480" w:hanging="360"/>
      </w:pPr>
    </w:lvl>
  </w:abstractNum>
  <w:num w:numId="1" w16cid:durableId="13419277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21C1"/>
    <w:rsid w:val="00054BD4"/>
    <w:rsid w:val="009921C1"/>
    <w:rsid w:val="00C60641"/>
    <w:rsid w:val="00F17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50A845"/>
  <w15:docId w15:val="{F5625390-6CD3-A747-9492-C2F67EA72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305</Words>
  <Characters>1743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Okikioluwa Olarewaju</cp:lastModifiedBy>
  <cp:revision>2</cp:revision>
  <dcterms:created xsi:type="dcterms:W3CDTF">2026-06-03T02:01:00Z</dcterms:created>
  <dcterms:modified xsi:type="dcterms:W3CDTF">2026-06-03T02:01:00Z</dcterms:modified>
</cp:coreProperties>
</file>