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INDIVIDUAL CONTRIBUTION REPORT</w:t>
        <w:br/>
        <w:t>Anthony Onwuka</w:t>
      </w:r>
    </w:p>
    <w:p>
      <w:r>
        <w:t>INTRODUCTION</w:t>
      </w:r>
    </w:p>
    <w:p>
      <w:r>
        <w:t>As part of Group 7's Risk Scoring and Risk Heat Map project, I was responsible for developing the Introduction and Acquisition Context sections of the report. My contribution focused on understanding the Canadian digital insurance market, analyzing the strategic rationale behind CIBC's proposed acquisition, evaluating the competitive environment, examining regulatory requirements, and identifying key market forces influencing the acquisition.</w:t>
      </w:r>
    </w:p>
    <w:p>
      <w:r>
        <w:t>CONTRIBUTION DETAILS</w:t>
      </w:r>
    </w:p>
    <w:p>
      <w:r>
        <w:t>I wrote the Introduction section, which explained the purpose of the project and outlined the risk assessment approach used throughout the report. I explained how likelihood and impact scores were assigned to risks and how the results were visualized using heat maps.</w:t>
      </w:r>
    </w:p>
    <w:p>
      <w:r>
        <w:t>I conducted research on the Canadian digital insurance industry and analyzed how changing customer expectations, artificial intelligence, and digital-first insurers such as Lemonade and PolicyMe are reshaping the insurance market.</w:t>
      </w:r>
    </w:p>
    <w:p>
      <w:r>
        <w:t>I developed the Acquisition Context and Market Opportunity section by examining why CIBC views digital insurance as a strategic growth opportunity. I analyzed CIBC's advantages, including its customer base of more than 11 million clients, strong brand reputation, and wealth management capabilities.</w:t>
      </w:r>
    </w:p>
    <w:p>
      <w:r>
        <w:t>I completed the Competitive Landscape analysis by researching TD Bank, RBC, BMO, and Scotiabank and comparing their insurance strategies with CIBC's acquisition strategy.</w:t>
      </w:r>
    </w:p>
    <w:p>
      <w:r>
        <w:t>I examined the Regulatory Landscape, including OSFI requirements, FINTRAC regulations, PIPEDA privacy requirements, and Bill C-27 AI governance requirements.</w:t>
      </w:r>
    </w:p>
    <w:p>
      <w:r>
        <w:t>I developed the stakeholder analysis and Market Forces and Risk Implications section by linking digital insurance growth, AI regulation, cybersecurity threats, customer behavior, and regulatory fragmentation to specific risks in the project.</w:t>
      </w:r>
    </w:p>
    <w:p>
      <w:r>
        <w:t>RESOURCES USED</w:t>
      </w:r>
    </w:p>
    <w:p>
      <w:r>
        <w:t>- CIBC Annual Report (2023)</w:t>
        <w:br/>
        <w:t>- Deloitte Global Insurance Outlook (2024)</w:t>
        <w:br/>
        <w:t>- KPMG Canadian Insurance Industry Outlook (2024)</w:t>
        <w:br/>
        <w:t>- McKinsey &amp; Company (2022)</w:t>
        <w:br/>
        <w:t>- McKinsey Global Institute (2023)</w:t>
        <w:br/>
        <w:t>- Swiss Re Institute (2023)</w:t>
        <w:br/>
        <w:t>- Insurance Bureau of Canada (2023)</w:t>
        <w:br/>
        <w:t>- OSFI Technology and Cyber Risk Management Guideline (2024)</w:t>
        <w:br/>
        <w:t>- FINTRAC (2023)</w:t>
      </w:r>
    </w:p>
    <w:p>
      <w:r>
        <w:t>CONCLUSION</w:t>
      </w:r>
    </w:p>
    <w:p>
      <w:r>
        <w:t>My contribution established the business context for the acquisition and provided the foundation for the overall risk assessment. Through industry, competitor, stakeholder, and regulatory analysis, I demonstrated why the acquisition presents both significant opportunities and significant risks for CIBC.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