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2CA8A" w14:textId="77777777" w:rsidR="00C13ABB" w:rsidRDefault="00C13ABB"/>
    <w:p w14:paraId="4470E314" w14:textId="77777777" w:rsidR="00C13ABB" w:rsidRDefault="00C13ABB"/>
    <w:p w14:paraId="51031960" w14:textId="77777777" w:rsidR="0083355F" w:rsidRDefault="0083355F">
      <w:pPr>
        <w:spacing w:after="80"/>
        <w:jc w:val="center"/>
        <w:rPr>
          <w:b/>
          <w:bCs/>
          <w:sz w:val="56"/>
          <w:szCs w:val="56"/>
        </w:rPr>
      </w:pPr>
    </w:p>
    <w:p w14:paraId="4BF4441A" w14:textId="77777777" w:rsidR="0083355F" w:rsidRDefault="0083355F">
      <w:pPr>
        <w:spacing w:after="80"/>
        <w:jc w:val="center"/>
        <w:rPr>
          <w:b/>
          <w:bCs/>
          <w:sz w:val="56"/>
          <w:szCs w:val="56"/>
        </w:rPr>
      </w:pPr>
    </w:p>
    <w:p w14:paraId="00EF2D87" w14:textId="77777777" w:rsidR="0083355F" w:rsidRDefault="0083355F">
      <w:pPr>
        <w:spacing w:after="80"/>
        <w:jc w:val="center"/>
        <w:rPr>
          <w:b/>
          <w:bCs/>
          <w:sz w:val="44"/>
          <w:szCs w:val="44"/>
        </w:rPr>
      </w:pPr>
    </w:p>
    <w:p w14:paraId="3B7D15DA" w14:textId="77777777" w:rsidR="0083355F" w:rsidRDefault="0083355F">
      <w:pPr>
        <w:spacing w:after="80"/>
        <w:jc w:val="center"/>
        <w:rPr>
          <w:b/>
          <w:bCs/>
          <w:sz w:val="44"/>
          <w:szCs w:val="44"/>
        </w:rPr>
      </w:pPr>
    </w:p>
    <w:p w14:paraId="76D7E43F" w14:textId="77777777" w:rsidR="0083355F" w:rsidRDefault="0083355F">
      <w:pPr>
        <w:spacing w:after="80"/>
        <w:jc w:val="center"/>
        <w:rPr>
          <w:b/>
          <w:bCs/>
          <w:sz w:val="44"/>
          <w:szCs w:val="44"/>
        </w:rPr>
      </w:pPr>
    </w:p>
    <w:p w14:paraId="14AE224C" w14:textId="77777777" w:rsidR="0083355F" w:rsidRDefault="0083355F">
      <w:pPr>
        <w:spacing w:after="80"/>
        <w:jc w:val="center"/>
        <w:rPr>
          <w:b/>
          <w:bCs/>
          <w:sz w:val="44"/>
          <w:szCs w:val="44"/>
        </w:rPr>
      </w:pPr>
    </w:p>
    <w:p w14:paraId="30C80242" w14:textId="77777777" w:rsidR="0083355F" w:rsidRDefault="0083355F">
      <w:pPr>
        <w:spacing w:after="80"/>
        <w:jc w:val="center"/>
        <w:rPr>
          <w:b/>
          <w:bCs/>
          <w:sz w:val="44"/>
          <w:szCs w:val="44"/>
        </w:rPr>
      </w:pPr>
    </w:p>
    <w:p w14:paraId="39C45307" w14:textId="2D539489" w:rsidR="00C13ABB" w:rsidRPr="0083355F" w:rsidRDefault="00513DC3">
      <w:pPr>
        <w:spacing w:after="80"/>
        <w:jc w:val="center"/>
        <w:rPr>
          <w:sz w:val="44"/>
          <w:szCs w:val="44"/>
        </w:rPr>
      </w:pPr>
      <w:r w:rsidRPr="0083355F">
        <w:rPr>
          <w:b/>
          <w:bCs/>
          <w:sz w:val="44"/>
          <w:szCs w:val="44"/>
        </w:rPr>
        <w:t>SIGNATURE ASSESSMENT</w:t>
      </w:r>
    </w:p>
    <w:p w14:paraId="3BB20870" w14:textId="77777777" w:rsidR="00C13ABB" w:rsidRPr="0083355F" w:rsidRDefault="00513DC3">
      <w:pPr>
        <w:spacing w:after="60"/>
        <w:jc w:val="center"/>
        <w:rPr>
          <w:sz w:val="36"/>
          <w:szCs w:val="36"/>
        </w:rPr>
      </w:pPr>
      <w:r w:rsidRPr="0083355F">
        <w:rPr>
          <w:sz w:val="36"/>
          <w:szCs w:val="36"/>
        </w:rPr>
        <w:t>Enterprise Risk Management Analytics:</w:t>
      </w:r>
    </w:p>
    <w:p w14:paraId="37FA82CF" w14:textId="77777777" w:rsidR="00C13ABB" w:rsidRPr="0083355F" w:rsidRDefault="00513DC3">
      <w:pPr>
        <w:spacing w:after="60"/>
        <w:jc w:val="center"/>
        <w:rPr>
          <w:sz w:val="36"/>
          <w:szCs w:val="36"/>
        </w:rPr>
      </w:pPr>
      <w:r w:rsidRPr="0083355F">
        <w:rPr>
          <w:sz w:val="36"/>
          <w:szCs w:val="36"/>
        </w:rPr>
        <w:t>A Comprehensive Quantitative Risk Assessment of</w:t>
      </w:r>
    </w:p>
    <w:p w14:paraId="20791C0A" w14:textId="77777777" w:rsidR="00C13ABB" w:rsidRDefault="00513DC3">
      <w:pPr>
        <w:spacing w:after="100"/>
        <w:jc w:val="center"/>
      </w:pPr>
      <w:r>
        <w:rPr>
          <w:b/>
          <w:bCs/>
          <w:sz w:val="44"/>
          <w:szCs w:val="44"/>
        </w:rPr>
        <w:t>CIBC's Acquisition of a Digital Insurance Platform</w:t>
      </w:r>
    </w:p>
    <w:p w14:paraId="61356121" w14:textId="77777777" w:rsidR="00C13ABB" w:rsidRDefault="00C13ABB"/>
    <w:p w14:paraId="57DC235A" w14:textId="5BA17DC5" w:rsidR="00C13ABB" w:rsidRDefault="00513DC3">
      <w:pPr>
        <w:spacing w:after="60"/>
        <w:jc w:val="center"/>
      </w:pPr>
      <w:r>
        <w:rPr>
          <w:b/>
          <w:bCs/>
          <w:sz w:val="32"/>
          <w:szCs w:val="32"/>
        </w:rPr>
        <w:t xml:space="preserve">Group 7: Ottun Oluwatomi  •  Efemena </w:t>
      </w:r>
      <w:r w:rsidR="0083355F">
        <w:rPr>
          <w:b/>
          <w:bCs/>
          <w:sz w:val="32"/>
          <w:szCs w:val="32"/>
        </w:rPr>
        <w:t>Okpa •</w:t>
      </w:r>
      <w:r>
        <w:rPr>
          <w:b/>
          <w:bCs/>
          <w:sz w:val="32"/>
          <w:szCs w:val="32"/>
        </w:rPr>
        <w:t xml:space="preserve">  Anthony Onwuka</w:t>
      </w:r>
    </w:p>
    <w:p w14:paraId="334510E8" w14:textId="0A273241" w:rsidR="00C13ABB" w:rsidRPr="0083355F" w:rsidRDefault="00513DC3">
      <w:pPr>
        <w:spacing w:after="480"/>
        <w:jc w:val="center"/>
        <w:rPr>
          <w:sz w:val="24"/>
          <w:szCs w:val="24"/>
        </w:rPr>
      </w:pPr>
      <w:r w:rsidRPr="0083355F">
        <w:rPr>
          <w:color w:val="444444"/>
          <w:sz w:val="24"/>
          <w:szCs w:val="24"/>
        </w:rPr>
        <w:t xml:space="preserve">ALY6130 — Risk Management </w:t>
      </w:r>
      <w:r w:rsidR="0083355F" w:rsidRPr="0083355F">
        <w:rPr>
          <w:color w:val="444444"/>
          <w:sz w:val="24"/>
          <w:szCs w:val="24"/>
        </w:rPr>
        <w:t>Analytics | Spring</w:t>
      </w:r>
      <w:r w:rsidRPr="0083355F">
        <w:rPr>
          <w:color w:val="444444"/>
          <w:sz w:val="24"/>
          <w:szCs w:val="24"/>
        </w:rPr>
        <w:t xml:space="preserve"> </w:t>
      </w:r>
      <w:r w:rsidR="0083355F" w:rsidRPr="0083355F">
        <w:rPr>
          <w:color w:val="444444"/>
          <w:sz w:val="24"/>
          <w:szCs w:val="24"/>
        </w:rPr>
        <w:t>2026 | Instructor</w:t>
      </w:r>
      <w:r w:rsidRPr="0083355F">
        <w:rPr>
          <w:color w:val="444444"/>
          <w:sz w:val="24"/>
          <w:szCs w:val="24"/>
        </w:rPr>
        <w:t xml:space="preserve">: Abeba N. </w:t>
      </w:r>
      <w:r w:rsidR="0083355F" w:rsidRPr="0083355F">
        <w:rPr>
          <w:color w:val="444444"/>
          <w:sz w:val="24"/>
          <w:szCs w:val="24"/>
        </w:rPr>
        <w:t>Turi | June</w:t>
      </w:r>
      <w:r w:rsidRPr="0083355F">
        <w:rPr>
          <w:color w:val="444444"/>
          <w:sz w:val="24"/>
          <w:szCs w:val="24"/>
        </w:rPr>
        <w:t xml:space="preserve"> 2026</w:t>
      </w:r>
    </w:p>
    <w:p w14:paraId="78242536" w14:textId="77777777" w:rsidR="00135B3B" w:rsidRDefault="00135B3B">
      <w:pPr>
        <w:spacing w:before="280" w:after="100"/>
        <w:rPr>
          <w:b/>
          <w:bCs/>
          <w:sz w:val="26"/>
          <w:szCs w:val="26"/>
        </w:rPr>
      </w:pPr>
    </w:p>
    <w:p w14:paraId="2E11FEBB" w14:textId="77777777" w:rsidR="00135B3B" w:rsidRDefault="00135B3B">
      <w:pPr>
        <w:spacing w:before="280" w:after="100"/>
        <w:rPr>
          <w:b/>
          <w:bCs/>
          <w:sz w:val="26"/>
          <w:szCs w:val="26"/>
        </w:rPr>
      </w:pPr>
    </w:p>
    <w:p w14:paraId="7D62B586" w14:textId="77777777" w:rsidR="00135B3B" w:rsidRDefault="00135B3B">
      <w:pPr>
        <w:spacing w:before="280" w:after="100"/>
        <w:rPr>
          <w:b/>
          <w:bCs/>
          <w:sz w:val="26"/>
          <w:szCs w:val="26"/>
        </w:rPr>
      </w:pPr>
    </w:p>
    <w:p w14:paraId="3E265B6F" w14:textId="77777777" w:rsidR="00135B3B" w:rsidRDefault="00135B3B">
      <w:pPr>
        <w:spacing w:before="280" w:after="100"/>
        <w:rPr>
          <w:b/>
          <w:bCs/>
          <w:sz w:val="26"/>
          <w:szCs w:val="26"/>
        </w:rPr>
      </w:pPr>
    </w:p>
    <w:p w14:paraId="5901AA78" w14:textId="77777777" w:rsidR="00135B3B" w:rsidRDefault="00135B3B">
      <w:pPr>
        <w:spacing w:before="280" w:after="100"/>
        <w:rPr>
          <w:b/>
          <w:bCs/>
          <w:sz w:val="26"/>
          <w:szCs w:val="26"/>
        </w:rPr>
      </w:pPr>
    </w:p>
    <w:p w14:paraId="7C22DADB" w14:textId="200994CE" w:rsidR="00135B3B" w:rsidRDefault="00135B3B">
      <w:pPr>
        <w:spacing w:before="280" w:after="100"/>
        <w:rPr>
          <w:b/>
          <w:bCs/>
          <w:sz w:val="26"/>
          <w:szCs w:val="26"/>
        </w:rPr>
      </w:pPr>
    </w:p>
    <w:p w14:paraId="2A9E6932" w14:textId="77777777" w:rsidR="0083355F" w:rsidRDefault="0083355F">
      <w:pPr>
        <w:spacing w:before="280" w:after="100"/>
        <w:rPr>
          <w:b/>
          <w:bCs/>
          <w:sz w:val="26"/>
          <w:szCs w:val="26"/>
        </w:rPr>
      </w:pPr>
    </w:p>
    <w:p w14:paraId="1CF0E686" w14:textId="77777777" w:rsidR="00135B3B" w:rsidRDefault="00135B3B">
      <w:pPr>
        <w:spacing w:before="280" w:after="100"/>
        <w:rPr>
          <w:b/>
          <w:bCs/>
          <w:sz w:val="26"/>
          <w:szCs w:val="26"/>
        </w:rPr>
      </w:pPr>
    </w:p>
    <w:p w14:paraId="006D3068" w14:textId="77777777" w:rsidR="00135B3B" w:rsidRDefault="00135B3B">
      <w:pPr>
        <w:spacing w:before="280" w:after="100"/>
        <w:rPr>
          <w:b/>
          <w:bCs/>
          <w:sz w:val="26"/>
          <w:szCs w:val="26"/>
        </w:rPr>
      </w:pPr>
    </w:p>
    <w:p w14:paraId="7BA66C9E" w14:textId="42F464CD" w:rsidR="00C13ABB" w:rsidRDefault="00513DC3" w:rsidP="00A56E7F">
      <w:pPr>
        <w:spacing w:after="100"/>
        <w:rPr>
          <w:b/>
          <w:bCs/>
          <w:sz w:val="24"/>
          <w:szCs w:val="24"/>
        </w:rPr>
      </w:pPr>
      <w:r w:rsidRPr="00135B3B">
        <w:rPr>
          <w:b/>
          <w:bCs/>
          <w:sz w:val="24"/>
          <w:szCs w:val="24"/>
        </w:rPr>
        <w:lastRenderedPageBreak/>
        <w:t>1.  BACKGROUND</w:t>
      </w:r>
    </w:p>
    <w:p w14:paraId="09591E46" w14:textId="77777777" w:rsidR="00A56E7F" w:rsidRDefault="00A56E7F" w:rsidP="00A56E7F">
      <w:pPr>
        <w:pStyle w:val="isselectedend"/>
        <w:spacing w:before="0" w:beforeAutospacing="0"/>
        <w:jc w:val="both"/>
      </w:pPr>
      <w:r>
        <w:t>CIBC has served Canadians for more than 157 years and reported revenues of approximately CAD $23.6 billion in fiscal year 2023, operating a digital banking platform serving more than 11 million clients. Despite this institutional strength, CIBC does not currently possess an established insurance ecosystem. The proposed acquisition of a cloud-native digital insurance platform represents the bank's first direct entry into the Canadian insurance market, exposing the organization to new cybersecurity, regulatory, operational, and competitive risks.</w:t>
      </w:r>
    </w:p>
    <w:p w14:paraId="3AEB267E" w14:textId="77777777" w:rsidR="00A56E7F" w:rsidRDefault="00A56E7F" w:rsidP="007147BC">
      <w:pPr>
        <w:pStyle w:val="NormalWeb"/>
        <w:jc w:val="both"/>
      </w:pPr>
      <w:r>
        <w:t>Canada's digital insurance market is growing at approximately 12% annually, and consumer demand for mobile-first financial experiences is accelerating (Swiss Re Institute, 2023). McKinsey (2023) confirms that bundled multi-product clients exhibit significantly lower attrition rates and higher lifetime value than single-product clients, reinforcing the strategic case for an integrated banking-and-insurance model. From a competitive standpoint, TD Bank and RBC had announced digital insurance partnerships but had not yet launched fully integrated offerings as of June 2026, creating a narrowing first-mover opportunity while increasing the consequences of implementation delays or execution failure</w:t>
      </w:r>
    </w:p>
    <w:p w14:paraId="770E4D35" w14:textId="12EC996E" w:rsidR="007147BC" w:rsidRDefault="00A56E7F" w:rsidP="00E45F8B">
      <w:pPr>
        <w:pStyle w:val="ListParagraph"/>
        <w:numPr>
          <w:ilvl w:val="1"/>
          <w:numId w:val="3"/>
        </w:numPr>
        <w:rPr>
          <w:b/>
          <w:bCs/>
          <w:sz w:val="24"/>
          <w:szCs w:val="24"/>
        </w:rPr>
      </w:pPr>
      <w:r w:rsidRPr="007147BC">
        <w:rPr>
          <w:b/>
          <w:bCs/>
          <w:sz w:val="24"/>
          <w:szCs w:val="24"/>
        </w:rPr>
        <w:t>Enterprise</w:t>
      </w:r>
      <w:r w:rsidR="00513DC3" w:rsidRPr="007147BC">
        <w:rPr>
          <w:b/>
          <w:bCs/>
          <w:sz w:val="24"/>
          <w:szCs w:val="24"/>
        </w:rPr>
        <w:t xml:space="preserve"> Problem Statement</w:t>
      </w:r>
    </w:p>
    <w:p w14:paraId="21E58EAD" w14:textId="7C87BC99" w:rsidR="00E45F8B" w:rsidRDefault="00E45F8B" w:rsidP="00E45F8B">
      <w:pPr>
        <w:pStyle w:val="NormalWeb"/>
        <w:spacing w:before="0" w:beforeAutospacing="0" w:after="0" w:afterAutospacing="0"/>
        <w:jc w:val="both"/>
      </w:pPr>
      <w:r>
        <w:t>CIBC's proposed acquisition of a digital insurance platform exposes the organisation to an interconnected portfolio of cybersecurity, regulatory, operational, and strategic risks at a time when competitive pressure from established Canadian banks and emerging insurtech firms is intensifying. The acquisition requires CIBC to enter a highly regulated industry in which it has limited operational experience, integrate a cloud-native insurance platform with legacy banking infrastructure, comply with multiple provincial insurance regulatory regimes, and protect an expanded pool of customer data that includes sensitive health information. These risks are highly interdependent and capable of amplifying one another. A cybersecurity incident may trigger regulatory scrutiny, a compliance failure may delay market entry, inadequate advisor readiness may weaken distribution effectiveness, and a poor customer experience at launch may undermine customer trust and CIBC's ability to establish a sustainable competitive position in the digital insurance market</w:t>
      </w:r>
      <w:r w:rsidR="008242FE">
        <w:t>.</w:t>
      </w:r>
      <w:r>
        <w:t xml:space="preserve"> </w:t>
      </w:r>
    </w:p>
    <w:p w14:paraId="6D52E242" w14:textId="77777777" w:rsidR="007147BC" w:rsidRPr="007147BC" w:rsidRDefault="007147BC" w:rsidP="00E45F8B">
      <w:pPr>
        <w:spacing w:after="80"/>
        <w:jc w:val="both"/>
        <w:rPr>
          <w:b/>
          <w:bCs/>
          <w:sz w:val="24"/>
          <w:szCs w:val="24"/>
        </w:rPr>
      </w:pPr>
    </w:p>
    <w:p w14:paraId="2601D1B9" w14:textId="4A6FA1C8" w:rsidR="00C13ABB" w:rsidRPr="00D65598" w:rsidRDefault="00513DC3" w:rsidP="00D65598">
      <w:pPr>
        <w:pStyle w:val="ListParagraph"/>
        <w:numPr>
          <w:ilvl w:val="1"/>
          <w:numId w:val="3"/>
        </w:numPr>
        <w:spacing w:after="80"/>
        <w:rPr>
          <w:b/>
          <w:bCs/>
          <w:sz w:val="24"/>
          <w:szCs w:val="24"/>
        </w:rPr>
      </w:pPr>
      <w:r w:rsidRPr="00D65598">
        <w:rPr>
          <w:b/>
          <w:bCs/>
          <w:sz w:val="24"/>
          <w:szCs w:val="24"/>
        </w:rPr>
        <w:t>Enterprise Impact Statement</w:t>
      </w:r>
    </w:p>
    <w:p w14:paraId="4135DD17" w14:textId="37903B8E" w:rsidR="00D65598" w:rsidRPr="00D65598" w:rsidRDefault="00D65598" w:rsidP="00D65598">
      <w:pPr>
        <w:spacing w:after="80"/>
        <w:jc w:val="both"/>
        <w:rPr>
          <w:sz w:val="24"/>
          <w:szCs w:val="24"/>
        </w:rPr>
      </w:pPr>
      <w:r w:rsidRPr="00D65598">
        <w:rPr>
          <w:sz w:val="24"/>
          <w:szCs w:val="24"/>
        </w:rPr>
        <w:t>If the risks associated with this acquisition are not effectively managed, CIBC could face significant financial losses, operational disruption, regulatory sanctions, reputational damage, and loss of competitive advantage. Financial exposure could exceed CAD $100 million through remediation costs, fines, legal liabilities, and delayed revenue, while implementation failures could undermine customer trust and eliminate the first-mover advantage that supports the acquisition's strategic rationale. Conversely, effective risk governance creates an estimated CAD $187.1 million opportunity through first-mover market capture, cross-selling to 11 million existing banking clients, and long-term platform scalability.</w:t>
      </w:r>
    </w:p>
    <w:p w14:paraId="1B3E6AB5" w14:textId="77777777" w:rsidR="00C13ABB" w:rsidRPr="00135B3B" w:rsidRDefault="00513DC3" w:rsidP="00D65598">
      <w:pPr>
        <w:spacing w:before="200" w:after="80"/>
        <w:jc w:val="both"/>
        <w:rPr>
          <w:sz w:val="24"/>
          <w:szCs w:val="24"/>
        </w:rPr>
      </w:pPr>
      <w:r w:rsidRPr="00135B3B">
        <w:rPr>
          <w:b/>
          <w:bCs/>
          <w:sz w:val="24"/>
          <w:szCs w:val="24"/>
        </w:rPr>
        <w:t>1.3  Integrated Situation Assessment</w:t>
      </w:r>
    </w:p>
    <w:p w14:paraId="44906903" w14:textId="77777777" w:rsidR="00C13ABB" w:rsidRPr="00135B3B" w:rsidRDefault="00513DC3" w:rsidP="00D65598">
      <w:pPr>
        <w:spacing w:before="60" w:after="60"/>
        <w:jc w:val="both"/>
        <w:rPr>
          <w:sz w:val="24"/>
          <w:szCs w:val="24"/>
        </w:rPr>
      </w:pPr>
      <w:r w:rsidRPr="00135B3B">
        <w:rPr>
          <w:b/>
          <w:bCs/>
          <w:sz w:val="24"/>
          <w:szCs w:val="24"/>
        </w:rPr>
        <w:t xml:space="preserve">Business Environment: </w:t>
      </w:r>
      <w:r w:rsidRPr="00135B3B">
        <w:rPr>
          <w:sz w:val="24"/>
          <w:szCs w:val="24"/>
        </w:rPr>
        <w:t>The Canadian digital insurance market presents a genuine and time-sensitive opportunity. Digital insurance is growing at 12% annually, and CIBC's 11 million existing client relationships provide a cross-sell distribution advantage no pure-play insurtech can replicate. TD and RBC have announced intentions but have not launched, creating a narrow window that is actively closing.</w:t>
      </w:r>
    </w:p>
    <w:p w14:paraId="731967F6" w14:textId="7B8C1872" w:rsidR="00C13ABB" w:rsidRDefault="00513DC3" w:rsidP="00D65598">
      <w:pPr>
        <w:spacing w:before="60" w:after="60"/>
        <w:jc w:val="both"/>
        <w:rPr>
          <w:sz w:val="24"/>
          <w:szCs w:val="24"/>
        </w:rPr>
      </w:pPr>
      <w:r w:rsidRPr="00135B3B">
        <w:rPr>
          <w:b/>
          <w:bCs/>
          <w:sz w:val="24"/>
          <w:szCs w:val="24"/>
        </w:rPr>
        <w:lastRenderedPageBreak/>
        <w:t xml:space="preserve">Non-Business Environment: </w:t>
      </w:r>
      <w:r w:rsidRPr="00135B3B">
        <w:rPr>
          <w:sz w:val="24"/>
          <w:szCs w:val="24"/>
        </w:rPr>
        <w:t>OSFI's updated Guideline B-10 introduces enhanced vendor oversight requirements. Bill C-27 introduces AI transparency requirements applicable to CIBC's planned automated underwriting. FINTRAC's AML requirements extend to insurance products. Each of Canada's ten provinces maintains independent insurance legislation and licensing requirements. Lemonade's 2022 data breach confirmed that combined financial and health data environments are active targets for sophisticated threat actors.</w:t>
      </w:r>
    </w:p>
    <w:p w14:paraId="4892CB25" w14:textId="77777777" w:rsidR="00A13E62" w:rsidRPr="00135B3B" w:rsidRDefault="00A13E62" w:rsidP="00D65598">
      <w:pPr>
        <w:spacing w:before="60" w:after="60"/>
        <w:jc w:val="both"/>
        <w:rPr>
          <w:sz w:val="24"/>
          <w:szCs w:val="24"/>
        </w:rPr>
      </w:pPr>
    </w:p>
    <w:p w14:paraId="30B63A56" w14:textId="77777777" w:rsidR="00C13ABB" w:rsidRPr="00135B3B" w:rsidRDefault="00513DC3" w:rsidP="00D65598">
      <w:pPr>
        <w:spacing w:before="60" w:after="60"/>
        <w:jc w:val="both"/>
        <w:rPr>
          <w:sz w:val="24"/>
          <w:szCs w:val="24"/>
        </w:rPr>
      </w:pPr>
      <w:r w:rsidRPr="00135B3B">
        <w:rPr>
          <w:b/>
          <w:bCs/>
          <w:sz w:val="24"/>
          <w:szCs w:val="24"/>
        </w:rPr>
        <w:t xml:space="preserve">Internal Drivers: </w:t>
      </w:r>
      <w:r w:rsidRPr="00135B3B">
        <w:rPr>
          <w:sz w:val="24"/>
          <w:szCs w:val="24"/>
        </w:rPr>
        <w:t>CIBC's legacy core banking architecture was not designed to integrate with cloud-native platforms. The bank has no institutional experience in insurance underwriting, actuarial pricing, claims management, or provincial insurance licensing. Its advisor compensation structure was designed around banking products. These internal capability gaps directly elevate the likelihood scores for multiple high-priority risks and must be explicitly managed throughout the integration period.</w:t>
      </w:r>
    </w:p>
    <w:p w14:paraId="59E8B35B" w14:textId="77777777" w:rsidR="00C13ABB" w:rsidRDefault="00C13ABB"/>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820"/>
      </w:tblGrid>
      <w:tr w:rsidR="00135B3B" w14:paraId="035F8B51" w14:textId="77777777">
        <w:tc>
          <w:tcPr>
            <w:tcW w:w="2400" w:type="dxa"/>
            <w:shd w:val="clear" w:color="auto" w:fill="000000"/>
            <w:tcMar>
              <w:top w:w="60" w:type="dxa"/>
              <w:left w:w="100" w:type="dxa"/>
              <w:bottom w:w="60" w:type="dxa"/>
              <w:right w:w="100" w:type="dxa"/>
            </w:tcMar>
            <w:vAlign w:val="center"/>
          </w:tcPr>
          <w:p w14:paraId="4F359A27" w14:textId="77777777" w:rsidR="00C13ABB" w:rsidRDefault="00513DC3">
            <w:pPr>
              <w:jc w:val="center"/>
            </w:pPr>
            <w:r>
              <w:rPr>
                <w:b/>
                <w:bCs/>
                <w:color w:val="FFFFFF"/>
              </w:rPr>
              <w:t>Environmental Factor</w:t>
            </w:r>
          </w:p>
        </w:tc>
        <w:tc>
          <w:tcPr>
            <w:tcW w:w="3500" w:type="dxa"/>
            <w:shd w:val="clear" w:color="auto" w:fill="000000"/>
            <w:tcMar>
              <w:top w:w="60" w:type="dxa"/>
              <w:left w:w="100" w:type="dxa"/>
              <w:bottom w:w="60" w:type="dxa"/>
              <w:right w:w="100" w:type="dxa"/>
            </w:tcMar>
            <w:vAlign w:val="center"/>
          </w:tcPr>
          <w:p w14:paraId="566799D1" w14:textId="77777777" w:rsidR="00C13ABB" w:rsidRDefault="00513DC3">
            <w:pPr>
              <w:jc w:val="center"/>
            </w:pPr>
            <w:r>
              <w:rPr>
                <w:b/>
                <w:bCs/>
                <w:color w:val="FFFFFF"/>
              </w:rPr>
              <w:t>Key Drivers</w:t>
            </w:r>
          </w:p>
        </w:tc>
        <w:tc>
          <w:tcPr>
            <w:tcW w:w="3820" w:type="dxa"/>
            <w:shd w:val="clear" w:color="auto" w:fill="000000"/>
            <w:tcMar>
              <w:top w:w="60" w:type="dxa"/>
              <w:left w:w="100" w:type="dxa"/>
              <w:bottom w:w="60" w:type="dxa"/>
              <w:right w:w="100" w:type="dxa"/>
            </w:tcMar>
            <w:vAlign w:val="center"/>
          </w:tcPr>
          <w:p w14:paraId="5F84C3FC" w14:textId="77777777" w:rsidR="00C13ABB" w:rsidRDefault="00513DC3">
            <w:pPr>
              <w:jc w:val="center"/>
            </w:pPr>
            <w:r>
              <w:rPr>
                <w:b/>
                <w:bCs/>
                <w:color w:val="FFFFFF"/>
              </w:rPr>
              <w:t>Risk Implications (CIBC)</w:t>
            </w:r>
          </w:p>
        </w:tc>
      </w:tr>
      <w:tr w:rsidR="00135B3B" w14:paraId="3B37976F" w14:textId="77777777">
        <w:tc>
          <w:tcPr>
            <w:tcW w:w="2400" w:type="dxa"/>
            <w:shd w:val="clear" w:color="auto" w:fill="F8F8F8"/>
            <w:tcMar>
              <w:top w:w="60" w:type="dxa"/>
              <w:left w:w="100" w:type="dxa"/>
              <w:bottom w:w="60" w:type="dxa"/>
              <w:right w:w="100" w:type="dxa"/>
            </w:tcMar>
          </w:tcPr>
          <w:p w14:paraId="03706411" w14:textId="77777777" w:rsidR="00C13ABB" w:rsidRDefault="00513DC3">
            <w:r>
              <w:rPr>
                <w:b/>
                <w:bCs/>
                <w:color w:val="000000"/>
              </w:rPr>
              <w:t>Business: Competitive Pressure</w:t>
            </w:r>
          </w:p>
        </w:tc>
        <w:tc>
          <w:tcPr>
            <w:tcW w:w="3500" w:type="dxa"/>
            <w:shd w:val="clear" w:color="auto" w:fill="F8F8F8"/>
            <w:tcMar>
              <w:top w:w="60" w:type="dxa"/>
              <w:left w:w="100" w:type="dxa"/>
              <w:bottom w:w="60" w:type="dxa"/>
              <w:right w:w="100" w:type="dxa"/>
            </w:tcMar>
          </w:tcPr>
          <w:p w14:paraId="09BB9827" w14:textId="77777777" w:rsidR="00C13ABB" w:rsidRDefault="00513DC3">
            <w:r>
              <w:rPr>
                <w:color w:val="000000"/>
              </w:rPr>
              <w:t>TD and RBC announcements; Lemonade and PolicyMe penetration; 12% annual market growth</w:t>
            </w:r>
          </w:p>
        </w:tc>
        <w:tc>
          <w:tcPr>
            <w:tcW w:w="3820" w:type="dxa"/>
            <w:shd w:val="clear" w:color="auto" w:fill="F8F8F8"/>
            <w:tcMar>
              <w:top w:w="60" w:type="dxa"/>
              <w:left w:w="100" w:type="dxa"/>
              <w:bottom w:w="60" w:type="dxa"/>
              <w:right w:w="100" w:type="dxa"/>
            </w:tcMar>
          </w:tcPr>
          <w:p w14:paraId="7CC8B794" w14:textId="77777777" w:rsidR="00C13ABB" w:rsidRDefault="00513DC3">
            <w:r>
              <w:rPr>
                <w:color w:val="000000"/>
              </w:rPr>
              <w:t>R3 (First-Mover): window narrowing; R6 (Competitor Pre-emption): L=5</w:t>
            </w:r>
          </w:p>
        </w:tc>
      </w:tr>
      <w:tr w:rsidR="00135B3B" w14:paraId="2D087D07" w14:textId="77777777">
        <w:tc>
          <w:tcPr>
            <w:tcW w:w="2400" w:type="dxa"/>
            <w:shd w:val="clear" w:color="auto" w:fill="FFFFFF"/>
            <w:tcMar>
              <w:top w:w="60" w:type="dxa"/>
              <w:left w:w="100" w:type="dxa"/>
              <w:bottom w:w="60" w:type="dxa"/>
              <w:right w:w="100" w:type="dxa"/>
            </w:tcMar>
          </w:tcPr>
          <w:p w14:paraId="5EB9621A" w14:textId="77777777" w:rsidR="00C13ABB" w:rsidRDefault="00513DC3">
            <w:r>
              <w:rPr>
                <w:b/>
                <w:bCs/>
                <w:color w:val="000000"/>
              </w:rPr>
              <w:t>Non-Business: Regulatory</w:t>
            </w:r>
          </w:p>
        </w:tc>
        <w:tc>
          <w:tcPr>
            <w:tcW w:w="3500" w:type="dxa"/>
            <w:shd w:val="clear" w:color="auto" w:fill="FFFFFF"/>
            <w:tcMar>
              <w:top w:w="60" w:type="dxa"/>
              <w:left w:w="100" w:type="dxa"/>
              <w:bottom w:w="60" w:type="dxa"/>
              <w:right w:w="100" w:type="dxa"/>
            </w:tcMar>
          </w:tcPr>
          <w:p w14:paraId="08F5650D" w14:textId="77777777" w:rsidR="00C13ABB" w:rsidRDefault="00513DC3">
            <w:r>
              <w:rPr>
                <w:color w:val="000000"/>
              </w:rPr>
              <w:t>Bill C-27 AI transparency; OSFI Guideline B-10; 10 provincial licensing regimes; FINTRAC AML</w:t>
            </w:r>
          </w:p>
        </w:tc>
        <w:tc>
          <w:tcPr>
            <w:tcW w:w="3820" w:type="dxa"/>
            <w:shd w:val="clear" w:color="auto" w:fill="FFFFFF"/>
            <w:tcMar>
              <w:top w:w="60" w:type="dxa"/>
              <w:left w:w="100" w:type="dxa"/>
              <w:bottom w:w="60" w:type="dxa"/>
              <w:right w:w="100" w:type="dxa"/>
            </w:tcMar>
          </w:tcPr>
          <w:p w14:paraId="493262E3" w14:textId="77777777" w:rsidR="00C13ABB" w:rsidRDefault="00513DC3">
            <w:r>
              <w:rPr>
                <w:color w:val="000000"/>
              </w:rPr>
              <w:t>R2 (Regulatory Exposure): L=7, Score=56; R20 (Provincial Fragmentation): L=7, Score=49</w:t>
            </w:r>
          </w:p>
        </w:tc>
      </w:tr>
      <w:tr w:rsidR="00135B3B" w14:paraId="6EFAE89F" w14:textId="77777777">
        <w:tc>
          <w:tcPr>
            <w:tcW w:w="2400" w:type="dxa"/>
            <w:shd w:val="clear" w:color="auto" w:fill="F8F8F8"/>
            <w:tcMar>
              <w:top w:w="60" w:type="dxa"/>
              <w:left w:w="100" w:type="dxa"/>
              <w:bottom w:w="60" w:type="dxa"/>
              <w:right w:w="100" w:type="dxa"/>
            </w:tcMar>
          </w:tcPr>
          <w:p w14:paraId="39B131DC" w14:textId="77777777" w:rsidR="00C13ABB" w:rsidRDefault="00513DC3">
            <w:r>
              <w:rPr>
                <w:b/>
                <w:bCs/>
                <w:color w:val="000000"/>
              </w:rPr>
              <w:t>Non-Business: Cybersecurity</w:t>
            </w:r>
          </w:p>
        </w:tc>
        <w:tc>
          <w:tcPr>
            <w:tcW w:w="3500" w:type="dxa"/>
            <w:shd w:val="clear" w:color="auto" w:fill="F8F8F8"/>
            <w:tcMar>
              <w:top w:w="60" w:type="dxa"/>
              <w:left w:w="100" w:type="dxa"/>
              <w:bottom w:w="60" w:type="dxa"/>
              <w:right w:w="100" w:type="dxa"/>
            </w:tcMar>
          </w:tcPr>
          <w:p w14:paraId="5DD2A73A" w14:textId="77777777" w:rsidR="00C13ABB" w:rsidRDefault="00513DC3">
            <w:r>
              <w:rPr>
                <w:color w:val="000000"/>
              </w:rPr>
              <w:t>Lemonade 2022 breach; combined financial-health data environments as active attack targets</w:t>
            </w:r>
          </w:p>
        </w:tc>
        <w:tc>
          <w:tcPr>
            <w:tcW w:w="3820" w:type="dxa"/>
            <w:shd w:val="clear" w:color="auto" w:fill="F8F8F8"/>
            <w:tcMar>
              <w:top w:w="60" w:type="dxa"/>
              <w:left w:w="100" w:type="dxa"/>
              <w:bottom w:w="60" w:type="dxa"/>
              <w:right w:w="100" w:type="dxa"/>
            </w:tcMar>
          </w:tcPr>
          <w:p w14:paraId="756641E5" w14:textId="77777777" w:rsidR="00C13ABB" w:rsidRDefault="00513DC3">
            <w:r>
              <w:rPr>
                <w:color w:val="000000"/>
              </w:rPr>
              <w:t>R1 (Data Privacy Breach): L=9, Score=72 — only Very Likely score in register</w:t>
            </w:r>
          </w:p>
        </w:tc>
      </w:tr>
      <w:tr w:rsidR="00135B3B" w14:paraId="1EB9D50A" w14:textId="77777777">
        <w:tc>
          <w:tcPr>
            <w:tcW w:w="2400" w:type="dxa"/>
            <w:shd w:val="clear" w:color="auto" w:fill="FFFFFF"/>
            <w:tcMar>
              <w:top w:w="60" w:type="dxa"/>
              <w:left w:w="100" w:type="dxa"/>
              <w:bottom w:w="60" w:type="dxa"/>
              <w:right w:w="100" w:type="dxa"/>
            </w:tcMar>
          </w:tcPr>
          <w:p w14:paraId="2ABB1479" w14:textId="77777777" w:rsidR="00C13ABB" w:rsidRDefault="00513DC3">
            <w:r>
              <w:rPr>
                <w:b/>
                <w:bCs/>
                <w:color w:val="000000"/>
              </w:rPr>
              <w:t>Internal: Legacy Infrastructure</w:t>
            </w:r>
          </w:p>
        </w:tc>
        <w:tc>
          <w:tcPr>
            <w:tcW w:w="3500" w:type="dxa"/>
            <w:shd w:val="clear" w:color="auto" w:fill="FFFFFF"/>
            <w:tcMar>
              <w:top w:w="60" w:type="dxa"/>
              <w:left w:w="100" w:type="dxa"/>
              <w:bottom w:w="60" w:type="dxa"/>
              <w:right w:w="100" w:type="dxa"/>
            </w:tcMar>
          </w:tcPr>
          <w:p w14:paraId="660D3168" w14:textId="77777777" w:rsidR="00C13ABB" w:rsidRDefault="00513DC3">
            <w:r>
              <w:rPr>
                <w:color w:val="000000"/>
              </w:rPr>
              <w:t>Legacy core banking architecture incompatible with cloud-native platform; middleware gaps; API incompatibilities</w:t>
            </w:r>
          </w:p>
        </w:tc>
        <w:tc>
          <w:tcPr>
            <w:tcW w:w="3820" w:type="dxa"/>
            <w:shd w:val="clear" w:color="auto" w:fill="FFFFFF"/>
            <w:tcMar>
              <w:top w:w="60" w:type="dxa"/>
              <w:left w:w="100" w:type="dxa"/>
              <w:bottom w:w="60" w:type="dxa"/>
              <w:right w:w="100" w:type="dxa"/>
            </w:tcMar>
          </w:tcPr>
          <w:p w14:paraId="232D5F9D" w14:textId="77777777" w:rsidR="00C13ABB" w:rsidRDefault="00513DC3">
            <w:r>
              <w:rPr>
                <w:color w:val="000000"/>
              </w:rPr>
              <w:t>R5 (Platform Integration): L=5, Score=40; R16 (Infrastructure Outage): L=5, Score=45</w:t>
            </w:r>
          </w:p>
        </w:tc>
      </w:tr>
      <w:tr w:rsidR="00135B3B" w14:paraId="4C5FE583" w14:textId="77777777">
        <w:tc>
          <w:tcPr>
            <w:tcW w:w="2400" w:type="dxa"/>
            <w:shd w:val="clear" w:color="auto" w:fill="F8F8F8"/>
            <w:tcMar>
              <w:top w:w="60" w:type="dxa"/>
              <w:left w:w="100" w:type="dxa"/>
              <w:bottom w:w="60" w:type="dxa"/>
              <w:right w:w="100" w:type="dxa"/>
            </w:tcMar>
          </w:tcPr>
          <w:p w14:paraId="5A2EB3A7" w14:textId="77777777" w:rsidR="00C13ABB" w:rsidRDefault="00513DC3">
            <w:r>
              <w:rPr>
                <w:b/>
                <w:bCs/>
                <w:color w:val="000000"/>
              </w:rPr>
              <w:t>Internal: Capability Gaps</w:t>
            </w:r>
          </w:p>
        </w:tc>
        <w:tc>
          <w:tcPr>
            <w:tcW w:w="3500" w:type="dxa"/>
            <w:shd w:val="clear" w:color="auto" w:fill="F8F8F8"/>
            <w:tcMar>
              <w:top w:w="60" w:type="dxa"/>
              <w:left w:w="100" w:type="dxa"/>
              <w:bottom w:w="60" w:type="dxa"/>
              <w:right w:w="100" w:type="dxa"/>
            </w:tcMar>
          </w:tcPr>
          <w:p w14:paraId="4CAEF166" w14:textId="77777777" w:rsidR="00C13ABB" w:rsidRDefault="00513DC3">
            <w:r>
              <w:rPr>
                <w:color w:val="000000"/>
              </w:rPr>
              <w:t>No insurance underwriting, actuarial, or claims management experience; advisor comp designed for banking</w:t>
            </w:r>
          </w:p>
        </w:tc>
        <w:tc>
          <w:tcPr>
            <w:tcW w:w="3820" w:type="dxa"/>
            <w:shd w:val="clear" w:color="auto" w:fill="F8F8F8"/>
            <w:tcMar>
              <w:top w:w="60" w:type="dxa"/>
              <w:left w:w="100" w:type="dxa"/>
              <w:bottom w:w="60" w:type="dxa"/>
              <w:right w:w="100" w:type="dxa"/>
            </w:tcMar>
          </w:tcPr>
          <w:p w14:paraId="6E6FA6D3" w14:textId="77777777" w:rsidR="00C13ABB" w:rsidRDefault="00513DC3">
            <w:r>
              <w:rPr>
                <w:color w:val="000000"/>
              </w:rPr>
              <w:t>R11 (Advisor Failure): L=7, Score=49; R17 (Adverse Selection): L=7, Score=49</w:t>
            </w:r>
          </w:p>
        </w:tc>
      </w:tr>
      <w:tr w:rsidR="00135B3B" w14:paraId="1D8AA889" w14:textId="77777777">
        <w:tc>
          <w:tcPr>
            <w:tcW w:w="2400" w:type="dxa"/>
            <w:shd w:val="clear" w:color="auto" w:fill="FFFFFF"/>
            <w:tcMar>
              <w:top w:w="60" w:type="dxa"/>
              <w:left w:w="100" w:type="dxa"/>
              <w:bottom w:w="60" w:type="dxa"/>
              <w:right w:w="100" w:type="dxa"/>
            </w:tcMar>
          </w:tcPr>
          <w:p w14:paraId="15F4ABFB" w14:textId="77777777" w:rsidR="00C13ABB" w:rsidRDefault="00513DC3">
            <w:r>
              <w:rPr>
                <w:b/>
                <w:bCs/>
                <w:color w:val="000000"/>
              </w:rPr>
              <w:t>Internal: AI Governance</w:t>
            </w:r>
          </w:p>
        </w:tc>
        <w:tc>
          <w:tcPr>
            <w:tcW w:w="3500" w:type="dxa"/>
            <w:shd w:val="clear" w:color="auto" w:fill="FFFFFF"/>
            <w:tcMar>
              <w:top w:w="60" w:type="dxa"/>
              <w:left w:w="100" w:type="dxa"/>
              <w:bottom w:w="60" w:type="dxa"/>
              <w:right w:w="100" w:type="dxa"/>
            </w:tcMar>
          </w:tcPr>
          <w:p w14:paraId="66768A68" w14:textId="77777777" w:rsidR="00C13ABB" w:rsidRDefault="00513DC3">
            <w:r>
              <w:rPr>
                <w:color w:val="000000"/>
              </w:rPr>
              <w:t>No existing AI governance framework; Bill C-27 requires explainability for automated underwriting</w:t>
            </w:r>
          </w:p>
        </w:tc>
        <w:tc>
          <w:tcPr>
            <w:tcW w:w="3820" w:type="dxa"/>
            <w:shd w:val="clear" w:color="auto" w:fill="FFFFFF"/>
            <w:tcMar>
              <w:top w:w="60" w:type="dxa"/>
              <w:left w:w="100" w:type="dxa"/>
              <w:bottom w:w="60" w:type="dxa"/>
              <w:right w:w="100" w:type="dxa"/>
            </w:tcMar>
          </w:tcPr>
          <w:p w14:paraId="6CA8A9E5" w14:textId="77777777" w:rsidR="00C13ABB" w:rsidRDefault="00513DC3">
            <w:r>
              <w:rPr>
                <w:color w:val="000000"/>
              </w:rPr>
              <w:t>R4 (AI Underwriting Bias): L=7, Score=56</w:t>
            </w:r>
          </w:p>
        </w:tc>
      </w:tr>
    </w:tbl>
    <w:p w14:paraId="6B704A70" w14:textId="77777777" w:rsidR="00C13ABB" w:rsidRDefault="00513DC3">
      <w:pPr>
        <w:spacing w:before="40" w:after="100"/>
        <w:jc w:val="center"/>
      </w:pPr>
      <w:r>
        <w:rPr>
          <w:i/>
          <w:iCs/>
          <w:color w:val="444444"/>
          <w:sz w:val="16"/>
          <w:szCs w:val="16"/>
        </w:rPr>
        <w:t>Table 1. Integrated Situation Assessment: Environmental Drivers and Risk Implications. Source: Group 7 Risk Register and ALY6130 Risk Calculation Sheet, Spring 2026.</w:t>
      </w:r>
    </w:p>
    <w:p w14:paraId="0F318606" w14:textId="77777777" w:rsidR="000D33E9" w:rsidRDefault="00513DC3" w:rsidP="000D33E9">
      <w:pPr>
        <w:spacing w:after="100"/>
        <w:rPr>
          <w:sz w:val="24"/>
          <w:szCs w:val="24"/>
        </w:rPr>
      </w:pPr>
      <w:r w:rsidRPr="00135B3B">
        <w:rPr>
          <w:b/>
          <w:bCs/>
          <w:sz w:val="24"/>
          <w:szCs w:val="24"/>
        </w:rPr>
        <w:t>2.  IDENTIFICATION OF RISKS</w:t>
      </w:r>
    </w:p>
    <w:p w14:paraId="61B775D2" w14:textId="77777777" w:rsidR="000D33E9" w:rsidRDefault="000D33E9" w:rsidP="000D33E9">
      <w:pPr>
        <w:pStyle w:val="NormalWeb"/>
        <w:spacing w:before="0" w:beforeAutospacing="0"/>
        <w:jc w:val="both"/>
      </w:pPr>
      <w:r>
        <w:t>Risk identification began with a SWOT analysis in Module 1, followed by structured brainstorming using PESTLE analysis, facilitated risk workshops, and scenario planning. The resulting risk universe consisted of 30 risks spanning cybersecurity, regulatory, operational, technology, strategic, financial, and reputational categories. These risks were documented in the Group 7 Risk Register and assessed using the ALY6130 Risk Calculation Sheet.</w:t>
      </w:r>
    </w:p>
    <w:p w14:paraId="562FD423" w14:textId="01D1A808" w:rsidR="000D33E9" w:rsidRDefault="000D33E9" w:rsidP="000D33E9">
      <w:pPr>
        <w:pStyle w:val="NormalWeb"/>
        <w:jc w:val="both"/>
      </w:pPr>
      <w:r>
        <w:t xml:space="preserve">While all 30 risks contributed to the overall enterprise risk profile, three risks, two negative risks and one opportunity risk, were selected for detailed qualitative and quantitative analysis based on their risk scores, strategic significance, competitive relevance, and the availability of quantifiable probability and impact inputs. Each risk was structured using the format: </w:t>
      </w:r>
      <w:r>
        <w:rPr>
          <w:rStyle w:val="Emphasis"/>
        </w:rPr>
        <w:t>the risk of... caused by... resulting in...</w:t>
      </w:r>
      <w:r>
        <w:t>, ensuring explicit identification of both the root cause and potential consequence before scoring.</w:t>
      </w:r>
    </w:p>
    <w:p w14:paraId="540791FE" w14:textId="2CCEA8E1" w:rsidR="00C13ABB" w:rsidRPr="00135B3B" w:rsidRDefault="00513DC3" w:rsidP="000D33E9">
      <w:pPr>
        <w:spacing w:before="280" w:after="100"/>
        <w:rPr>
          <w:sz w:val="24"/>
          <w:szCs w:val="24"/>
        </w:rPr>
      </w:pPr>
      <w:r w:rsidRPr="00135B3B">
        <w:rPr>
          <w:sz w:val="24"/>
          <w:szCs w:val="24"/>
        </w:rPr>
        <w:t>.</w:t>
      </w:r>
    </w:p>
    <w:p w14:paraId="4178970A" w14:textId="0E6F7197" w:rsidR="00C13ABB" w:rsidRPr="00135B3B" w:rsidRDefault="000D33E9">
      <w:pPr>
        <w:spacing w:before="200" w:after="80"/>
        <w:rPr>
          <w:sz w:val="24"/>
          <w:szCs w:val="24"/>
        </w:rPr>
      </w:pPr>
      <w:r w:rsidRPr="00135B3B">
        <w:rPr>
          <w:b/>
          <w:bCs/>
          <w:sz w:val="24"/>
          <w:szCs w:val="24"/>
        </w:rPr>
        <w:lastRenderedPageBreak/>
        <w:t>2.1 Risk</w:t>
      </w:r>
      <w:r w:rsidR="00513DC3" w:rsidRPr="00135B3B">
        <w:rPr>
          <w:b/>
          <w:bCs/>
          <w:sz w:val="24"/>
          <w:szCs w:val="24"/>
        </w:rPr>
        <w:t xml:space="preserve"> 1 — Data Privacy Breach (Negative Risk)</w:t>
      </w:r>
    </w:p>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20"/>
      </w:tblGrid>
      <w:tr w:rsidR="00135B3B" w14:paraId="393186F7" w14:textId="77777777">
        <w:tc>
          <w:tcPr>
            <w:tcW w:w="2200" w:type="dxa"/>
            <w:shd w:val="clear" w:color="auto" w:fill="000000"/>
            <w:tcMar>
              <w:top w:w="60" w:type="dxa"/>
              <w:left w:w="100" w:type="dxa"/>
              <w:bottom w:w="60" w:type="dxa"/>
              <w:right w:w="100" w:type="dxa"/>
            </w:tcMar>
            <w:vAlign w:val="center"/>
          </w:tcPr>
          <w:p w14:paraId="4A472556" w14:textId="77777777" w:rsidR="00C13ABB" w:rsidRDefault="00513DC3">
            <w:pPr>
              <w:jc w:val="center"/>
            </w:pPr>
            <w:r>
              <w:rPr>
                <w:b/>
                <w:bCs/>
                <w:color w:val="FFFFFF"/>
              </w:rPr>
              <w:t>Element</w:t>
            </w:r>
          </w:p>
        </w:tc>
        <w:tc>
          <w:tcPr>
            <w:tcW w:w="7520" w:type="dxa"/>
            <w:shd w:val="clear" w:color="auto" w:fill="000000"/>
            <w:tcMar>
              <w:top w:w="60" w:type="dxa"/>
              <w:left w:w="100" w:type="dxa"/>
              <w:bottom w:w="60" w:type="dxa"/>
              <w:right w:w="100" w:type="dxa"/>
            </w:tcMar>
            <w:vAlign w:val="center"/>
          </w:tcPr>
          <w:p w14:paraId="267031C1" w14:textId="77777777" w:rsidR="00C13ABB" w:rsidRDefault="00513DC3">
            <w:pPr>
              <w:jc w:val="center"/>
            </w:pPr>
            <w:r>
              <w:rPr>
                <w:b/>
                <w:bCs/>
                <w:color w:val="FFFFFF"/>
              </w:rPr>
              <w:t>Detail</w:t>
            </w:r>
          </w:p>
        </w:tc>
      </w:tr>
      <w:tr w:rsidR="00135B3B" w14:paraId="2E5D99ED" w14:textId="77777777">
        <w:tc>
          <w:tcPr>
            <w:tcW w:w="2200" w:type="dxa"/>
            <w:shd w:val="clear" w:color="auto" w:fill="F8F8F8"/>
            <w:tcMar>
              <w:top w:w="60" w:type="dxa"/>
              <w:left w:w="100" w:type="dxa"/>
              <w:bottom w:w="60" w:type="dxa"/>
              <w:right w:w="100" w:type="dxa"/>
            </w:tcMar>
          </w:tcPr>
          <w:p w14:paraId="3C138101" w14:textId="77777777" w:rsidR="00C13ABB" w:rsidRDefault="00513DC3">
            <w:r>
              <w:rPr>
                <w:b/>
                <w:bCs/>
                <w:color w:val="000000"/>
              </w:rPr>
              <w:t>The risk of...</w:t>
            </w:r>
          </w:p>
        </w:tc>
        <w:tc>
          <w:tcPr>
            <w:tcW w:w="7520" w:type="dxa"/>
            <w:shd w:val="clear" w:color="auto" w:fill="F8F8F8"/>
            <w:tcMar>
              <w:top w:w="60" w:type="dxa"/>
              <w:left w:w="100" w:type="dxa"/>
              <w:bottom w:w="60" w:type="dxa"/>
              <w:right w:w="100" w:type="dxa"/>
            </w:tcMar>
          </w:tcPr>
          <w:p w14:paraId="5348E3F2" w14:textId="77777777" w:rsidR="00C13ABB" w:rsidRDefault="00513DC3">
            <w:r>
              <w:rPr>
                <w:color w:val="000000"/>
              </w:rPr>
              <w:t>A data privacy breach exposing combined banking and insurance client records</w:t>
            </w:r>
          </w:p>
        </w:tc>
      </w:tr>
      <w:tr w:rsidR="00135B3B" w14:paraId="64DC895C" w14:textId="77777777">
        <w:tc>
          <w:tcPr>
            <w:tcW w:w="2200" w:type="dxa"/>
            <w:shd w:val="clear" w:color="auto" w:fill="FFFFFF"/>
            <w:tcMar>
              <w:top w:w="60" w:type="dxa"/>
              <w:left w:w="100" w:type="dxa"/>
              <w:bottom w:w="60" w:type="dxa"/>
              <w:right w:w="100" w:type="dxa"/>
            </w:tcMar>
          </w:tcPr>
          <w:p w14:paraId="57E6D8DC" w14:textId="77777777" w:rsidR="00C13ABB" w:rsidRDefault="00513DC3">
            <w:r>
              <w:rPr>
                <w:b/>
                <w:bCs/>
                <w:color w:val="000000"/>
              </w:rPr>
              <w:t>Caused by...</w:t>
            </w:r>
          </w:p>
        </w:tc>
        <w:tc>
          <w:tcPr>
            <w:tcW w:w="7520" w:type="dxa"/>
            <w:shd w:val="clear" w:color="auto" w:fill="FFFFFF"/>
            <w:tcMar>
              <w:top w:w="60" w:type="dxa"/>
              <w:left w:w="100" w:type="dxa"/>
              <w:bottom w:w="60" w:type="dxa"/>
              <w:right w:w="100" w:type="dxa"/>
            </w:tcMar>
          </w:tcPr>
          <w:p w14:paraId="4E1A5FDD" w14:textId="77777777" w:rsidR="00C13ABB" w:rsidRDefault="00513DC3">
            <w:r>
              <w:rPr>
                <w:color w:val="000000"/>
              </w:rPr>
              <w:t>Inadequate security controls during the integration of a cloud-native insurance platform into CIBC's legacy banking infrastructure, creating a combined financial-health data environment targeted by sophisticated threat actors</w:t>
            </w:r>
          </w:p>
        </w:tc>
      </w:tr>
      <w:tr w:rsidR="00135B3B" w14:paraId="7CB029D3" w14:textId="77777777">
        <w:tc>
          <w:tcPr>
            <w:tcW w:w="2200" w:type="dxa"/>
            <w:shd w:val="clear" w:color="auto" w:fill="F8F8F8"/>
            <w:tcMar>
              <w:top w:w="60" w:type="dxa"/>
              <w:left w:w="100" w:type="dxa"/>
              <w:bottom w:w="60" w:type="dxa"/>
              <w:right w:w="100" w:type="dxa"/>
            </w:tcMar>
          </w:tcPr>
          <w:p w14:paraId="7B8E73B9" w14:textId="77777777" w:rsidR="00C13ABB" w:rsidRDefault="00513DC3">
            <w:r>
              <w:rPr>
                <w:b/>
                <w:bCs/>
                <w:color w:val="000000"/>
              </w:rPr>
              <w:t>Resulting in...</w:t>
            </w:r>
          </w:p>
        </w:tc>
        <w:tc>
          <w:tcPr>
            <w:tcW w:w="7520" w:type="dxa"/>
            <w:shd w:val="clear" w:color="auto" w:fill="F8F8F8"/>
            <w:tcMar>
              <w:top w:w="60" w:type="dxa"/>
              <w:left w:w="100" w:type="dxa"/>
              <w:bottom w:w="60" w:type="dxa"/>
              <w:right w:w="100" w:type="dxa"/>
            </w:tcMar>
          </w:tcPr>
          <w:p w14:paraId="22FA703A" w14:textId="77777777" w:rsidR="00C13ABB" w:rsidRDefault="00513DC3">
            <w:r>
              <w:rPr>
                <w:color w:val="000000"/>
              </w:rPr>
              <w:t>Mandatory breach notification under PIPEDA, regulatory fines under Bill C-27, client trust erosion, and sustained reputational damage in a market CIBC has just entered</w:t>
            </w:r>
          </w:p>
        </w:tc>
      </w:tr>
      <w:tr w:rsidR="00135B3B" w14:paraId="7DBDBBA8" w14:textId="77777777">
        <w:tc>
          <w:tcPr>
            <w:tcW w:w="2200" w:type="dxa"/>
            <w:shd w:val="clear" w:color="auto" w:fill="FFFFFF"/>
            <w:tcMar>
              <w:top w:w="60" w:type="dxa"/>
              <w:left w:w="100" w:type="dxa"/>
              <w:bottom w:w="60" w:type="dxa"/>
              <w:right w:w="100" w:type="dxa"/>
            </w:tcMar>
          </w:tcPr>
          <w:p w14:paraId="0D416BCE" w14:textId="77777777" w:rsidR="00C13ABB" w:rsidRDefault="00513DC3">
            <w:r>
              <w:rPr>
                <w:b/>
                <w:bCs/>
                <w:color w:val="000000"/>
              </w:rPr>
              <w:t>Internal drivers</w:t>
            </w:r>
          </w:p>
        </w:tc>
        <w:tc>
          <w:tcPr>
            <w:tcW w:w="7520" w:type="dxa"/>
            <w:shd w:val="clear" w:color="auto" w:fill="FFFFFF"/>
            <w:tcMar>
              <w:top w:w="60" w:type="dxa"/>
              <w:left w:w="100" w:type="dxa"/>
              <w:bottom w:w="60" w:type="dxa"/>
              <w:right w:w="100" w:type="dxa"/>
            </w:tcMar>
          </w:tcPr>
          <w:p w14:paraId="21D183E5" w14:textId="77777777" w:rsidR="00C13ABB" w:rsidRDefault="00513DC3">
            <w:r>
              <w:rPr>
                <w:color w:val="000000"/>
              </w:rPr>
              <w:t>Legacy systems creating integration vulnerabilities; absence of a combined financial-health data governance framework; no prior experience managing insurance-class data environments</w:t>
            </w:r>
          </w:p>
        </w:tc>
      </w:tr>
      <w:tr w:rsidR="00135B3B" w14:paraId="3EBC8478" w14:textId="77777777">
        <w:tc>
          <w:tcPr>
            <w:tcW w:w="2200" w:type="dxa"/>
            <w:shd w:val="clear" w:color="auto" w:fill="F8F8F8"/>
            <w:tcMar>
              <w:top w:w="60" w:type="dxa"/>
              <w:left w:w="100" w:type="dxa"/>
              <w:bottom w:w="60" w:type="dxa"/>
              <w:right w:w="100" w:type="dxa"/>
            </w:tcMar>
          </w:tcPr>
          <w:p w14:paraId="72D52991" w14:textId="77777777" w:rsidR="00C13ABB" w:rsidRDefault="00513DC3">
            <w:r>
              <w:rPr>
                <w:b/>
                <w:bCs/>
                <w:color w:val="000000"/>
              </w:rPr>
              <w:t>External drivers</w:t>
            </w:r>
          </w:p>
        </w:tc>
        <w:tc>
          <w:tcPr>
            <w:tcW w:w="7520" w:type="dxa"/>
            <w:shd w:val="clear" w:color="auto" w:fill="F8F8F8"/>
            <w:tcMar>
              <w:top w:w="60" w:type="dxa"/>
              <w:left w:w="100" w:type="dxa"/>
              <w:bottom w:w="60" w:type="dxa"/>
              <w:right w:w="100" w:type="dxa"/>
            </w:tcMar>
          </w:tcPr>
          <w:p w14:paraId="76A8A485" w14:textId="77777777" w:rsidR="00C13ABB" w:rsidRDefault="00513DC3">
            <w:r>
              <w:rPr>
                <w:color w:val="000000"/>
              </w:rPr>
              <w:t>Active cyber threat actors confirmed by Lemonade 2022 breach; PIPEDA mandatory notification obligations; Bill C-27 fines; expanded attack surface from integration</w:t>
            </w:r>
          </w:p>
        </w:tc>
      </w:tr>
      <w:tr w:rsidR="00135B3B" w14:paraId="69793F5C" w14:textId="77777777">
        <w:tc>
          <w:tcPr>
            <w:tcW w:w="2200" w:type="dxa"/>
            <w:shd w:val="clear" w:color="auto" w:fill="FFFFFF"/>
            <w:tcMar>
              <w:top w:w="60" w:type="dxa"/>
              <w:left w:w="100" w:type="dxa"/>
              <w:bottom w:w="60" w:type="dxa"/>
              <w:right w:w="100" w:type="dxa"/>
            </w:tcMar>
          </w:tcPr>
          <w:p w14:paraId="6132B6B3" w14:textId="77777777" w:rsidR="00C13ABB" w:rsidRDefault="00513DC3">
            <w:r>
              <w:rPr>
                <w:b/>
                <w:bCs/>
                <w:color w:val="000000"/>
              </w:rPr>
              <w:t>L / I / Score</w:t>
            </w:r>
          </w:p>
        </w:tc>
        <w:tc>
          <w:tcPr>
            <w:tcW w:w="7520" w:type="dxa"/>
            <w:shd w:val="clear" w:color="auto" w:fill="FFFFFF"/>
            <w:tcMar>
              <w:top w:w="60" w:type="dxa"/>
              <w:left w:w="100" w:type="dxa"/>
              <w:bottom w:w="60" w:type="dxa"/>
              <w:right w:w="100" w:type="dxa"/>
            </w:tcMar>
          </w:tcPr>
          <w:p w14:paraId="7197D953" w14:textId="18C30953" w:rsidR="00C13ABB" w:rsidRDefault="00513DC3">
            <w:r>
              <w:rPr>
                <w:b/>
                <w:bCs/>
                <w:color w:val="000000"/>
              </w:rPr>
              <w:t xml:space="preserve">Likelihood = 9 (Very </w:t>
            </w:r>
            <w:r w:rsidR="009F5201">
              <w:rPr>
                <w:b/>
                <w:bCs/>
                <w:color w:val="000000"/>
              </w:rPr>
              <w:t>Likely) | Impact</w:t>
            </w:r>
            <w:r>
              <w:rPr>
                <w:b/>
                <w:bCs/>
                <w:color w:val="000000"/>
              </w:rPr>
              <w:t xml:space="preserve"> = 8 (</w:t>
            </w:r>
            <w:r w:rsidR="009F5201">
              <w:rPr>
                <w:b/>
                <w:bCs/>
                <w:color w:val="000000"/>
              </w:rPr>
              <w:t>High) | Risk</w:t>
            </w:r>
            <w:r>
              <w:rPr>
                <w:b/>
                <w:bCs/>
                <w:color w:val="000000"/>
              </w:rPr>
              <w:t xml:space="preserve"> Score = </w:t>
            </w:r>
            <w:r w:rsidR="009F5201">
              <w:rPr>
                <w:b/>
                <w:bCs/>
                <w:color w:val="000000"/>
              </w:rPr>
              <w:t>72 | Priority</w:t>
            </w:r>
            <w:r>
              <w:rPr>
                <w:b/>
                <w:bCs/>
                <w:color w:val="000000"/>
              </w:rPr>
              <w:t>: HIGH</w:t>
            </w:r>
          </w:p>
        </w:tc>
      </w:tr>
    </w:tbl>
    <w:p w14:paraId="6B809026" w14:textId="77777777" w:rsidR="00C13ABB" w:rsidRDefault="00513DC3">
      <w:pPr>
        <w:spacing w:before="40" w:after="100"/>
        <w:jc w:val="center"/>
      </w:pPr>
      <w:r>
        <w:rPr>
          <w:i/>
          <w:iCs/>
          <w:color w:val="444444"/>
          <w:sz w:val="16"/>
          <w:szCs w:val="16"/>
        </w:rPr>
        <w:t>Table 2. Risk Statement — R1: Data Privacy Breach. Source: Group 7 Risk Register, ALY6130, Spring 2026.</w:t>
      </w:r>
    </w:p>
    <w:p w14:paraId="3E26F8F1" w14:textId="7238B194" w:rsidR="00C13ABB" w:rsidRDefault="00CE3DE5">
      <w:pPr>
        <w:spacing w:before="200" w:after="80"/>
      </w:pPr>
      <w:r>
        <w:rPr>
          <w:b/>
          <w:bCs/>
          <w:sz w:val="22"/>
          <w:szCs w:val="22"/>
        </w:rPr>
        <w:t>2.2 Risk</w:t>
      </w:r>
      <w:r w:rsidR="00513DC3">
        <w:rPr>
          <w:b/>
          <w:bCs/>
          <w:sz w:val="22"/>
          <w:szCs w:val="22"/>
        </w:rPr>
        <w:t xml:space="preserve"> 2 — Regulatory &amp; Compliance Exposure (Negative Risk)</w:t>
      </w:r>
    </w:p>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20"/>
      </w:tblGrid>
      <w:tr w:rsidR="00135B3B" w14:paraId="13A2C10A" w14:textId="77777777">
        <w:tc>
          <w:tcPr>
            <w:tcW w:w="2200" w:type="dxa"/>
            <w:shd w:val="clear" w:color="auto" w:fill="000000"/>
            <w:tcMar>
              <w:top w:w="60" w:type="dxa"/>
              <w:left w:w="100" w:type="dxa"/>
              <w:bottom w:w="60" w:type="dxa"/>
              <w:right w:w="100" w:type="dxa"/>
            </w:tcMar>
            <w:vAlign w:val="center"/>
          </w:tcPr>
          <w:p w14:paraId="78290832" w14:textId="77777777" w:rsidR="00C13ABB" w:rsidRDefault="00513DC3">
            <w:pPr>
              <w:jc w:val="center"/>
            </w:pPr>
            <w:r>
              <w:rPr>
                <w:b/>
                <w:bCs/>
                <w:color w:val="FFFFFF"/>
              </w:rPr>
              <w:t>Element</w:t>
            </w:r>
          </w:p>
        </w:tc>
        <w:tc>
          <w:tcPr>
            <w:tcW w:w="7520" w:type="dxa"/>
            <w:shd w:val="clear" w:color="auto" w:fill="000000"/>
            <w:tcMar>
              <w:top w:w="60" w:type="dxa"/>
              <w:left w:w="100" w:type="dxa"/>
              <w:bottom w:w="60" w:type="dxa"/>
              <w:right w:w="100" w:type="dxa"/>
            </w:tcMar>
            <w:vAlign w:val="center"/>
          </w:tcPr>
          <w:p w14:paraId="592C4D6A" w14:textId="77777777" w:rsidR="00C13ABB" w:rsidRDefault="00513DC3">
            <w:pPr>
              <w:jc w:val="center"/>
            </w:pPr>
            <w:r>
              <w:rPr>
                <w:b/>
                <w:bCs/>
                <w:color w:val="FFFFFF"/>
              </w:rPr>
              <w:t>Detail</w:t>
            </w:r>
          </w:p>
        </w:tc>
      </w:tr>
      <w:tr w:rsidR="00135B3B" w14:paraId="7CE42DF7" w14:textId="77777777">
        <w:tc>
          <w:tcPr>
            <w:tcW w:w="2200" w:type="dxa"/>
            <w:shd w:val="clear" w:color="auto" w:fill="F8F8F8"/>
            <w:tcMar>
              <w:top w:w="60" w:type="dxa"/>
              <w:left w:w="100" w:type="dxa"/>
              <w:bottom w:w="60" w:type="dxa"/>
              <w:right w:w="100" w:type="dxa"/>
            </w:tcMar>
          </w:tcPr>
          <w:p w14:paraId="65D454D4" w14:textId="77777777" w:rsidR="00C13ABB" w:rsidRDefault="00513DC3">
            <w:r>
              <w:rPr>
                <w:b/>
                <w:bCs/>
                <w:color w:val="000000"/>
              </w:rPr>
              <w:t>The risk of...</w:t>
            </w:r>
          </w:p>
        </w:tc>
        <w:tc>
          <w:tcPr>
            <w:tcW w:w="7520" w:type="dxa"/>
            <w:shd w:val="clear" w:color="auto" w:fill="F8F8F8"/>
            <w:tcMar>
              <w:top w:w="60" w:type="dxa"/>
              <w:left w:w="100" w:type="dxa"/>
              <w:bottom w:w="60" w:type="dxa"/>
              <w:right w:w="100" w:type="dxa"/>
            </w:tcMar>
          </w:tcPr>
          <w:p w14:paraId="1DC72BB3" w14:textId="77777777" w:rsidR="00C13ABB" w:rsidRDefault="00513DC3">
            <w:r>
              <w:rPr>
                <w:color w:val="000000"/>
              </w:rPr>
              <w:t>Regulatory non-compliance with provincial insurance licensing rules and federal data privacy and AI legislation</w:t>
            </w:r>
          </w:p>
        </w:tc>
      </w:tr>
      <w:tr w:rsidR="00135B3B" w14:paraId="6DF405E7" w14:textId="77777777">
        <w:tc>
          <w:tcPr>
            <w:tcW w:w="2200" w:type="dxa"/>
            <w:shd w:val="clear" w:color="auto" w:fill="FFFFFF"/>
            <w:tcMar>
              <w:top w:w="60" w:type="dxa"/>
              <w:left w:w="100" w:type="dxa"/>
              <w:bottom w:w="60" w:type="dxa"/>
              <w:right w:w="100" w:type="dxa"/>
            </w:tcMar>
          </w:tcPr>
          <w:p w14:paraId="58C468EC" w14:textId="77777777" w:rsidR="00C13ABB" w:rsidRDefault="00513DC3">
            <w:r>
              <w:rPr>
                <w:b/>
                <w:bCs/>
                <w:color w:val="000000"/>
              </w:rPr>
              <w:t>Caused by...</w:t>
            </w:r>
          </w:p>
        </w:tc>
        <w:tc>
          <w:tcPr>
            <w:tcW w:w="7520" w:type="dxa"/>
            <w:shd w:val="clear" w:color="auto" w:fill="FFFFFF"/>
            <w:tcMar>
              <w:top w:w="60" w:type="dxa"/>
              <w:left w:w="100" w:type="dxa"/>
              <w:bottom w:w="60" w:type="dxa"/>
              <w:right w:w="100" w:type="dxa"/>
            </w:tcMar>
          </w:tcPr>
          <w:p w14:paraId="01F9F9E2" w14:textId="77777777" w:rsidR="00C13ABB" w:rsidRDefault="00513DC3">
            <w:r>
              <w:rPr>
                <w:color w:val="000000"/>
              </w:rPr>
              <w:t>The rapidly evolving regulatory landscape governing digital insurance distribution, AI-assisted underwriting, and health data privacy under PIPEDA and Bill C-27, combined with CIBC's limited prior experience in the federally and provincially regulated insurance sector</w:t>
            </w:r>
          </w:p>
        </w:tc>
      </w:tr>
      <w:tr w:rsidR="00135B3B" w14:paraId="62D4A2F6" w14:textId="77777777">
        <w:tc>
          <w:tcPr>
            <w:tcW w:w="2200" w:type="dxa"/>
            <w:shd w:val="clear" w:color="auto" w:fill="F8F8F8"/>
            <w:tcMar>
              <w:top w:w="60" w:type="dxa"/>
              <w:left w:w="100" w:type="dxa"/>
              <w:bottom w:w="60" w:type="dxa"/>
              <w:right w:w="100" w:type="dxa"/>
            </w:tcMar>
          </w:tcPr>
          <w:p w14:paraId="45934E9B" w14:textId="77777777" w:rsidR="00C13ABB" w:rsidRDefault="00513DC3">
            <w:r>
              <w:rPr>
                <w:b/>
                <w:bCs/>
                <w:color w:val="000000"/>
              </w:rPr>
              <w:t>Resulting in...</w:t>
            </w:r>
          </w:p>
        </w:tc>
        <w:tc>
          <w:tcPr>
            <w:tcW w:w="7520" w:type="dxa"/>
            <w:shd w:val="clear" w:color="auto" w:fill="F8F8F8"/>
            <w:tcMar>
              <w:top w:w="60" w:type="dxa"/>
              <w:left w:w="100" w:type="dxa"/>
              <w:bottom w:w="60" w:type="dxa"/>
              <w:right w:w="100" w:type="dxa"/>
            </w:tcMar>
          </w:tcPr>
          <w:p w14:paraId="3F3B5910" w14:textId="77777777" w:rsidR="00C13ABB" w:rsidRDefault="00513DC3">
            <w:r>
              <w:rPr>
                <w:color w:val="000000"/>
              </w:rPr>
              <w:t>Regulatory fines, mandatory product withdrawal from non-compliant provinces, forced system modifications, and reputational harm from public enforcement action</w:t>
            </w:r>
          </w:p>
        </w:tc>
      </w:tr>
      <w:tr w:rsidR="00135B3B" w14:paraId="280B7198" w14:textId="77777777">
        <w:tc>
          <w:tcPr>
            <w:tcW w:w="2200" w:type="dxa"/>
            <w:shd w:val="clear" w:color="auto" w:fill="FFFFFF"/>
            <w:tcMar>
              <w:top w:w="60" w:type="dxa"/>
              <w:left w:w="100" w:type="dxa"/>
              <w:bottom w:w="60" w:type="dxa"/>
              <w:right w:w="100" w:type="dxa"/>
            </w:tcMar>
          </w:tcPr>
          <w:p w14:paraId="127CA3A4" w14:textId="77777777" w:rsidR="00C13ABB" w:rsidRDefault="00513DC3">
            <w:r>
              <w:rPr>
                <w:b/>
                <w:bCs/>
                <w:color w:val="000000"/>
              </w:rPr>
              <w:t>Internal drivers</w:t>
            </w:r>
          </w:p>
        </w:tc>
        <w:tc>
          <w:tcPr>
            <w:tcW w:w="7520" w:type="dxa"/>
            <w:shd w:val="clear" w:color="auto" w:fill="FFFFFF"/>
            <w:tcMar>
              <w:top w:w="60" w:type="dxa"/>
              <w:left w:w="100" w:type="dxa"/>
              <w:bottom w:w="60" w:type="dxa"/>
              <w:right w:w="100" w:type="dxa"/>
            </w:tcMar>
          </w:tcPr>
          <w:p w14:paraId="529E901C" w14:textId="77777777" w:rsidR="00C13ABB" w:rsidRDefault="00513DC3">
            <w:r>
              <w:rPr>
                <w:color w:val="000000"/>
              </w:rPr>
              <w:t>No existing compliance programme for insurance regulation; limited AI governance framework; advisor licensing gaps; no actuarial or underwriting expertise</w:t>
            </w:r>
          </w:p>
        </w:tc>
      </w:tr>
      <w:tr w:rsidR="00135B3B" w14:paraId="2E9B9A0F" w14:textId="77777777">
        <w:tc>
          <w:tcPr>
            <w:tcW w:w="2200" w:type="dxa"/>
            <w:shd w:val="clear" w:color="auto" w:fill="F8F8F8"/>
            <w:tcMar>
              <w:top w:w="60" w:type="dxa"/>
              <w:left w:w="100" w:type="dxa"/>
              <w:bottom w:w="60" w:type="dxa"/>
              <w:right w:w="100" w:type="dxa"/>
            </w:tcMar>
          </w:tcPr>
          <w:p w14:paraId="5A118B84" w14:textId="77777777" w:rsidR="00C13ABB" w:rsidRDefault="00513DC3">
            <w:r>
              <w:rPr>
                <w:b/>
                <w:bCs/>
                <w:color w:val="000000"/>
              </w:rPr>
              <w:t>External drivers</w:t>
            </w:r>
          </w:p>
        </w:tc>
        <w:tc>
          <w:tcPr>
            <w:tcW w:w="7520" w:type="dxa"/>
            <w:shd w:val="clear" w:color="auto" w:fill="F8F8F8"/>
            <w:tcMar>
              <w:top w:w="60" w:type="dxa"/>
              <w:left w:w="100" w:type="dxa"/>
              <w:bottom w:w="60" w:type="dxa"/>
              <w:right w:w="100" w:type="dxa"/>
            </w:tcMar>
          </w:tcPr>
          <w:p w14:paraId="6E2222BD" w14:textId="77777777" w:rsidR="00C13ABB" w:rsidRDefault="00513DC3">
            <w:r>
              <w:rPr>
                <w:color w:val="000000"/>
              </w:rPr>
              <w:t>Bill C-27 AI transparency requirements; OSFI Guideline B-10 vendor oversight; 10 independent provincial licensing regimes; FINTRAC AML obligations</w:t>
            </w:r>
          </w:p>
        </w:tc>
      </w:tr>
      <w:tr w:rsidR="00135B3B" w14:paraId="7898A105" w14:textId="77777777">
        <w:tc>
          <w:tcPr>
            <w:tcW w:w="2200" w:type="dxa"/>
            <w:shd w:val="clear" w:color="auto" w:fill="FFFFFF"/>
            <w:tcMar>
              <w:top w:w="60" w:type="dxa"/>
              <w:left w:w="100" w:type="dxa"/>
              <w:bottom w:w="60" w:type="dxa"/>
              <w:right w:w="100" w:type="dxa"/>
            </w:tcMar>
          </w:tcPr>
          <w:p w14:paraId="2271EC6B" w14:textId="77777777" w:rsidR="00C13ABB" w:rsidRDefault="00513DC3">
            <w:r>
              <w:rPr>
                <w:b/>
                <w:bCs/>
                <w:color w:val="000000"/>
              </w:rPr>
              <w:t>L / I / Score</w:t>
            </w:r>
          </w:p>
        </w:tc>
        <w:tc>
          <w:tcPr>
            <w:tcW w:w="7520" w:type="dxa"/>
            <w:shd w:val="clear" w:color="auto" w:fill="FFFFFF"/>
            <w:tcMar>
              <w:top w:w="60" w:type="dxa"/>
              <w:left w:w="100" w:type="dxa"/>
              <w:bottom w:w="60" w:type="dxa"/>
              <w:right w:w="100" w:type="dxa"/>
            </w:tcMar>
          </w:tcPr>
          <w:p w14:paraId="07879CD7" w14:textId="676322BD" w:rsidR="00C13ABB" w:rsidRDefault="00513DC3">
            <w:r>
              <w:rPr>
                <w:b/>
                <w:bCs/>
                <w:color w:val="000000"/>
              </w:rPr>
              <w:t xml:space="preserve">Likelihood = 7 (Somewhat </w:t>
            </w:r>
            <w:r w:rsidR="00DF678E">
              <w:rPr>
                <w:b/>
                <w:bCs/>
                <w:color w:val="000000"/>
              </w:rPr>
              <w:t>Likely) | Impact</w:t>
            </w:r>
            <w:r>
              <w:rPr>
                <w:b/>
                <w:bCs/>
                <w:color w:val="000000"/>
              </w:rPr>
              <w:t xml:space="preserve"> = 8 (</w:t>
            </w:r>
            <w:r w:rsidR="00DF678E">
              <w:rPr>
                <w:b/>
                <w:bCs/>
                <w:color w:val="000000"/>
              </w:rPr>
              <w:t>High) | Risk</w:t>
            </w:r>
            <w:r>
              <w:rPr>
                <w:b/>
                <w:bCs/>
                <w:color w:val="000000"/>
              </w:rPr>
              <w:t xml:space="preserve"> Score = </w:t>
            </w:r>
            <w:r w:rsidR="00DF678E">
              <w:rPr>
                <w:b/>
                <w:bCs/>
                <w:color w:val="000000"/>
              </w:rPr>
              <w:t>56 | Priority</w:t>
            </w:r>
            <w:r>
              <w:rPr>
                <w:b/>
                <w:bCs/>
                <w:color w:val="000000"/>
              </w:rPr>
              <w:t>: HIGH</w:t>
            </w:r>
          </w:p>
        </w:tc>
      </w:tr>
    </w:tbl>
    <w:p w14:paraId="12663082" w14:textId="77777777" w:rsidR="00C13ABB" w:rsidRDefault="00513DC3">
      <w:pPr>
        <w:spacing w:before="40" w:after="100"/>
        <w:jc w:val="center"/>
      </w:pPr>
      <w:r>
        <w:rPr>
          <w:i/>
          <w:iCs/>
          <w:color w:val="444444"/>
          <w:sz w:val="16"/>
          <w:szCs w:val="16"/>
        </w:rPr>
        <w:t>Table 3. Risk Statement — R2: Regulatory &amp; Compliance Exposure. Source: Group 7 Risk Register, ALY6130, Spring 2026.</w:t>
      </w:r>
    </w:p>
    <w:p w14:paraId="755FB015" w14:textId="54EADBDD" w:rsidR="00C13ABB" w:rsidRDefault="00DF678E">
      <w:pPr>
        <w:spacing w:before="200" w:after="80"/>
      </w:pPr>
      <w:r>
        <w:rPr>
          <w:b/>
          <w:bCs/>
          <w:sz w:val="22"/>
          <w:szCs w:val="22"/>
        </w:rPr>
        <w:t>2.3 Risk</w:t>
      </w:r>
      <w:r w:rsidR="00513DC3">
        <w:rPr>
          <w:b/>
          <w:bCs/>
          <w:sz w:val="22"/>
          <w:szCs w:val="22"/>
        </w:rPr>
        <w:t xml:space="preserve"> 3 — First-Mover Market Capture (Opportunity Risk)</w:t>
      </w:r>
    </w:p>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20"/>
      </w:tblGrid>
      <w:tr w:rsidR="00135B3B" w14:paraId="109263FA" w14:textId="77777777">
        <w:tc>
          <w:tcPr>
            <w:tcW w:w="2200" w:type="dxa"/>
            <w:shd w:val="clear" w:color="auto" w:fill="000000"/>
            <w:tcMar>
              <w:top w:w="60" w:type="dxa"/>
              <w:left w:w="100" w:type="dxa"/>
              <w:bottom w:w="60" w:type="dxa"/>
              <w:right w:w="100" w:type="dxa"/>
            </w:tcMar>
            <w:vAlign w:val="center"/>
          </w:tcPr>
          <w:p w14:paraId="72F3130E" w14:textId="77777777" w:rsidR="00C13ABB" w:rsidRDefault="00513DC3">
            <w:pPr>
              <w:jc w:val="center"/>
            </w:pPr>
            <w:r>
              <w:rPr>
                <w:b/>
                <w:bCs/>
                <w:color w:val="FFFFFF"/>
              </w:rPr>
              <w:t>Element</w:t>
            </w:r>
          </w:p>
        </w:tc>
        <w:tc>
          <w:tcPr>
            <w:tcW w:w="7520" w:type="dxa"/>
            <w:shd w:val="clear" w:color="auto" w:fill="000000"/>
            <w:tcMar>
              <w:top w:w="60" w:type="dxa"/>
              <w:left w:w="100" w:type="dxa"/>
              <w:bottom w:w="60" w:type="dxa"/>
              <w:right w:w="100" w:type="dxa"/>
            </w:tcMar>
            <w:vAlign w:val="center"/>
          </w:tcPr>
          <w:p w14:paraId="722F02FC" w14:textId="77777777" w:rsidR="00C13ABB" w:rsidRDefault="00513DC3">
            <w:pPr>
              <w:jc w:val="center"/>
            </w:pPr>
            <w:r>
              <w:rPr>
                <w:b/>
                <w:bCs/>
                <w:color w:val="FFFFFF"/>
              </w:rPr>
              <w:t>Detail</w:t>
            </w:r>
          </w:p>
        </w:tc>
      </w:tr>
      <w:tr w:rsidR="00135B3B" w14:paraId="4042547D" w14:textId="77777777">
        <w:tc>
          <w:tcPr>
            <w:tcW w:w="2200" w:type="dxa"/>
            <w:shd w:val="clear" w:color="auto" w:fill="F8F8F8"/>
            <w:tcMar>
              <w:top w:w="60" w:type="dxa"/>
              <w:left w:w="100" w:type="dxa"/>
              <w:bottom w:w="60" w:type="dxa"/>
              <w:right w:w="100" w:type="dxa"/>
            </w:tcMar>
          </w:tcPr>
          <w:p w14:paraId="5B122CFC" w14:textId="77777777" w:rsidR="00C13ABB" w:rsidRDefault="00513DC3">
            <w:r>
              <w:rPr>
                <w:b/>
                <w:bCs/>
                <w:color w:val="000000"/>
              </w:rPr>
              <w:t>The risk of...</w:t>
            </w:r>
          </w:p>
        </w:tc>
        <w:tc>
          <w:tcPr>
            <w:tcW w:w="7520" w:type="dxa"/>
            <w:shd w:val="clear" w:color="auto" w:fill="F8F8F8"/>
            <w:tcMar>
              <w:top w:w="60" w:type="dxa"/>
              <w:left w:w="100" w:type="dxa"/>
              <w:bottom w:w="60" w:type="dxa"/>
              <w:right w:w="100" w:type="dxa"/>
            </w:tcMar>
          </w:tcPr>
          <w:p w14:paraId="63549E1B" w14:textId="77777777" w:rsidR="00C13ABB" w:rsidRDefault="00513DC3">
            <w:r>
              <w:rPr>
                <w:color w:val="000000"/>
              </w:rPr>
              <w:t>Capturing significant first-mover advantage in the Canadian digital banking-and-insurance integration market</w:t>
            </w:r>
          </w:p>
        </w:tc>
      </w:tr>
      <w:tr w:rsidR="00135B3B" w14:paraId="09915DC6" w14:textId="77777777">
        <w:tc>
          <w:tcPr>
            <w:tcW w:w="2200" w:type="dxa"/>
            <w:shd w:val="clear" w:color="auto" w:fill="FFFFFF"/>
            <w:tcMar>
              <w:top w:w="60" w:type="dxa"/>
              <w:left w:w="100" w:type="dxa"/>
              <w:bottom w:w="60" w:type="dxa"/>
              <w:right w:w="100" w:type="dxa"/>
            </w:tcMar>
          </w:tcPr>
          <w:p w14:paraId="4BB021B7" w14:textId="77777777" w:rsidR="00C13ABB" w:rsidRDefault="00513DC3">
            <w:r>
              <w:rPr>
                <w:b/>
                <w:bCs/>
                <w:color w:val="000000"/>
              </w:rPr>
              <w:t>Caused by...</w:t>
            </w:r>
          </w:p>
        </w:tc>
        <w:tc>
          <w:tcPr>
            <w:tcW w:w="7520" w:type="dxa"/>
            <w:shd w:val="clear" w:color="auto" w:fill="FFFFFF"/>
            <w:tcMar>
              <w:top w:w="60" w:type="dxa"/>
              <w:left w:w="100" w:type="dxa"/>
              <w:bottom w:w="60" w:type="dxa"/>
              <w:right w:w="100" w:type="dxa"/>
            </w:tcMar>
          </w:tcPr>
          <w:p w14:paraId="3F0A4F4F" w14:textId="77777777" w:rsidR="00C13ABB" w:rsidRDefault="00513DC3">
            <w:r>
              <w:rPr>
                <w:color w:val="000000"/>
              </w:rPr>
              <w:t>CIBC's early entry into integrated digital insurance distribution leveraging 11 million existing banking clients and trusted brand, ahead of insurtech competitors and rival banks that have not yet launched equivalent integrated platforms</w:t>
            </w:r>
          </w:p>
        </w:tc>
      </w:tr>
      <w:tr w:rsidR="00135B3B" w14:paraId="2091DDAF" w14:textId="77777777">
        <w:tc>
          <w:tcPr>
            <w:tcW w:w="2200" w:type="dxa"/>
            <w:shd w:val="clear" w:color="auto" w:fill="F8F8F8"/>
            <w:tcMar>
              <w:top w:w="60" w:type="dxa"/>
              <w:left w:w="100" w:type="dxa"/>
              <w:bottom w:w="60" w:type="dxa"/>
              <w:right w:w="100" w:type="dxa"/>
            </w:tcMar>
          </w:tcPr>
          <w:p w14:paraId="28C720C4" w14:textId="77777777" w:rsidR="00C13ABB" w:rsidRDefault="00513DC3">
            <w:r>
              <w:rPr>
                <w:b/>
                <w:bCs/>
                <w:color w:val="000000"/>
              </w:rPr>
              <w:t>Resulting in...</w:t>
            </w:r>
          </w:p>
        </w:tc>
        <w:tc>
          <w:tcPr>
            <w:tcW w:w="7520" w:type="dxa"/>
            <w:shd w:val="clear" w:color="auto" w:fill="F8F8F8"/>
            <w:tcMar>
              <w:top w:w="60" w:type="dxa"/>
              <w:left w:w="100" w:type="dxa"/>
              <w:bottom w:w="60" w:type="dxa"/>
              <w:right w:w="100" w:type="dxa"/>
            </w:tcMar>
          </w:tcPr>
          <w:p w14:paraId="7A40BCA4" w14:textId="77777777" w:rsidR="00C13ABB" w:rsidRDefault="00513DC3">
            <w:r>
              <w:rPr>
                <w:color w:val="000000"/>
              </w:rPr>
              <w:t>Substantial digital insurance market share, increased revenue per household, deeper client relationships, and a sustainable competitive advantage that insurtechs cannot replicate without banking licences</w:t>
            </w:r>
          </w:p>
        </w:tc>
      </w:tr>
      <w:tr w:rsidR="00135B3B" w14:paraId="53A07EB8" w14:textId="77777777">
        <w:tc>
          <w:tcPr>
            <w:tcW w:w="2200" w:type="dxa"/>
            <w:shd w:val="clear" w:color="auto" w:fill="FFFFFF"/>
            <w:tcMar>
              <w:top w:w="60" w:type="dxa"/>
              <w:left w:w="100" w:type="dxa"/>
              <w:bottom w:w="60" w:type="dxa"/>
              <w:right w:w="100" w:type="dxa"/>
            </w:tcMar>
          </w:tcPr>
          <w:p w14:paraId="16F25107" w14:textId="77777777" w:rsidR="00C13ABB" w:rsidRDefault="00513DC3">
            <w:r>
              <w:rPr>
                <w:b/>
                <w:bCs/>
                <w:color w:val="000000"/>
              </w:rPr>
              <w:t>Internal drivers</w:t>
            </w:r>
          </w:p>
        </w:tc>
        <w:tc>
          <w:tcPr>
            <w:tcW w:w="7520" w:type="dxa"/>
            <w:shd w:val="clear" w:color="auto" w:fill="FFFFFF"/>
            <w:tcMar>
              <w:top w:w="60" w:type="dxa"/>
              <w:left w:w="100" w:type="dxa"/>
              <w:bottom w:w="60" w:type="dxa"/>
              <w:right w:w="100" w:type="dxa"/>
            </w:tcMar>
          </w:tcPr>
          <w:p w14:paraId="691B33D6" w14:textId="77777777" w:rsidR="00C13ABB" w:rsidRDefault="00513DC3">
            <w:r>
              <w:rPr>
                <w:color w:val="000000"/>
              </w:rPr>
              <w:t>11 million existing client relationships; CAD $23.6B revenue enabling investment; 157-year brand trust; integrated wealth management cross-sell infrastructure</w:t>
            </w:r>
          </w:p>
        </w:tc>
      </w:tr>
      <w:tr w:rsidR="00135B3B" w14:paraId="54EDA15C" w14:textId="77777777">
        <w:tc>
          <w:tcPr>
            <w:tcW w:w="2200" w:type="dxa"/>
            <w:shd w:val="clear" w:color="auto" w:fill="F8F8F8"/>
            <w:tcMar>
              <w:top w:w="60" w:type="dxa"/>
              <w:left w:w="100" w:type="dxa"/>
              <w:bottom w:w="60" w:type="dxa"/>
              <w:right w:w="100" w:type="dxa"/>
            </w:tcMar>
          </w:tcPr>
          <w:p w14:paraId="4F2A3AD9" w14:textId="77777777" w:rsidR="00C13ABB" w:rsidRDefault="00513DC3">
            <w:r>
              <w:rPr>
                <w:b/>
                <w:bCs/>
                <w:color w:val="000000"/>
              </w:rPr>
              <w:t>External drivers</w:t>
            </w:r>
          </w:p>
        </w:tc>
        <w:tc>
          <w:tcPr>
            <w:tcW w:w="7520" w:type="dxa"/>
            <w:shd w:val="clear" w:color="auto" w:fill="F8F8F8"/>
            <w:tcMar>
              <w:top w:w="60" w:type="dxa"/>
              <w:left w:w="100" w:type="dxa"/>
              <w:bottom w:w="60" w:type="dxa"/>
              <w:right w:w="100" w:type="dxa"/>
            </w:tcMar>
          </w:tcPr>
          <w:p w14:paraId="22208727" w14:textId="77777777" w:rsidR="00C13ABB" w:rsidRDefault="00513DC3">
            <w:r>
              <w:rPr>
                <w:color w:val="000000"/>
              </w:rPr>
              <w:t>12% annual digital insurance market growth; TD and RBC not yet launched; McKinsey (2023) confirms bundled clients have 60% lower attrition; consumer demand confirmed by PolicyMe 40% YoY growth</w:t>
            </w:r>
          </w:p>
        </w:tc>
      </w:tr>
      <w:tr w:rsidR="00135B3B" w14:paraId="5A21E1D1" w14:textId="77777777">
        <w:tc>
          <w:tcPr>
            <w:tcW w:w="2200" w:type="dxa"/>
            <w:shd w:val="clear" w:color="auto" w:fill="FFFFFF"/>
            <w:tcMar>
              <w:top w:w="60" w:type="dxa"/>
              <w:left w:w="100" w:type="dxa"/>
              <w:bottom w:w="60" w:type="dxa"/>
              <w:right w:w="100" w:type="dxa"/>
            </w:tcMar>
          </w:tcPr>
          <w:p w14:paraId="3B54171F" w14:textId="77777777" w:rsidR="00C13ABB" w:rsidRDefault="00513DC3">
            <w:r>
              <w:rPr>
                <w:b/>
                <w:bCs/>
                <w:color w:val="000000"/>
              </w:rPr>
              <w:t>L / I / Score</w:t>
            </w:r>
          </w:p>
        </w:tc>
        <w:tc>
          <w:tcPr>
            <w:tcW w:w="7520" w:type="dxa"/>
            <w:shd w:val="clear" w:color="auto" w:fill="FFFFFF"/>
            <w:tcMar>
              <w:top w:w="60" w:type="dxa"/>
              <w:left w:w="100" w:type="dxa"/>
              <w:bottom w:w="60" w:type="dxa"/>
              <w:right w:w="100" w:type="dxa"/>
            </w:tcMar>
          </w:tcPr>
          <w:p w14:paraId="2407CBCB" w14:textId="262A03DA" w:rsidR="00C13ABB" w:rsidRDefault="00513DC3">
            <w:r>
              <w:rPr>
                <w:b/>
                <w:bCs/>
                <w:color w:val="000000"/>
              </w:rPr>
              <w:t xml:space="preserve">Likelihood = 7 (Somewhat </w:t>
            </w:r>
            <w:r w:rsidR="00CE3DE5">
              <w:rPr>
                <w:b/>
                <w:bCs/>
                <w:color w:val="000000"/>
              </w:rPr>
              <w:t>Likely) | Impact</w:t>
            </w:r>
            <w:r>
              <w:rPr>
                <w:b/>
                <w:bCs/>
                <w:color w:val="000000"/>
              </w:rPr>
              <w:t xml:space="preserve"> = 8 (</w:t>
            </w:r>
            <w:r w:rsidR="00CE3DE5">
              <w:rPr>
                <w:b/>
                <w:bCs/>
                <w:color w:val="000000"/>
              </w:rPr>
              <w:t>High) | Risk</w:t>
            </w:r>
            <w:r>
              <w:rPr>
                <w:b/>
                <w:bCs/>
                <w:color w:val="000000"/>
              </w:rPr>
              <w:t xml:space="preserve"> Score = </w:t>
            </w:r>
            <w:r w:rsidR="00CE3DE5">
              <w:rPr>
                <w:b/>
                <w:bCs/>
                <w:color w:val="000000"/>
              </w:rPr>
              <w:t>56 | Priority</w:t>
            </w:r>
            <w:r>
              <w:rPr>
                <w:b/>
                <w:bCs/>
                <w:color w:val="000000"/>
              </w:rPr>
              <w:t>: HIGH (Opportunity Risk)</w:t>
            </w:r>
          </w:p>
        </w:tc>
      </w:tr>
    </w:tbl>
    <w:p w14:paraId="30716E8D" w14:textId="57C63CE4" w:rsidR="00135B3B" w:rsidRPr="002C4B16" w:rsidRDefault="00513DC3" w:rsidP="002C4B16">
      <w:pPr>
        <w:spacing w:before="40" w:after="100"/>
        <w:jc w:val="center"/>
      </w:pPr>
      <w:r>
        <w:rPr>
          <w:i/>
          <w:iCs/>
          <w:color w:val="444444"/>
          <w:sz w:val="16"/>
          <w:szCs w:val="16"/>
        </w:rPr>
        <w:lastRenderedPageBreak/>
        <w:t>Table 4. Risk Statement — R3: First-Mover Market Capture. Source: Group 7 Risk Register, ALY6130, Spring 2026.</w:t>
      </w:r>
    </w:p>
    <w:p w14:paraId="3236F761" w14:textId="66218ED5" w:rsidR="00C13ABB" w:rsidRPr="00135B3B" w:rsidRDefault="00513DC3" w:rsidP="003C1C66">
      <w:pPr>
        <w:spacing w:after="100"/>
        <w:rPr>
          <w:sz w:val="24"/>
          <w:szCs w:val="24"/>
        </w:rPr>
      </w:pPr>
      <w:r w:rsidRPr="00135B3B">
        <w:rPr>
          <w:b/>
          <w:bCs/>
          <w:sz w:val="24"/>
          <w:szCs w:val="24"/>
        </w:rPr>
        <w:t>3.  QUALITATIVE RISK ASSESSMENT</w:t>
      </w:r>
    </w:p>
    <w:p w14:paraId="39C2A2EE" w14:textId="46199861" w:rsidR="00BE453C" w:rsidRDefault="00BE453C" w:rsidP="003C1C66">
      <w:pPr>
        <w:spacing w:after="80"/>
        <w:jc w:val="both"/>
        <w:rPr>
          <w:sz w:val="24"/>
          <w:szCs w:val="24"/>
        </w:rPr>
      </w:pPr>
      <w:r w:rsidRPr="00CE3DE5">
        <w:rPr>
          <w:sz w:val="24"/>
          <w:szCs w:val="24"/>
        </w:rPr>
        <w:t>Qualitative risk assessment was conducted using two primary analytics methods: Scenario Analytics (Chapter 22) and Industry Fusion Analytics (Chapter 17). These methods were applied before numerical scoring to ensure that each risk was fully understood, evidence-based, and grounded in realistic business conditions before likelihood and impact values were assigned.</w:t>
      </w:r>
    </w:p>
    <w:p w14:paraId="5EF7ACFC" w14:textId="77777777" w:rsidR="003C1C66" w:rsidRPr="00CE3DE5" w:rsidRDefault="003C1C66" w:rsidP="003C1C66">
      <w:pPr>
        <w:spacing w:after="80"/>
        <w:jc w:val="both"/>
        <w:rPr>
          <w:sz w:val="24"/>
          <w:szCs w:val="24"/>
        </w:rPr>
      </w:pPr>
    </w:p>
    <w:p w14:paraId="502C0BF2" w14:textId="3CC92FBE" w:rsidR="00C13ABB" w:rsidRDefault="00BE453C" w:rsidP="003C1C66">
      <w:pPr>
        <w:spacing w:after="80"/>
        <w:rPr>
          <w:b/>
          <w:bCs/>
          <w:sz w:val="24"/>
          <w:szCs w:val="24"/>
        </w:rPr>
      </w:pPr>
      <w:r w:rsidRPr="00135B3B">
        <w:rPr>
          <w:b/>
          <w:bCs/>
          <w:sz w:val="24"/>
          <w:szCs w:val="24"/>
        </w:rPr>
        <w:t>3.1 Scoring</w:t>
      </w:r>
      <w:r w:rsidR="00513DC3" w:rsidRPr="00135B3B">
        <w:rPr>
          <w:b/>
          <w:bCs/>
          <w:sz w:val="24"/>
          <w:szCs w:val="24"/>
        </w:rPr>
        <w:t xml:space="preserve"> Methodology</w:t>
      </w:r>
    </w:p>
    <w:p w14:paraId="17DE2B9B" w14:textId="3B4A5673" w:rsidR="00BE453C" w:rsidRDefault="00BE453C" w:rsidP="003C1C66">
      <w:pPr>
        <w:spacing w:after="80"/>
        <w:jc w:val="both"/>
        <w:rPr>
          <w:sz w:val="24"/>
          <w:szCs w:val="24"/>
        </w:rPr>
      </w:pPr>
      <w:r w:rsidRPr="00CE3DE5">
        <w:rPr>
          <w:sz w:val="24"/>
          <w:szCs w:val="24"/>
        </w:rPr>
        <w:t>Risks were scored using the ALY6130 Risk Calculation Sheet, where Risk Score = Likelihood × Impact. The Likelihood scale uses values of 1, 3, 5, 7, and 9 (Very Unlikely to Very Likely). The Impact scale uses values of 1, 2, 4, 6, 8, and 9 across six dimensions: Financial, Operational, Competitive, Reputational, Technical, and Legal/Compliance. The highest impact score recorded across the six dimensions was applied as the overall impact rating. Priority thresholds were defined as High (36–81), Medium (10–35), and Low (1–9).</w:t>
      </w:r>
    </w:p>
    <w:p w14:paraId="2DE35617" w14:textId="77777777" w:rsidR="003C1C66" w:rsidRPr="00CE3DE5" w:rsidRDefault="003C1C66" w:rsidP="003C1C66">
      <w:pPr>
        <w:spacing w:after="80"/>
        <w:jc w:val="both"/>
        <w:rPr>
          <w:sz w:val="24"/>
          <w:szCs w:val="24"/>
        </w:rPr>
      </w:pPr>
    </w:p>
    <w:p w14:paraId="71FB4840" w14:textId="3FA74C6E" w:rsidR="00BE71B4" w:rsidRDefault="00CE3DE5" w:rsidP="003C1C66">
      <w:pPr>
        <w:spacing w:after="80"/>
        <w:rPr>
          <w:b/>
          <w:bCs/>
          <w:sz w:val="24"/>
          <w:szCs w:val="24"/>
        </w:rPr>
      </w:pPr>
      <w:r w:rsidRPr="00135B3B">
        <w:rPr>
          <w:b/>
          <w:bCs/>
          <w:sz w:val="24"/>
          <w:szCs w:val="24"/>
        </w:rPr>
        <w:t>3.2 Scenario</w:t>
      </w:r>
      <w:r w:rsidR="00513DC3" w:rsidRPr="00135B3B">
        <w:rPr>
          <w:b/>
          <w:bCs/>
          <w:sz w:val="24"/>
          <w:szCs w:val="24"/>
        </w:rPr>
        <w:t xml:space="preserve"> Analytics</w:t>
      </w:r>
    </w:p>
    <w:p w14:paraId="152A07B0" w14:textId="5E801039" w:rsidR="00BE71B4" w:rsidRPr="00CE3DE5" w:rsidRDefault="00BE71B4" w:rsidP="003C1C66">
      <w:pPr>
        <w:spacing w:after="80"/>
        <w:jc w:val="both"/>
        <w:rPr>
          <w:b/>
          <w:bCs/>
          <w:sz w:val="24"/>
          <w:szCs w:val="24"/>
        </w:rPr>
      </w:pPr>
      <w:r w:rsidRPr="00CE3DE5">
        <w:rPr>
          <w:sz w:val="24"/>
          <w:szCs w:val="24"/>
        </w:rPr>
        <w:t>Scenario Analytics was applied to stress-test each risk by constructing optimistic, most likely, and pessimistic outcome scenarios before numerical scoring. For R1 (Data Privacy Breach), the optimistic scenario assumed effective zero-trust controls limiting a breach to test data with minimal regulatory consequences. The most likely scenario assumed a breach during platform integration, exposing a material volume of combined financial and health records and triggering mandatory notification and regulatory review. The pessimistic scenario assumed a systemic breach resulting in class-action litigation, regulatory intervention, and prolonged reputational damage. These scenarios directly informed the Monte Carlo simulation inputs of CAD $25M, CAD $75M, and CAD $150M.</w:t>
      </w:r>
    </w:p>
    <w:p w14:paraId="352B3B9D" w14:textId="16D48516" w:rsidR="00BE71B4" w:rsidRPr="00135B3B" w:rsidRDefault="00BE71B4" w:rsidP="00BF01F6">
      <w:pPr>
        <w:pStyle w:val="NormalWeb"/>
      </w:pPr>
      <w:r>
        <w:t>The same approach was applied to R2, ranging from successful pre-launch compliance to a regulatory halt in key provinces, and to R3, ranging from strong first-mover market capture at 5% adoption to a failed launch with adoption below 1%</w:t>
      </w:r>
    </w:p>
    <w:p w14:paraId="2984B114" w14:textId="420BC169" w:rsidR="00C13ABB" w:rsidRDefault="00BE71B4" w:rsidP="003C1C66">
      <w:pPr>
        <w:spacing w:after="80"/>
        <w:rPr>
          <w:b/>
          <w:bCs/>
          <w:sz w:val="24"/>
          <w:szCs w:val="24"/>
        </w:rPr>
      </w:pPr>
      <w:r w:rsidRPr="00135B3B">
        <w:rPr>
          <w:b/>
          <w:bCs/>
          <w:sz w:val="24"/>
          <w:szCs w:val="24"/>
        </w:rPr>
        <w:t>3.3 Industry</w:t>
      </w:r>
      <w:r w:rsidR="00513DC3" w:rsidRPr="00135B3B">
        <w:rPr>
          <w:b/>
          <w:bCs/>
          <w:sz w:val="24"/>
          <w:szCs w:val="24"/>
        </w:rPr>
        <w:t xml:space="preserve"> Fusion Analytics</w:t>
      </w:r>
    </w:p>
    <w:p w14:paraId="04A6F41E" w14:textId="1A4A61DC" w:rsidR="00BE71B4" w:rsidRDefault="00BE71B4" w:rsidP="003C1C66">
      <w:pPr>
        <w:spacing w:after="80"/>
        <w:jc w:val="both"/>
        <w:rPr>
          <w:sz w:val="24"/>
          <w:szCs w:val="24"/>
        </w:rPr>
      </w:pPr>
      <w:r w:rsidRPr="00CE3DE5">
        <w:rPr>
          <w:sz w:val="24"/>
          <w:szCs w:val="24"/>
        </w:rPr>
        <w:t>Industry Fusion Analytics was used to examine how comparable industry transitions informed CIBC's risk profile. First, the 2022 Lemonade data breach demonstrated that combined financial and health data environments are attractive targets for sophisticated threat actors, supporting the Very Likely (L = 9) classification assigned to R1. Second, regulatory delays experienced by Canadian financial institutions expanding into insurance markets supported the elevated likelihood score assigned to R2 (L = 7). Third, TD Bank's digital platform adoption trajectory between 2019 and 2020 provided a benchmark for realistic customer adoption assumptions, supporting the Green and Amber thresholds established for R3's KRI framework.</w:t>
      </w:r>
    </w:p>
    <w:p w14:paraId="3298EF98" w14:textId="77777777" w:rsidR="003C1C66" w:rsidRPr="00CE3DE5" w:rsidRDefault="003C1C66" w:rsidP="003C1C66">
      <w:pPr>
        <w:spacing w:after="80"/>
        <w:jc w:val="both"/>
        <w:rPr>
          <w:sz w:val="24"/>
          <w:szCs w:val="24"/>
        </w:rPr>
      </w:pPr>
    </w:p>
    <w:p w14:paraId="6618EBAE" w14:textId="36AD2F87" w:rsidR="00C13ABB" w:rsidRDefault="00BE71B4" w:rsidP="003C1C66">
      <w:pPr>
        <w:spacing w:after="80"/>
        <w:rPr>
          <w:b/>
          <w:bCs/>
          <w:sz w:val="24"/>
          <w:szCs w:val="24"/>
        </w:rPr>
      </w:pPr>
      <w:r w:rsidRPr="00135B3B">
        <w:rPr>
          <w:b/>
          <w:bCs/>
          <w:sz w:val="24"/>
          <w:szCs w:val="24"/>
        </w:rPr>
        <w:t>3.4 Qualitative</w:t>
      </w:r>
      <w:r w:rsidR="00513DC3" w:rsidRPr="00135B3B">
        <w:rPr>
          <w:b/>
          <w:bCs/>
          <w:sz w:val="24"/>
          <w:szCs w:val="24"/>
        </w:rPr>
        <w:t xml:space="preserve"> Priority Distribution</w:t>
      </w:r>
    </w:p>
    <w:p w14:paraId="2D051BE5" w14:textId="1FCC1A4D" w:rsidR="00BE71B4" w:rsidRDefault="00BF01F6" w:rsidP="003C1C66">
      <w:pPr>
        <w:spacing w:after="80"/>
        <w:jc w:val="both"/>
        <w:rPr>
          <w:sz w:val="24"/>
          <w:szCs w:val="24"/>
        </w:rPr>
      </w:pPr>
      <w:r w:rsidRPr="00CE3DE5">
        <w:rPr>
          <w:sz w:val="24"/>
          <w:szCs w:val="24"/>
        </w:rPr>
        <w:t xml:space="preserve">Applying these methods across all 30 identified risks produced 19 High-priority risks (36–81), 11 Medium-priority risks (10–35), and no Low-priority risks. The absence of Low-priority risks reflects the complexity and uncertainty associated with entering a highly regulated industry without prior operational experience. All three selected risks were classified as High priority, making them suitable </w:t>
      </w:r>
      <w:r w:rsidRPr="00CE3DE5">
        <w:rPr>
          <w:sz w:val="24"/>
          <w:szCs w:val="24"/>
        </w:rPr>
        <w:lastRenderedPageBreak/>
        <w:t>candidates for further quantitative assessment based on the availability of measurable cost, probability, and exposure inputs.</w:t>
      </w:r>
    </w:p>
    <w:p w14:paraId="7419CCD1" w14:textId="77777777" w:rsidR="003C1C66" w:rsidRPr="00CE3DE5" w:rsidRDefault="003C1C66" w:rsidP="003C1C66">
      <w:pPr>
        <w:spacing w:after="80"/>
        <w:jc w:val="both"/>
        <w:rPr>
          <w:sz w:val="24"/>
          <w:szCs w:val="24"/>
        </w:rPr>
      </w:pPr>
    </w:p>
    <w:p w14:paraId="27AC0FA4" w14:textId="5CF92D44" w:rsidR="00C13ABB" w:rsidRDefault="00513DC3" w:rsidP="003C1C66">
      <w:pPr>
        <w:spacing w:after="100"/>
        <w:rPr>
          <w:b/>
          <w:bCs/>
          <w:sz w:val="24"/>
          <w:szCs w:val="24"/>
        </w:rPr>
      </w:pPr>
      <w:r w:rsidRPr="00135B3B">
        <w:rPr>
          <w:b/>
          <w:bCs/>
          <w:sz w:val="24"/>
          <w:szCs w:val="24"/>
        </w:rPr>
        <w:t>4.  QUANTITATIVE RISK ASSESSMENT</w:t>
      </w:r>
    </w:p>
    <w:p w14:paraId="71762869" w14:textId="7915FEE9" w:rsidR="00BF01F6" w:rsidRDefault="00BF01F6" w:rsidP="003C1C66">
      <w:pPr>
        <w:spacing w:after="100"/>
        <w:jc w:val="both"/>
        <w:rPr>
          <w:sz w:val="24"/>
          <w:szCs w:val="24"/>
        </w:rPr>
      </w:pPr>
      <w:r w:rsidRPr="00CE3DE5">
        <w:rPr>
          <w:sz w:val="24"/>
          <w:szCs w:val="24"/>
        </w:rPr>
        <w:t>Quantitative risk assessment was conducted using the Indicators and Warnings (I&amp;W) framework. Three complementary methods were applied: Monte Carlo simulation for R1, sensitivity analysis for R2, and Expected Monetary Value (EMV) analysis for R3. Machine-learning techniques were also evaluated as predictive enhancements for each risk. Quantitative models were developed using proxy and synthetic datasets derived from the Group 7 Risk Register, Risk Calculation Sheet, RT&amp;RP documentation, market research, regulatory guidance, and scenario-based estimates. These inputs were transformed into simulation parameters aligned with the business and regulatory environment identified in the Integrated Situation Assessment (COSO, 2010; NIST, 2012).</w:t>
      </w:r>
    </w:p>
    <w:p w14:paraId="5BE1338B" w14:textId="77777777" w:rsidR="003C1C66" w:rsidRPr="00CE3DE5" w:rsidRDefault="003C1C66" w:rsidP="003C1C66">
      <w:pPr>
        <w:spacing w:after="100"/>
        <w:jc w:val="both"/>
        <w:rPr>
          <w:b/>
          <w:bCs/>
          <w:sz w:val="24"/>
          <w:szCs w:val="24"/>
        </w:rPr>
      </w:pPr>
    </w:p>
    <w:p w14:paraId="611FFC4C" w14:textId="31BB2BE3" w:rsidR="00C13ABB" w:rsidRDefault="00CE3DE5" w:rsidP="003C1C66">
      <w:pPr>
        <w:spacing w:after="80"/>
        <w:rPr>
          <w:b/>
          <w:bCs/>
          <w:sz w:val="24"/>
          <w:szCs w:val="24"/>
        </w:rPr>
      </w:pPr>
      <w:r w:rsidRPr="00135B3B">
        <w:rPr>
          <w:b/>
          <w:bCs/>
          <w:sz w:val="24"/>
          <w:szCs w:val="24"/>
        </w:rPr>
        <w:t>4.1 Data</w:t>
      </w:r>
      <w:r w:rsidR="00513DC3" w:rsidRPr="00135B3B">
        <w:rPr>
          <w:b/>
          <w:bCs/>
          <w:sz w:val="24"/>
          <w:szCs w:val="24"/>
        </w:rPr>
        <w:t xml:space="preserve"> Sources and Modelling Assumptions</w:t>
      </w:r>
    </w:p>
    <w:p w14:paraId="7963A9AF" w14:textId="2D798437" w:rsidR="00CE3DE5" w:rsidRDefault="00F10BFC" w:rsidP="003C1C66">
      <w:pPr>
        <w:pStyle w:val="NormalWeb"/>
        <w:spacing w:before="0" w:beforeAutospacing="0"/>
        <w:jc w:val="both"/>
      </w:pPr>
      <w:r w:rsidRPr="00CE3DE5">
        <w:t>The quantitative analysis did not rely on a single external dataset. Instead, proxy and synthetic datasets were developed using six primary sources: (1) the Group 7 Risk Register; (2) the ALY6130 Risk Calculation Sheet; (3) the Risk Treatment and Response Plan (RT&amp;RP); (4) market research from Swiss Re Institute (2023), McKinsey (2023), KPMG (2024), and Deloitte (2024); (5) regulatory guidance from OSFI, PIPEDA, Bill C-27, and FINTRAC; and (6) scenario-based estimates developed through the qualitative assessment process. Where historical data was unavailable, realistic business assumptions were used to simulate the CIBC digital insurance environment.</w:t>
      </w:r>
      <w:r w:rsidR="00CE3DE5" w:rsidRPr="00CE3DE5">
        <w:t xml:space="preserve"> </w:t>
      </w:r>
      <w:r w:rsidR="00CE3DE5">
        <w:t>Supporting data inputs and modelling assumptions are contained within the Risk Register and Risk Calculation Workbook (Module4_Data_Source_Risk_Register_and_Calculations.xlsx) submitted with this report.</w:t>
      </w:r>
    </w:p>
    <w:p w14:paraId="331D9BB7" w14:textId="77777777" w:rsidR="00CE3DE5" w:rsidRPr="00CC00B6" w:rsidRDefault="00CE3DE5" w:rsidP="00CC00B6">
      <w:pPr>
        <w:rPr>
          <w:b/>
          <w:bCs/>
          <w:sz w:val="24"/>
          <w:szCs w:val="24"/>
        </w:rPr>
      </w:pPr>
      <w:r w:rsidRPr="00CC00B6">
        <w:rPr>
          <w:b/>
          <w:bCs/>
          <w:sz w:val="24"/>
          <w:szCs w:val="24"/>
        </w:rPr>
        <w:t>4.2 R1 — Data Privacy Breach: Monte Carlo Simulation</w:t>
      </w:r>
    </w:p>
    <w:p w14:paraId="6DF3CE1D" w14:textId="77777777" w:rsidR="00CC00B6" w:rsidRDefault="00CE3DE5" w:rsidP="00CC00B6">
      <w:pPr>
        <w:pStyle w:val="NormalWeb"/>
        <w:spacing w:after="0" w:afterAutospacing="0"/>
        <w:rPr>
          <w:rStyle w:val="Strong"/>
        </w:rPr>
      </w:pPr>
      <w:r>
        <w:rPr>
          <w:rStyle w:val="Strong"/>
        </w:rPr>
        <w:t>I&amp;W Indicators</w:t>
      </w:r>
    </w:p>
    <w:p w14:paraId="11EB806B" w14:textId="62F5643E" w:rsidR="00CE3DE5" w:rsidRDefault="00CE3DE5" w:rsidP="00CC00B6">
      <w:pPr>
        <w:pStyle w:val="NormalWeb"/>
        <w:spacing w:before="0" w:beforeAutospacing="0" w:after="0" w:afterAutospacing="0"/>
        <w:jc w:val="both"/>
      </w:pPr>
      <w:r>
        <w:t>Primary: Number of critical security vulnerabilities unpatched beyond 72 hours. Secondary: SOC anomalous-access alert volume, integration security scan pass rate, and penetration test findings unresolved beyond 14 days.</w:t>
      </w:r>
    </w:p>
    <w:p w14:paraId="7B13997A" w14:textId="77777777" w:rsidR="00CC00B6" w:rsidRPr="00CC00B6" w:rsidRDefault="00CC00B6" w:rsidP="00CC00B6">
      <w:pPr>
        <w:pStyle w:val="NormalWeb"/>
        <w:spacing w:before="0" w:beforeAutospacing="0" w:after="0" w:afterAutospacing="0"/>
        <w:jc w:val="both"/>
        <w:rPr>
          <w:b/>
          <w:bCs/>
        </w:rPr>
      </w:pPr>
    </w:p>
    <w:p w14:paraId="5FFEDFBC" w14:textId="77777777" w:rsidR="00DF678E" w:rsidRDefault="00CE3DE5" w:rsidP="00DF678E">
      <w:pPr>
        <w:pStyle w:val="NormalWeb"/>
        <w:spacing w:before="0" w:beforeAutospacing="0"/>
        <w:rPr>
          <w:rStyle w:val="Strong"/>
        </w:rPr>
      </w:pPr>
      <w:r>
        <w:rPr>
          <w:rStyle w:val="Strong"/>
        </w:rPr>
        <w:t>Steps Taken to Quantify Probability and Impact</w:t>
      </w:r>
    </w:p>
    <w:p w14:paraId="12AA408C" w14:textId="43D1BAFA" w:rsidR="00CE3DE5" w:rsidRPr="00DF678E" w:rsidRDefault="00CE3DE5" w:rsidP="00DF678E">
      <w:pPr>
        <w:pStyle w:val="NormalWeb"/>
        <w:spacing w:before="0" w:beforeAutospacing="0"/>
        <w:rPr>
          <w:b/>
          <w:bCs/>
        </w:rPr>
      </w:pPr>
      <w:r>
        <w:br/>
        <w:t xml:space="preserve">• </w:t>
      </w:r>
      <w:r>
        <w:rPr>
          <w:rStyle w:val="Strong"/>
        </w:rPr>
        <w:t>Step 1 — Scenario definition:</w:t>
      </w:r>
      <w:r>
        <w:t xml:space="preserve"> Three loss scenarios were defined: Optimistic (CAD $25M: PIPEDA baseline fines and limited class action exposure), Most Likely (CAD $75M: regulatory fines, remediation costs, and moderate litigation), and Pessimistic (CAD $150M: maximum regulatory penalties, class-action settlement, and 6–</w:t>
      </w:r>
      <w:r w:rsidR="00CC00B6">
        <w:t>12-month</w:t>
      </w:r>
      <w:r>
        <w:t xml:space="preserve"> system disruption). Internal drivers such as legacy system integration complexity increase exposure, while external drivers such as Bill C-27 shape regulatory penalties and upper-bound impact.</w:t>
      </w:r>
    </w:p>
    <w:p w14:paraId="4AA472A5" w14:textId="77777777" w:rsidR="00B20495" w:rsidRDefault="00B20495" w:rsidP="00BB5FC5">
      <w:pPr>
        <w:pStyle w:val="NormalWeb"/>
        <w:spacing w:before="0" w:beforeAutospacing="0" w:after="0" w:afterAutospacing="0"/>
      </w:pPr>
    </w:p>
    <w:p w14:paraId="287AECC3" w14:textId="0E3C86DF" w:rsidR="00CE3DE5" w:rsidRPr="00BB5FC5" w:rsidRDefault="00CE3DE5" w:rsidP="00B20495">
      <w:pPr>
        <w:pStyle w:val="NormalWeb"/>
        <w:spacing w:before="0" w:beforeAutospacing="0" w:after="0" w:afterAutospacing="0"/>
        <w:jc w:val="both"/>
        <w:rPr>
          <w:b/>
          <w:bCs/>
        </w:rPr>
      </w:pPr>
      <w:r>
        <w:t xml:space="preserve">• </w:t>
      </w:r>
      <w:r>
        <w:rPr>
          <w:rStyle w:val="Strong"/>
        </w:rPr>
        <w:t xml:space="preserve">Step 2 — Distribution </w:t>
      </w:r>
      <w:r w:rsidR="00B20495">
        <w:rPr>
          <w:rStyle w:val="Strong"/>
        </w:rPr>
        <w:t>selection:</w:t>
      </w:r>
      <w:r w:rsidR="00B20495">
        <w:t xml:space="preserve"> A</w:t>
      </w:r>
      <w:r>
        <w:t xml:space="preserve"> triangular distribution (shape parameter c = 0.40) was used to preserve the three-point estimate structure while reflecting the asymmetric nature of regulatory and cyber loss outcomes.</w:t>
      </w:r>
    </w:p>
    <w:p w14:paraId="52817910" w14:textId="77777777" w:rsidR="00BB5FC5" w:rsidRDefault="00BB5FC5" w:rsidP="00B20495">
      <w:pPr>
        <w:pStyle w:val="NormalWeb"/>
        <w:jc w:val="both"/>
      </w:pPr>
    </w:p>
    <w:p w14:paraId="0ED9CDA2" w14:textId="1E26E51B" w:rsidR="00CE3DE5" w:rsidRDefault="00CE3DE5" w:rsidP="00BB5FC5">
      <w:pPr>
        <w:pStyle w:val="NormalWeb"/>
        <w:spacing w:before="0" w:beforeAutospacing="0" w:after="0" w:afterAutospacing="0"/>
        <w:jc w:val="both"/>
      </w:pPr>
      <w:r>
        <w:t xml:space="preserve">• </w:t>
      </w:r>
      <w:r>
        <w:rPr>
          <w:rStyle w:val="Strong"/>
        </w:rPr>
        <w:t>Step 3 — Simulation results:</w:t>
      </w:r>
      <w:r>
        <w:t xml:space="preserve"> 10,000 Monte Carlo iterations produced a mean loss of CAD $82.8M, median of CAD $81.0M, 90th percentile of CAD $118.7M, and 95th percentile of CAD $127.8M. The probability of losses exceeding CAD $100M is 25.6%, indicating meaningful tail risk. The spread of outcomes reflects high variance in potential exposure during integration-related cybersecurity events. See Appendix 2.</w:t>
      </w:r>
    </w:p>
    <w:p w14:paraId="294B2A68" w14:textId="77777777" w:rsidR="00BB5FC5" w:rsidRDefault="00BB5FC5" w:rsidP="00BB5FC5">
      <w:pPr>
        <w:pStyle w:val="NormalWeb"/>
        <w:spacing w:before="0" w:beforeAutospacing="0" w:after="0" w:afterAutospacing="0"/>
        <w:jc w:val="both"/>
      </w:pPr>
    </w:p>
    <w:p w14:paraId="54B27CB1" w14:textId="041BE042" w:rsidR="00CE3DE5" w:rsidRDefault="00CE3DE5" w:rsidP="00B20495">
      <w:pPr>
        <w:pStyle w:val="NormalWeb"/>
        <w:spacing w:before="0" w:beforeAutospacing="0" w:after="0" w:afterAutospacing="0"/>
        <w:jc w:val="both"/>
      </w:pPr>
      <w:r>
        <w:t xml:space="preserve">• </w:t>
      </w:r>
      <w:r>
        <w:rPr>
          <w:rStyle w:val="Strong"/>
        </w:rPr>
        <w:t>Step 4 — ML application:</w:t>
      </w:r>
      <w:r>
        <w:t xml:space="preserve"> An unsupervised Isolation Forest model was proposed to detect anomalies in SOC activity. Key features include authentication failures, access frequency, data transfer spikes, and off-hours login patterns. Model outputs are mapped to Green/Amber/Red thresholds for early-warning detection.</w:t>
      </w:r>
      <w:r w:rsidR="00593D3A" w:rsidRPr="00593D3A">
        <w:t xml:space="preserve"> </w:t>
      </w:r>
      <w:r w:rsidR="00593D3A">
        <w:t>The model output would be used to update the risk likelihood score and trigger earlier management intervention</w:t>
      </w:r>
    </w:p>
    <w:p w14:paraId="1D23D22A" w14:textId="2CF8045B" w:rsidR="00CE3DE5" w:rsidRPr="00B20495" w:rsidRDefault="00CE3DE5" w:rsidP="00B20495">
      <w:pPr>
        <w:pStyle w:val="NormalWeb"/>
        <w:jc w:val="both"/>
        <w:rPr>
          <w:b/>
          <w:bCs/>
        </w:rPr>
      </w:pPr>
      <w:r>
        <w:t xml:space="preserve">• </w:t>
      </w:r>
      <w:r>
        <w:rPr>
          <w:rStyle w:val="Strong"/>
        </w:rPr>
        <w:t>Step 5 — RT&amp;RP impact:</w:t>
      </w:r>
      <w:r>
        <w:t xml:space="preserve"> A contingency reserve of CAD $119M (90th percentile) and a stress-test benchmark of CAD $128M (95th percentile) were established. Investment in zero-trust architecture, Privacy Impact Assessments, and continuous SOC monitoring is justified by the simulation outputs.</w:t>
      </w:r>
    </w:p>
    <w:p w14:paraId="02424597" w14:textId="77777777" w:rsidR="00CE3DE5" w:rsidRPr="00CC00B6" w:rsidRDefault="00CE3DE5" w:rsidP="00CC00B6">
      <w:pPr>
        <w:rPr>
          <w:b/>
          <w:bCs/>
          <w:sz w:val="24"/>
          <w:szCs w:val="24"/>
        </w:rPr>
      </w:pPr>
      <w:r w:rsidRPr="00CC00B6">
        <w:rPr>
          <w:b/>
          <w:bCs/>
          <w:sz w:val="24"/>
          <w:szCs w:val="24"/>
        </w:rPr>
        <w:t>4.3 R2 — Regulatory &amp; Compliance Exposure: Sensitivity Analysis</w:t>
      </w:r>
    </w:p>
    <w:p w14:paraId="43746B67" w14:textId="77777777" w:rsidR="00CE3DE5" w:rsidRDefault="00CE3DE5" w:rsidP="00CE3DE5">
      <w:pPr>
        <w:pStyle w:val="NormalWeb"/>
      </w:pPr>
      <w:r>
        <w:rPr>
          <w:rStyle w:val="Strong"/>
        </w:rPr>
        <w:t>I&amp;W Indicators</w:t>
      </w:r>
      <w:r>
        <w:br/>
        <w:t>Primary: Open compliance findings or regulatory changes unresolved beyond 30 days. Secondary: Provincial licensing progress, Bill C-27 readiness timeline, and OSFI Guideline B-10 compliance gaps.</w:t>
      </w:r>
    </w:p>
    <w:p w14:paraId="027C0A6B" w14:textId="77777777" w:rsidR="00BB5FC5" w:rsidRDefault="00CE3DE5" w:rsidP="00CE3DE5">
      <w:pPr>
        <w:pStyle w:val="NormalWeb"/>
        <w:rPr>
          <w:rStyle w:val="Strong"/>
        </w:rPr>
      </w:pPr>
      <w:r>
        <w:rPr>
          <w:rStyle w:val="Strong"/>
        </w:rPr>
        <w:t>Steps Taken to Quantify Probability and Impact</w:t>
      </w:r>
    </w:p>
    <w:p w14:paraId="64491513" w14:textId="44E8DBA1" w:rsidR="00CE3DE5" w:rsidRDefault="00CE3DE5" w:rsidP="00B20495">
      <w:pPr>
        <w:pStyle w:val="NormalWeb"/>
        <w:spacing w:before="0" w:beforeAutospacing="0" w:after="0" w:afterAutospacing="0"/>
        <w:jc w:val="both"/>
      </w:pPr>
      <w:r>
        <w:t xml:space="preserve">• </w:t>
      </w:r>
      <w:r>
        <w:rPr>
          <w:rStyle w:val="Strong"/>
        </w:rPr>
        <w:t>Step 1 — Base estimate:</w:t>
      </w:r>
      <w:r>
        <w:t xml:space="preserve"> A baseline impact of CAD $56M (L=7 × I=8) was defined, reflecting fines, premium refunds, and operational delay costs under a moderate regulatory enforcement scenario.</w:t>
      </w:r>
    </w:p>
    <w:p w14:paraId="0131CE44" w14:textId="77777777" w:rsidR="00BB5FC5" w:rsidRDefault="00BB5FC5" w:rsidP="00BB5FC5">
      <w:pPr>
        <w:pStyle w:val="NormalWeb"/>
        <w:spacing w:before="0" w:beforeAutospacing="0" w:after="0" w:afterAutospacing="0"/>
        <w:jc w:val="both"/>
      </w:pPr>
    </w:p>
    <w:p w14:paraId="62BA75C2" w14:textId="343E788B" w:rsidR="00CE3DE5" w:rsidRPr="00B20495" w:rsidRDefault="00CE3DE5" w:rsidP="00B20495">
      <w:pPr>
        <w:pStyle w:val="NormalWeb"/>
        <w:spacing w:before="0" w:beforeAutospacing="0" w:after="0" w:afterAutospacing="0"/>
        <w:jc w:val="both"/>
        <w:rPr>
          <w:b/>
          <w:bCs/>
        </w:rPr>
      </w:pPr>
      <w:r>
        <w:t xml:space="preserve">• </w:t>
      </w:r>
      <w:r>
        <w:rPr>
          <w:rStyle w:val="Strong"/>
        </w:rPr>
        <w:t>Step 2 — Key drivers:</w:t>
      </w:r>
      <w:r>
        <w:t xml:space="preserve"> Five impact drivers were identified: likelihood of regulatory halt (0.70), fine severity (0.55), provincial rollout delays (0.45), number of affected provinces (0.35), and remediation/legal costs (0.25). Internal drivers include compliance readiness and licensing gaps, while external drivers include OSFI guidance and Bill C-27 requirements.</w:t>
      </w:r>
    </w:p>
    <w:p w14:paraId="6613BD36" w14:textId="77777777" w:rsidR="00BB5FC5" w:rsidRDefault="00BB5FC5" w:rsidP="00BB5FC5">
      <w:pPr>
        <w:pStyle w:val="NormalWeb"/>
        <w:spacing w:before="0" w:beforeAutospacing="0" w:after="0" w:afterAutospacing="0"/>
        <w:jc w:val="both"/>
      </w:pPr>
    </w:p>
    <w:p w14:paraId="264476FC" w14:textId="74255CD1" w:rsidR="00CE3DE5" w:rsidRPr="00B20495" w:rsidRDefault="00CE3DE5" w:rsidP="00B20495">
      <w:pPr>
        <w:pStyle w:val="NormalWeb"/>
        <w:spacing w:before="0" w:beforeAutospacing="0" w:after="0" w:afterAutospacing="0"/>
        <w:jc w:val="both"/>
        <w:rPr>
          <w:b/>
          <w:bCs/>
        </w:rPr>
      </w:pPr>
      <w:r>
        <w:t xml:space="preserve">• </w:t>
      </w:r>
      <w:r>
        <w:rPr>
          <w:rStyle w:val="Strong"/>
        </w:rPr>
        <w:t>Step 3 — Sensitivity analysis:</w:t>
      </w:r>
      <w:r w:rsidR="00B20495">
        <w:rPr>
          <w:rStyle w:val="Strong"/>
        </w:rPr>
        <w:t xml:space="preserve"> </w:t>
      </w:r>
      <w:r>
        <w:t>Each driver was varied independently by ±30%. Likelihood of regulatory halt had the greatest impact (±CAD $11.8M), followed by fine severity (±CAD $7.7M). This confirms it as the primary monitoring focus. See Appendix 3.</w:t>
      </w:r>
    </w:p>
    <w:p w14:paraId="26B9FF23" w14:textId="77777777" w:rsidR="00BB5FC5" w:rsidRDefault="00BB5FC5" w:rsidP="00BB5FC5">
      <w:pPr>
        <w:pStyle w:val="NormalWeb"/>
        <w:spacing w:before="0" w:beforeAutospacing="0" w:after="0" w:afterAutospacing="0"/>
        <w:jc w:val="both"/>
      </w:pPr>
    </w:p>
    <w:p w14:paraId="6EA80359" w14:textId="489C3C00" w:rsidR="00B20495" w:rsidRDefault="00CE3DE5" w:rsidP="00B20495">
      <w:pPr>
        <w:pStyle w:val="NormalWeb"/>
        <w:spacing w:before="0" w:beforeAutospacing="0" w:after="0" w:afterAutospacing="0"/>
        <w:jc w:val="both"/>
      </w:pPr>
      <w:r>
        <w:t xml:space="preserve">• </w:t>
      </w:r>
      <w:r>
        <w:rPr>
          <w:rStyle w:val="Strong"/>
        </w:rPr>
        <w:t>Step 4 — ML application:</w:t>
      </w:r>
      <w:r>
        <w:t xml:space="preserve"> A supervised gradient boosting model is proposed to estimate regulatory halt probability using features such as compliance findings, licensing delays, and regulatory engagement signals. Model validation uses 5-fold cross-validation, with outputs supporting continuous risk </w:t>
      </w:r>
      <w:r w:rsidR="00593D3A">
        <w:t>scoring. The</w:t>
      </w:r>
      <w:r w:rsidR="00593D3A">
        <w:t xml:space="preserve"> model output would be used to update the risk likelihood score and trigger earlier management intervention</w:t>
      </w:r>
    </w:p>
    <w:p w14:paraId="2FB325B3" w14:textId="4FDA241C" w:rsidR="00B20495" w:rsidRPr="00DF678E" w:rsidRDefault="00CE3DE5" w:rsidP="00DF678E">
      <w:pPr>
        <w:pStyle w:val="NormalWeb"/>
        <w:spacing w:before="0" w:beforeAutospacing="0" w:after="0" w:afterAutospacing="0"/>
        <w:jc w:val="both"/>
      </w:pPr>
      <w:r>
        <w:t xml:space="preserve">• </w:t>
      </w:r>
      <w:r>
        <w:rPr>
          <w:rStyle w:val="Strong"/>
        </w:rPr>
        <w:t>Step 5 — RT&amp;RP impact:</w:t>
      </w:r>
      <w:r>
        <w:t xml:space="preserve"> Resources are concentrated on compliance KRIs, supported by a dedicated compliance officer and automated monitoring tools, delivering high risk reduction efficiency relative to cost.</w:t>
      </w:r>
    </w:p>
    <w:p w14:paraId="29E29B50" w14:textId="77777777" w:rsidR="00B20495" w:rsidRDefault="00B20495" w:rsidP="00CC00B6">
      <w:pPr>
        <w:rPr>
          <w:b/>
          <w:bCs/>
          <w:sz w:val="24"/>
          <w:szCs w:val="24"/>
        </w:rPr>
      </w:pPr>
    </w:p>
    <w:p w14:paraId="27D9AB6E" w14:textId="06BA0871" w:rsidR="00CE3DE5" w:rsidRPr="00CC00B6" w:rsidRDefault="00CE3DE5" w:rsidP="00CC00B6">
      <w:pPr>
        <w:rPr>
          <w:b/>
          <w:bCs/>
          <w:sz w:val="24"/>
          <w:szCs w:val="24"/>
        </w:rPr>
      </w:pPr>
      <w:r w:rsidRPr="00CC00B6">
        <w:rPr>
          <w:b/>
          <w:bCs/>
          <w:sz w:val="24"/>
          <w:szCs w:val="24"/>
        </w:rPr>
        <w:t>4.4 R3 — First-Mover Market Capture: EMV Analysis</w:t>
      </w:r>
    </w:p>
    <w:p w14:paraId="35E9DB4F" w14:textId="77777777" w:rsidR="00CC00B6" w:rsidRDefault="00CE3DE5" w:rsidP="00CC00B6">
      <w:pPr>
        <w:pStyle w:val="NormalWeb"/>
        <w:spacing w:after="0" w:afterAutospacing="0"/>
        <w:rPr>
          <w:rStyle w:val="Strong"/>
        </w:rPr>
      </w:pPr>
      <w:r>
        <w:rPr>
          <w:rStyle w:val="Strong"/>
        </w:rPr>
        <w:t>I&amp;W Indicators</w:t>
      </w:r>
    </w:p>
    <w:p w14:paraId="64925BEC" w14:textId="6D2EC288" w:rsidR="00CE3DE5" w:rsidRPr="00CC00B6" w:rsidRDefault="00CE3DE5" w:rsidP="00CC00B6">
      <w:pPr>
        <w:pStyle w:val="NormalWeb"/>
        <w:jc w:val="both"/>
        <w:rPr>
          <w:b/>
          <w:bCs/>
        </w:rPr>
      </w:pPr>
      <w:r>
        <w:t>Primary: Monthly digital insurance adoption rate among CIBC clients. Secondary: Competitor launch announcements (TD/RBC), advisor licensing progress, and policy application volume trends.</w:t>
      </w:r>
    </w:p>
    <w:p w14:paraId="6F744478" w14:textId="77777777" w:rsidR="00BB5FC5" w:rsidRDefault="00CE3DE5" w:rsidP="00CE3DE5">
      <w:pPr>
        <w:pStyle w:val="NormalWeb"/>
        <w:rPr>
          <w:rStyle w:val="Strong"/>
        </w:rPr>
      </w:pPr>
      <w:r>
        <w:rPr>
          <w:rStyle w:val="Strong"/>
        </w:rPr>
        <w:t>Steps Taken to Quantify Probability and Impact</w:t>
      </w:r>
    </w:p>
    <w:p w14:paraId="5DDD5914" w14:textId="07DE95BC" w:rsidR="00CE3DE5" w:rsidRPr="00B20495" w:rsidRDefault="00CE3DE5" w:rsidP="00B20495">
      <w:pPr>
        <w:pStyle w:val="NormalWeb"/>
        <w:spacing w:before="0" w:beforeAutospacing="0" w:after="0" w:afterAutospacing="0"/>
        <w:jc w:val="both"/>
        <w:rPr>
          <w:b/>
          <w:bCs/>
        </w:rPr>
      </w:pPr>
      <w:r>
        <w:br/>
        <w:t xml:space="preserve">• </w:t>
      </w:r>
      <w:r>
        <w:rPr>
          <w:rStyle w:val="Strong"/>
        </w:rPr>
        <w:t>Step 1 — Scenario modelling:</w:t>
      </w:r>
      <w:r w:rsidR="00B20495">
        <w:rPr>
          <w:rStyle w:val="Strong"/>
        </w:rPr>
        <w:t xml:space="preserve"> </w:t>
      </w:r>
      <w:r>
        <w:t>Four adoption scenarios were defined: Strong First-Mover (5%, P=70%), Partial First-Mover (3%, P=15%), Late Entry (P=10%), and Failed Launch (&lt;1%, P=5%). Internal drivers include advisor readiness, while external drivers include competitor timing and market response.</w:t>
      </w:r>
    </w:p>
    <w:p w14:paraId="0977AB0B" w14:textId="77777777" w:rsidR="00BB5FC5" w:rsidRDefault="00BB5FC5" w:rsidP="00BB5FC5">
      <w:pPr>
        <w:pStyle w:val="NormalWeb"/>
        <w:spacing w:before="0" w:beforeAutospacing="0" w:after="0" w:afterAutospacing="0"/>
        <w:jc w:val="both"/>
      </w:pPr>
    </w:p>
    <w:p w14:paraId="0FAF4722" w14:textId="01230A84" w:rsidR="00CE3DE5" w:rsidRDefault="00CE3DE5" w:rsidP="00B20495">
      <w:pPr>
        <w:pStyle w:val="NormalWeb"/>
        <w:spacing w:before="0" w:beforeAutospacing="0" w:after="0" w:afterAutospacing="0"/>
        <w:jc w:val="both"/>
      </w:pPr>
      <w:r>
        <w:t xml:space="preserve">• </w:t>
      </w:r>
      <w:r>
        <w:rPr>
          <w:rStyle w:val="Strong"/>
        </w:rPr>
        <w:t>Step 2 — Value estimation:</w:t>
      </w:r>
      <w:r>
        <w:t xml:space="preserve"> Net value combines premium revenue, cross-sell uplift, and opportunity cost. At 5% adoption across 11M clients, premium revenue is estimated at CAD $165M, with CAD $75M cross-sell uplift (McKinsey, 2023).</w:t>
      </w:r>
    </w:p>
    <w:p w14:paraId="5DF36D19" w14:textId="77777777" w:rsidR="00BB5FC5" w:rsidRDefault="00BB5FC5" w:rsidP="00B20495">
      <w:pPr>
        <w:pStyle w:val="NormalWeb"/>
        <w:spacing w:before="0" w:beforeAutospacing="0" w:after="0" w:afterAutospacing="0"/>
        <w:jc w:val="both"/>
      </w:pPr>
    </w:p>
    <w:p w14:paraId="5248A849" w14:textId="38572CCA" w:rsidR="00CE3DE5" w:rsidRDefault="00CE3DE5" w:rsidP="00B20495">
      <w:pPr>
        <w:pStyle w:val="NormalWeb"/>
        <w:spacing w:before="0" w:beforeAutospacing="0" w:after="0" w:afterAutospacing="0"/>
        <w:jc w:val="both"/>
      </w:pPr>
      <w:r>
        <w:t xml:space="preserve">• </w:t>
      </w:r>
      <w:r>
        <w:rPr>
          <w:rStyle w:val="Strong"/>
        </w:rPr>
        <w:t>Step 3 — EMV calculation:</w:t>
      </w:r>
      <w:r>
        <w:t xml:space="preserve"> Total EMV is CAD $187.1M, composed of Strong First-Mover (CAD $168.0M), Partial (CAD $17.8M), Late Entry (CAD $3.0M), and Failed Launch (−CAD $1.8M). This confirms strong strategic upside. See Appendix 4.</w:t>
      </w:r>
    </w:p>
    <w:p w14:paraId="3362341D" w14:textId="77777777" w:rsidR="00BB5FC5" w:rsidRDefault="00BB5FC5" w:rsidP="00BB5FC5">
      <w:pPr>
        <w:pStyle w:val="NormalWeb"/>
        <w:spacing w:before="0" w:beforeAutospacing="0" w:after="0" w:afterAutospacing="0"/>
        <w:jc w:val="both"/>
      </w:pPr>
    </w:p>
    <w:p w14:paraId="486CD68E" w14:textId="635612D3" w:rsidR="00CE3DE5" w:rsidRDefault="00CE3DE5" w:rsidP="00B20495">
      <w:pPr>
        <w:pStyle w:val="NormalWeb"/>
        <w:spacing w:before="0" w:beforeAutospacing="0" w:after="0" w:afterAutospacing="0"/>
        <w:jc w:val="both"/>
      </w:pPr>
      <w:r>
        <w:t xml:space="preserve">• </w:t>
      </w:r>
      <w:r>
        <w:rPr>
          <w:rStyle w:val="Strong"/>
        </w:rPr>
        <w:t>Step 4 — ML application:</w:t>
      </w:r>
      <w:r>
        <w:t xml:space="preserve"> </w:t>
      </w:r>
      <w:r w:rsidR="00B20495">
        <w:t xml:space="preserve"> </w:t>
      </w:r>
      <w:r>
        <w:t>An LSTM time-series forecasting model is proposed using adoption curves, user engagement, advisor activity, competitor announcements, and marketing spend. Walk-forward validation ensures robustness, and outputs enable predictive detection of declining adoption trends.</w:t>
      </w:r>
      <w:r w:rsidR="00593D3A" w:rsidRPr="00593D3A">
        <w:t xml:space="preserve"> </w:t>
      </w:r>
      <w:r w:rsidR="00593D3A">
        <w:t>The model output would be used to update the risk likelihood score and trigger earlier management intervention</w:t>
      </w:r>
    </w:p>
    <w:p w14:paraId="271B8973" w14:textId="77777777" w:rsidR="00BB5FC5" w:rsidRDefault="00BB5FC5" w:rsidP="00BB5FC5">
      <w:pPr>
        <w:pStyle w:val="NormalWeb"/>
        <w:spacing w:before="0" w:beforeAutospacing="0" w:after="0" w:afterAutospacing="0"/>
        <w:jc w:val="both"/>
      </w:pPr>
    </w:p>
    <w:p w14:paraId="08F0357B" w14:textId="063306A1" w:rsidR="00B20495" w:rsidRPr="00593D3A" w:rsidRDefault="00CE3DE5" w:rsidP="00593D3A">
      <w:pPr>
        <w:pStyle w:val="NormalWeb"/>
        <w:spacing w:before="0" w:beforeAutospacing="0" w:after="0" w:afterAutospacing="0"/>
        <w:jc w:val="both"/>
      </w:pPr>
      <w:r>
        <w:t xml:space="preserve">• </w:t>
      </w:r>
      <w:r>
        <w:rPr>
          <w:rStyle w:val="Strong"/>
        </w:rPr>
        <w:t>Step 5 — RT&amp;RP impact:</w:t>
      </w:r>
      <w:r>
        <w:t xml:space="preserve"> </w:t>
      </w:r>
      <w:r w:rsidR="00B20495">
        <w:t xml:space="preserve"> </w:t>
      </w:r>
      <w:r>
        <w:t xml:space="preserve">An Amber threshold (2–5% adoption) represents approximately CAD $150M in lost value, while a </w:t>
      </w:r>
      <w:proofErr w:type="gramStart"/>
      <w:r>
        <w:t>Red</w:t>
      </w:r>
      <w:proofErr w:type="gramEnd"/>
      <w:r>
        <w:t xml:space="preserve"> scenario (competitor entry first) represents CAD $165M loss, supporting proactive Board-level intervention.</w:t>
      </w:r>
    </w:p>
    <w:p w14:paraId="08D13507" w14:textId="6BE9F1DA" w:rsidR="00C13ABB" w:rsidRPr="00135B3B" w:rsidRDefault="00BB5FC5">
      <w:pPr>
        <w:spacing w:before="200" w:after="80"/>
        <w:rPr>
          <w:sz w:val="24"/>
          <w:szCs w:val="24"/>
        </w:rPr>
      </w:pPr>
      <w:r w:rsidRPr="00135B3B">
        <w:rPr>
          <w:b/>
          <w:bCs/>
          <w:sz w:val="24"/>
          <w:szCs w:val="24"/>
        </w:rPr>
        <w:t>4.5 Quantitative</w:t>
      </w:r>
      <w:r w:rsidR="00513DC3" w:rsidRPr="00135B3B">
        <w:rPr>
          <w:b/>
          <w:bCs/>
          <w:sz w:val="24"/>
          <w:szCs w:val="24"/>
        </w:rPr>
        <w:t xml:space="preserve"> Results Summary</w:t>
      </w:r>
    </w:p>
    <w:p w14:paraId="5CEC0B6F" w14:textId="77777777" w:rsidR="00C13ABB" w:rsidRDefault="00C13ABB"/>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1"/>
        <w:gridCol w:w="1582"/>
        <w:gridCol w:w="2459"/>
        <w:gridCol w:w="2458"/>
        <w:gridCol w:w="1990"/>
      </w:tblGrid>
      <w:tr w:rsidR="00135B3B" w14:paraId="44321107" w14:textId="77777777">
        <w:tc>
          <w:tcPr>
            <w:tcW w:w="1100" w:type="dxa"/>
            <w:shd w:val="clear" w:color="auto" w:fill="000000"/>
            <w:tcMar>
              <w:top w:w="60" w:type="dxa"/>
              <w:left w:w="100" w:type="dxa"/>
              <w:bottom w:w="60" w:type="dxa"/>
              <w:right w:w="100" w:type="dxa"/>
            </w:tcMar>
            <w:vAlign w:val="center"/>
          </w:tcPr>
          <w:p w14:paraId="667F8803" w14:textId="77777777" w:rsidR="00C13ABB" w:rsidRDefault="00513DC3">
            <w:pPr>
              <w:jc w:val="center"/>
            </w:pPr>
            <w:r>
              <w:rPr>
                <w:b/>
                <w:bCs/>
                <w:color w:val="FFFFFF"/>
              </w:rPr>
              <w:t>Risk</w:t>
            </w:r>
          </w:p>
        </w:tc>
        <w:tc>
          <w:tcPr>
            <w:tcW w:w="1600" w:type="dxa"/>
            <w:shd w:val="clear" w:color="auto" w:fill="000000"/>
            <w:tcMar>
              <w:top w:w="60" w:type="dxa"/>
              <w:left w:w="100" w:type="dxa"/>
              <w:bottom w:w="60" w:type="dxa"/>
              <w:right w:w="100" w:type="dxa"/>
            </w:tcMar>
            <w:vAlign w:val="center"/>
          </w:tcPr>
          <w:p w14:paraId="4591C5CA" w14:textId="77777777" w:rsidR="00C13ABB" w:rsidRDefault="00513DC3">
            <w:pPr>
              <w:jc w:val="center"/>
            </w:pPr>
            <w:r>
              <w:rPr>
                <w:b/>
                <w:bCs/>
                <w:color w:val="FFFFFF"/>
              </w:rPr>
              <w:t>Method</w:t>
            </w:r>
          </w:p>
        </w:tc>
        <w:tc>
          <w:tcPr>
            <w:tcW w:w="2500" w:type="dxa"/>
            <w:shd w:val="clear" w:color="auto" w:fill="000000"/>
            <w:tcMar>
              <w:top w:w="60" w:type="dxa"/>
              <w:left w:w="100" w:type="dxa"/>
              <w:bottom w:w="60" w:type="dxa"/>
              <w:right w:w="100" w:type="dxa"/>
            </w:tcMar>
            <w:vAlign w:val="center"/>
          </w:tcPr>
          <w:p w14:paraId="045DA30A" w14:textId="77777777" w:rsidR="00C13ABB" w:rsidRDefault="00513DC3">
            <w:pPr>
              <w:jc w:val="center"/>
            </w:pPr>
            <w:r>
              <w:rPr>
                <w:b/>
                <w:bCs/>
                <w:color w:val="FFFFFF"/>
              </w:rPr>
              <w:t>Key Output</w:t>
            </w:r>
          </w:p>
        </w:tc>
        <w:tc>
          <w:tcPr>
            <w:tcW w:w="2500" w:type="dxa"/>
            <w:shd w:val="clear" w:color="auto" w:fill="000000"/>
            <w:tcMar>
              <w:top w:w="60" w:type="dxa"/>
              <w:left w:w="100" w:type="dxa"/>
              <w:bottom w:w="60" w:type="dxa"/>
              <w:right w:w="100" w:type="dxa"/>
            </w:tcMar>
            <w:vAlign w:val="center"/>
          </w:tcPr>
          <w:p w14:paraId="17446325" w14:textId="77777777" w:rsidR="00C13ABB" w:rsidRDefault="00513DC3">
            <w:pPr>
              <w:jc w:val="center"/>
            </w:pPr>
            <w:r>
              <w:rPr>
                <w:b/>
                <w:bCs/>
                <w:color w:val="FFFFFF"/>
              </w:rPr>
              <w:t>Updated RT&amp;RP Action</w:t>
            </w:r>
          </w:p>
        </w:tc>
        <w:tc>
          <w:tcPr>
            <w:tcW w:w="2020" w:type="dxa"/>
            <w:shd w:val="clear" w:color="auto" w:fill="000000"/>
            <w:tcMar>
              <w:top w:w="60" w:type="dxa"/>
              <w:left w:w="100" w:type="dxa"/>
              <w:bottom w:w="60" w:type="dxa"/>
              <w:right w:w="100" w:type="dxa"/>
            </w:tcMar>
            <w:vAlign w:val="center"/>
          </w:tcPr>
          <w:p w14:paraId="359C31DF" w14:textId="77777777" w:rsidR="00C13ABB" w:rsidRDefault="00513DC3">
            <w:pPr>
              <w:jc w:val="center"/>
            </w:pPr>
            <w:r>
              <w:rPr>
                <w:b/>
                <w:bCs/>
                <w:color w:val="FFFFFF"/>
              </w:rPr>
              <w:t>ML Model</w:t>
            </w:r>
          </w:p>
        </w:tc>
      </w:tr>
      <w:tr w:rsidR="00135B3B" w14:paraId="593FAAB5" w14:textId="77777777">
        <w:tc>
          <w:tcPr>
            <w:tcW w:w="1100" w:type="dxa"/>
            <w:shd w:val="clear" w:color="auto" w:fill="F8F8F8"/>
            <w:tcMar>
              <w:top w:w="60" w:type="dxa"/>
              <w:left w:w="100" w:type="dxa"/>
              <w:bottom w:w="60" w:type="dxa"/>
              <w:right w:w="100" w:type="dxa"/>
            </w:tcMar>
          </w:tcPr>
          <w:p w14:paraId="4FC40B4A" w14:textId="77777777" w:rsidR="00C13ABB" w:rsidRDefault="00513DC3">
            <w:pPr>
              <w:spacing w:before="20" w:after="20"/>
            </w:pPr>
            <w:r>
              <w:rPr>
                <w:b/>
                <w:bCs/>
              </w:rPr>
              <w:t>R1 Data Privacy Breach</w:t>
            </w:r>
          </w:p>
          <w:p w14:paraId="2EF1F63E" w14:textId="77777777" w:rsidR="00C13ABB" w:rsidRDefault="00513DC3">
            <w:pPr>
              <w:spacing w:before="20" w:after="20"/>
            </w:pPr>
            <w:r>
              <w:t>Score = 72</w:t>
            </w:r>
          </w:p>
          <w:p w14:paraId="138072A1" w14:textId="77777777" w:rsidR="00C13ABB" w:rsidRDefault="00513DC3">
            <w:pPr>
              <w:spacing w:before="20" w:after="20"/>
            </w:pPr>
            <w:r>
              <w:rPr>
                <w:b/>
                <w:bCs/>
              </w:rPr>
              <w:t>Priority: HIGH</w:t>
            </w:r>
          </w:p>
        </w:tc>
        <w:tc>
          <w:tcPr>
            <w:tcW w:w="1600" w:type="dxa"/>
            <w:shd w:val="clear" w:color="auto" w:fill="F8F8F8"/>
            <w:tcMar>
              <w:top w:w="60" w:type="dxa"/>
              <w:left w:w="100" w:type="dxa"/>
              <w:bottom w:w="60" w:type="dxa"/>
              <w:right w:w="100" w:type="dxa"/>
            </w:tcMar>
          </w:tcPr>
          <w:p w14:paraId="41BA569E" w14:textId="77777777" w:rsidR="00C13ABB" w:rsidRDefault="00513DC3">
            <w:pPr>
              <w:spacing w:before="20" w:after="20"/>
            </w:pPr>
            <w:r>
              <w:t>Monte Carlo</w:t>
            </w:r>
          </w:p>
          <w:p w14:paraId="2499B3DB" w14:textId="77777777" w:rsidR="00C13ABB" w:rsidRDefault="00513DC3">
            <w:pPr>
              <w:spacing w:before="20" w:after="20"/>
            </w:pPr>
            <w:r>
              <w:t>Triangular dist.</w:t>
            </w:r>
          </w:p>
          <w:p w14:paraId="3795A4D6" w14:textId="77777777" w:rsidR="00C13ABB" w:rsidRDefault="00513DC3">
            <w:pPr>
              <w:spacing w:before="20" w:after="20"/>
            </w:pPr>
            <w:r>
              <w:t>N = 10,000</w:t>
            </w:r>
          </w:p>
        </w:tc>
        <w:tc>
          <w:tcPr>
            <w:tcW w:w="2500" w:type="dxa"/>
            <w:shd w:val="clear" w:color="auto" w:fill="F8F8F8"/>
            <w:tcMar>
              <w:top w:w="60" w:type="dxa"/>
              <w:left w:w="100" w:type="dxa"/>
              <w:bottom w:w="60" w:type="dxa"/>
              <w:right w:w="100" w:type="dxa"/>
            </w:tcMar>
          </w:tcPr>
          <w:p w14:paraId="02E17C23" w14:textId="77777777" w:rsidR="00C13ABB" w:rsidRDefault="00513DC3">
            <w:pPr>
              <w:spacing w:before="20" w:after="20"/>
            </w:pPr>
            <w:r>
              <w:t>Mean: CAD $82.8M</w:t>
            </w:r>
          </w:p>
          <w:p w14:paraId="1F640EC1" w14:textId="77777777" w:rsidR="00C13ABB" w:rsidRDefault="00513DC3">
            <w:pPr>
              <w:spacing w:before="20" w:after="20"/>
            </w:pPr>
            <w:r>
              <w:t>90th pct: CAD $118.7M</w:t>
            </w:r>
          </w:p>
          <w:p w14:paraId="5C96B2E4" w14:textId="77777777" w:rsidR="00C13ABB" w:rsidRDefault="00513DC3">
            <w:pPr>
              <w:spacing w:before="20" w:after="20"/>
            </w:pPr>
            <w:r>
              <w:t>95th pct: CAD $127.8M</w:t>
            </w:r>
          </w:p>
          <w:p w14:paraId="1C59CF30" w14:textId="77777777" w:rsidR="00C13ABB" w:rsidRDefault="00513DC3">
            <w:pPr>
              <w:spacing w:before="20" w:after="20"/>
            </w:pPr>
            <w:r>
              <w:t>P(&gt;$100M): 25.6%</w:t>
            </w:r>
          </w:p>
        </w:tc>
        <w:tc>
          <w:tcPr>
            <w:tcW w:w="2500" w:type="dxa"/>
            <w:shd w:val="clear" w:color="auto" w:fill="F8F8F8"/>
            <w:tcMar>
              <w:top w:w="60" w:type="dxa"/>
              <w:left w:w="100" w:type="dxa"/>
              <w:bottom w:w="60" w:type="dxa"/>
              <w:right w:w="100" w:type="dxa"/>
            </w:tcMar>
          </w:tcPr>
          <w:p w14:paraId="3C6E2FAB" w14:textId="77777777" w:rsidR="00C13ABB" w:rsidRDefault="00513DC3">
            <w:pPr>
              <w:spacing w:before="20" w:after="20"/>
            </w:pPr>
            <w:r>
              <w:rPr>
                <w:b/>
                <w:bCs/>
              </w:rPr>
              <w:t>Reserve: CAD $119M (90th pct)</w:t>
            </w:r>
          </w:p>
          <w:p w14:paraId="6A2774AE" w14:textId="77777777" w:rsidR="00C13ABB" w:rsidRDefault="00513DC3">
            <w:pPr>
              <w:spacing w:before="20" w:after="20"/>
            </w:pPr>
            <w:r>
              <w:t>Board stress-test: CAD $128M</w:t>
            </w:r>
          </w:p>
          <w:p w14:paraId="06B434F2" w14:textId="77777777" w:rsidR="00C13ABB" w:rsidRDefault="00513DC3">
            <w:pPr>
              <w:spacing w:before="20" w:after="20"/>
            </w:pPr>
            <w:r>
              <w:t>Deploy zero-trust + 24/7 SOC</w:t>
            </w:r>
          </w:p>
        </w:tc>
        <w:tc>
          <w:tcPr>
            <w:tcW w:w="2020" w:type="dxa"/>
            <w:shd w:val="clear" w:color="auto" w:fill="F8F8F8"/>
            <w:tcMar>
              <w:top w:w="60" w:type="dxa"/>
              <w:left w:w="100" w:type="dxa"/>
              <w:bottom w:w="60" w:type="dxa"/>
              <w:right w:w="100" w:type="dxa"/>
            </w:tcMar>
          </w:tcPr>
          <w:p w14:paraId="4A5FD372" w14:textId="77777777" w:rsidR="00C13ABB" w:rsidRDefault="00513DC3">
            <w:pPr>
              <w:spacing w:before="20" w:after="20"/>
            </w:pPr>
            <w:r>
              <w:t>Isolation Forest anomaly detection on SOC alert patterns</w:t>
            </w:r>
          </w:p>
        </w:tc>
      </w:tr>
      <w:tr w:rsidR="00135B3B" w14:paraId="0F045DA4" w14:textId="77777777">
        <w:tc>
          <w:tcPr>
            <w:tcW w:w="1100" w:type="dxa"/>
            <w:shd w:val="clear" w:color="auto" w:fill="FFFFFF"/>
            <w:tcMar>
              <w:top w:w="60" w:type="dxa"/>
              <w:left w:w="100" w:type="dxa"/>
              <w:bottom w:w="60" w:type="dxa"/>
              <w:right w:w="100" w:type="dxa"/>
            </w:tcMar>
          </w:tcPr>
          <w:p w14:paraId="7A84C9FA" w14:textId="77777777" w:rsidR="00C13ABB" w:rsidRDefault="00513DC3">
            <w:pPr>
              <w:spacing w:before="20" w:after="20"/>
            </w:pPr>
            <w:r>
              <w:rPr>
                <w:b/>
                <w:bCs/>
              </w:rPr>
              <w:t>R2 Regulatory Exposure</w:t>
            </w:r>
          </w:p>
          <w:p w14:paraId="53456F0F" w14:textId="77777777" w:rsidR="00C13ABB" w:rsidRDefault="00513DC3">
            <w:pPr>
              <w:spacing w:before="20" w:after="20"/>
            </w:pPr>
            <w:r>
              <w:t>Score = 56</w:t>
            </w:r>
          </w:p>
          <w:p w14:paraId="29C27A60" w14:textId="77777777" w:rsidR="00C13ABB" w:rsidRDefault="00513DC3">
            <w:pPr>
              <w:spacing w:before="20" w:after="20"/>
            </w:pPr>
            <w:r>
              <w:rPr>
                <w:b/>
                <w:bCs/>
              </w:rPr>
              <w:t>Priority: HIGH</w:t>
            </w:r>
          </w:p>
        </w:tc>
        <w:tc>
          <w:tcPr>
            <w:tcW w:w="1600" w:type="dxa"/>
            <w:shd w:val="clear" w:color="auto" w:fill="FFFFFF"/>
            <w:tcMar>
              <w:top w:w="60" w:type="dxa"/>
              <w:left w:w="100" w:type="dxa"/>
              <w:bottom w:w="60" w:type="dxa"/>
              <w:right w:w="100" w:type="dxa"/>
            </w:tcMar>
          </w:tcPr>
          <w:p w14:paraId="24DD8C3E" w14:textId="77777777" w:rsidR="00C13ABB" w:rsidRDefault="00513DC3">
            <w:pPr>
              <w:spacing w:before="20" w:after="20"/>
            </w:pPr>
            <w:r>
              <w:t>Sensitivity</w:t>
            </w:r>
          </w:p>
          <w:p w14:paraId="6259F86B" w14:textId="77777777" w:rsidR="00C13ABB" w:rsidRDefault="00513DC3">
            <w:pPr>
              <w:spacing w:before="20" w:after="20"/>
            </w:pPr>
            <w:r>
              <w:t>Tornado Chart</w:t>
            </w:r>
          </w:p>
          <w:p w14:paraId="309C0F2B" w14:textId="77777777" w:rsidR="00C13ABB" w:rsidRDefault="00513DC3">
            <w:pPr>
              <w:spacing w:before="20" w:after="20"/>
            </w:pPr>
            <w:r>
              <w:t>5 drivers ±30%</w:t>
            </w:r>
          </w:p>
        </w:tc>
        <w:tc>
          <w:tcPr>
            <w:tcW w:w="2500" w:type="dxa"/>
            <w:shd w:val="clear" w:color="auto" w:fill="FFFFFF"/>
            <w:tcMar>
              <w:top w:w="60" w:type="dxa"/>
              <w:left w:w="100" w:type="dxa"/>
              <w:bottom w:w="60" w:type="dxa"/>
              <w:right w:w="100" w:type="dxa"/>
            </w:tcMar>
          </w:tcPr>
          <w:p w14:paraId="6DFEA67B" w14:textId="77777777" w:rsidR="00C13ABB" w:rsidRDefault="00513DC3">
            <w:pPr>
              <w:spacing w:before="20" w:after="20"/>
            </w:pPr>
            <w:r>
              <w:t>Base: CAD $56M</w:t>
            </w:r>
          </w:p>
          <w:p w14:paraId="5D45AFEC" w14:textId="77777777" w:rsidR="00C13ABB" w:rsidRDefault="00513DC3">
            <w:pPr>
              <w:spacing w:before="20" w:after="20"/>
            </w:pPr>
            <w:r>
              <w:t>Top driver: Halt Probability (±$11.8M)</w:t>
            </w:r>
          </w:p>
          <w:p w14:paraId="557AD8A9" w14:textId="77777777" w:rsidR="00C13ABB" w:rsidRDefault="00513DC3">
            <w:pPr>
              <w:spacing w:before="20" w:after="20"/>
            </w:pPr>
            <w:r>
              <w:t>Second: Fine Severity (±$7.7M)</w:t>
            </w:r>
          </w:p>
          <w:p w14:paraId="64D6A2C2" w14:textId="15F839CF" w:rsidR="00C13ABB" w:rsidRDefault="00513DC3">
            <w:pPr>
              <w:spacing w:before="20" w:after="20"/>
            </w:pPr>
            <w:r>
              <w:lastRenderedPageBreak/>
              <w:t xml:space="preserve">Third: Delay Duration </w:t>
            </w:r>
            <w:r w:rsidR="006A120B">
              <w:t>(±$5.0M)</w:t>
            </w:r>
          </w:p>
        </w:tc>
        <w:tc>
          <w:tcPr>
            <w:tcW w:w="2500" w:type="dxa"/>
            <w:shd w:val="clear" w:color="auto" w:fill="FFFFFF"/>
            <w:tcMar>
              <w:top w:w="60" w:type="dxa"/>
              <w:left w:w="100" w:type="dxa"/>
              <w:bottom w:w="60" w:type="dxa"/>
              <w:right w:w="100" w:type="dxa"/>
            </w:tcMar>
          </w:tcPr>
          <w:p w14:paraId="192EE4BD" w14:textId="77777777" w:rsidR="00C13ABB" w:rsidRDefault="00513DC3">
            <w:pPr>
              <w:spacing w:before="20" w:after="20"/>
            </w:pPr>
            <w:r>
              <w:rPr>
                <w:b/>
                <w:bCs/>
              </w:rPr>
              <w:lastRenderedPageBreak/>
              <w:t>Monitor compliance findings KRI</w:t>
            </w:r>
          </w:p>
          <w:p w14:paraId="3709EE98" w14:textId="77777777" w:rsidR="00C13ABB" w:rsidRDefault="00513DC3">
            <w:pPr>
              <w:spacing w:before="20" w:after="20"/>
            </w:pPr>
            <w:r>
              <w:t>Dedicated compliance officer</w:t>
            </w:r>
          </w:p>
          <w:p w14:paraId="1312FF15" w14:textId="77777777" w:rsidR="00C13ABB" w:rsidRDefault="00513DC3">
            <w:pPr>
              <w:spacing w:before="20" w:after="20"/>
            </w:pPr>
            <w:r>
              <w:t>Automated regulatory monitoring</w:t>
            </w:r>
          </w:p>
        </w:tc>
        <w:tc>
          <w:tcPr>
            <w:tcW w:w="2020" w:type="dxa"/>
            <w:shd w:val="clear" w:color="auto" w:fill="FFFFFF"/>
            <w:tcMar>
              <w:top w:w="60" w:type="dxa"/>
              <w:left w:w="100" w:type="dxa"/>
              <w:bottom w:w="60" w:type="dxa"/>
              <w:right w:w="100" w:type="dxa"/>
            </w:tcMar>
          </w:tcPr>
          <w:p w14:paraId="5AD09581" w14:textId="77777777" w:rsidR="00C13ABB" w:rsidRDefault="00513DC3">
            <w:pPr>
              <w:spacing w:before="20" w:after="20"/>
            </w:pPr>
            <w:r>
              <w:t>Gradient boosting classifier predicting halt probability</w:t>
            </w:r>
          </w:p>
        </w:tc>
      </w:tr>
      <w:tr w:rsidR="00135B3B" w14:paraId="5CCEDBD1" w14:textId="77777777">
        <w:tc>
          <w:tcPr>
            <w:tcW w:w="1100" w:type="dxa"/>
            <w:shd w:val="clear" w:color="auto" w:fill="F8F8F8"/>
            <w:tcMar>
              <w:top w:w="60" w:type="dxa"/>
              <w:left w:w="100" w:type="dxa"/>
              <w:bottom w:w="60" w:type="dxa"/>
              <w:right w:w="100" w:type="dxa"/>
            </w:tcMar>
          </w:tcPr>
          <w:p w14:paraId="35892602" w14:textId="77777777" w:rsidR="00C13ABB" w:rsidRDefault="00513DC3">
            <w:pPr>
              <w:spacing w:before="20" w:after="20"/>
            </w:pPr>
            <w:r>
              <w:rPr>
                <w:b/>
                <w:bCs/>
              </w:rPr>
              <w:t>R3 First-Mover Capture</w:t>
            </w:r>
          </w:p>
          <w:p w14:paraId="6983F4DD" w14:textId="77777777" w:rsidR="00C13ABB" w:rsidRDefault="00513DC3">
            <w:pPr>
              <w:spacing w:before="20" w:after="20"/>
            </w:pPr>
            <w:r>
              <w:t>Score = 56</w:t>
            </w:r>
          </w:p>
          <w:p w14:paraId="0655AFD6" w14:textId="77777777" w:rsidR="00C13ABB" w:rsidRDefault="00513DC3">
            <w:pPr>
              <w:spacing w:before="20" w:after="20"/>
            </w:pPr>
            <w:r>
              <w:rPr>
                <w:b/>
                <w:bCs/>
              </w:rPr>
              <w:t>Priority: HIGH</w:t>
            </w:r>
          </w:p>
          <w:p w14:paraId="20474749" w14:textId="77777777" w:rsidR="00C13ABB" w:rsidRDefault="00513DC3">
            <w:pPr>
              <w:spacing w:before="20" w:after="20"/>
            </w:pPr>
            <w:r>
              <w:rPr>
                <w:b/>
                <w:bCs/>
              </w:rPr>
              <w:t>(Opportunity Risk)</w:t>
            </w:r>
          </w:p>
        </w:tc>
        <w:tc>
          <w:tcPr>
            <w:tcW w:w="1600" w:type="dxa"/>
            <w:shd w:val="clear" w:color="auto" w:fill="F8F8F8"/>
            <w:tcMar>
              <w:top w:w="60" w:type="dxa"/>
              <w:left w:w="100" w:type="dxa"/>
              <w:bottom w:w="60" w:type="dxa"/>
              <w:right w:w="100" w:type="dxa"/>
            </w:tcMar>
          </w:tcPr>
          <w:p w14:paraId="69868B3E" w14:textId="77777777" w:rsidR="00C13ABB" w:rsidRDefault="00513DC3">
            <w:pPr>
              <w:spacing w:before="20" w:after="20"/>
            </w:pPr>
            <w:r>
              <w:t>EMV Analysis</w:t>
            </w:r>
          </w:p>
          <w:p w14:paraId="6998AD8D" w14:textId="77777777" w:rsidR="00C13ABB" w:rsidRDefault="00513DC3">
            <w:pPr>
              <w:spacing w:before="20" w:after="20"/>
            </w:pPr>
            <w:r>
              <w:t>4 scenarios</w:t>
            </w:r>
          </w:p>
          <w:p w14:paraId="2146E6DF" w14:textId="77777777" w:rsidR="00C13ABB" w:rsidRDefault="00513DC3">
            <w:pPr>
              <w:spacing w:before="20" w:after="20"/>
            </w:pPr>
            <w:r>
              <w:t>P × Net Value</w:t>
            </w:r>
          </w:p>
        </w:tc>
        <w:tc>
          <w:tcPr>
            <w:tcW w:w="2500" w:type="dxa"/>
            <w:shd w:val="clear" w:color="auto" w:fill="F8F8F8"/>
            <w:tcMar>
              <w:top w:w="60" w:type="dxa"/>
              <w:left w:w="100" w:type="dxa"/>
              <w:bottom w:w="60" w:type="dxa"/>
              <w:right w:w="100" w:type="dxa"/>
            </w:tcMar>
          </w:tcPr>
          <w:p w14:paraId="3813BB06" w14:textId="77777777" w:rsidR="00C13ABB" w:rsidRDefault="00513DC3">
            <w:pPr>
              <w:spacing w:before="20" w:after="20"/>
            </w:pPr>
            <w:r>
              <w:rPr>
                <w:b/>
                <w:bCs/>
              </w:rPr>
              <w:t>Total EMV: CAD $187.1M</w:t>
            </w:r>
          </w:p>
          <w:p w14:paraId="67FAAFFE" w14:textId="77777777" w:rsidR="00C13ABB" w:rsidRDefault="00513DC3">
            <w:pPr>
              <w:spacing w:before="20" w:after="20"/>
            </w:pPr>
            <w:r>
              <w:t>Strong scenario: $168.0M</w:t>
            </w:r>
          </w:p>
          <w:p w14:paraId="173E82CF" w14:textId="77777777" w:rsidR="00C13ABB" w:rsidRDefault="00513DC3">
            <w:pPr>
              <w:spacing w:before="20" w:after="20"/>
            </w:pPr>
            <w:r>
              <w:t>Amber breach: −$150M</w:t>
            </w:r>
          </w:p>
          <w:p w14:paraId="542D0961" w14:textId="77777777" w:rsidR="00C13ABB" w:rsidRDefault="00513DC3">
            <w:pPr>
              <w:spacing w:before="20" w:after="20"/>
            </w:pPr>
            <w:r>
              <w:t>Red breach: −$165M</w:t>
            </w:r>
          </w:p>
        </w:tc>
        <w:tc>
          <w:tcPr>
            <w:tcW w:w="2500" w:type="dxa"/>
            <w:shd w:val="clear" w:color="auto" w:fill="F8F8F8"/>
            <w:tcMar>
              <w:top w:w="60" w:type="dxa"/>
              <w:left w:w="100" w:type="dxa"/>
              <w:bottom w:w="60" w:type="dxa"/>
              <w:right w:w="100" w:type="dxa"/>
            </w:tcMar>
          </w:tcPr>
          <w:p w14:paraId="5ECDA155" w14:textId="77777777" w:rsidR="00C13ABB" w:rsidRDefault="00513DC3">
            <w:pPr>
              <w:spacing w:before="20" w:after="20"/>
            </w:pPr>
            <w:r>
              <w:rPr>
                <w:b/>
                <w:bCs/>
              </w:rPr>
              <w:t>Actively pursue; CAD $187.1M EMV justifies continued strategic investment</w:t>
            </w:r>
          </w:p>
          <w:p w14:paraId="11B32494" w14:textId="77777777" w:rsidR="00C13ABB" w:rsidRDefault="00513DC3">
            <w:pPr>
              <w:spacing w:before="20" w:after="20"/>
            </w:pPr>
            <w:r>
              <w:t>Amber → marketing review</w:t>
            </w:r>
          </w:p>
          <w:p w14:paraId="208F0E6B" w14:textId="77777777" w:rsidR="00C13ABB" w:rsidRDefault="00513DC3">
            <w:pPr>
              <w:spacing w:before="20" w:after="20"/>
            </w:pPr>
            <w:r>
              <w:t>Red → CEO/Board reset</w:t>
            </w:r>
          </w:p>
        </w:tc>
        <w:tc>
          <w:tcPr>
            <w:tcW w:w="2020" w:type="dxa"/>
            <w:shd w:val="clear" w:color="auto" w:fill="F8F8F8"/>
            <w:tcMar>
              <w:top w:w="60" w:type="dxa"/>
              <w:left w:w="100" w:type="dxa"/>
              <w:bottom w:w="60" w:type="dxa"/>
              <w:right w:w="100" w:type="dxa"/>
            </w:tcMar>
          </w:tcPr>
          <w:p w14:paraId="2B28F1BE" w14:textId="77777777" w:rsidR="00C13ABB" w:rsidRDefault="00513DC3">
            <w:pPr>
              <w:spacing w:before="20" w:after="20"/>
            </w:pPr>
            <w:r>
              <w:t>LSTM time-series forecasting monthly adoption rate</w:t>
            </w:r>
          </w:p>
        </w:tc>
      </w:tr>
    </w:tbl>
    <w:p w14:paraId="06D3B9F2" w14:textId="77777777" w:rsidR="00C13ABB" w:rsidRDefault="00513DC3">
      <w:pPr>
        <w:spacing w:before="40" w:after="100"/>
        <w:jc w:val="center"/>
      </w:pPr>
      <w:r>
        <w:rPr>
          <w:i/>
          <w:iCs/>
          <w:color w:val="444444"/>
          <w:sz w:val="16"/>
          <w:szCs w:val="16"/>
        </w:rPr>
        <w:t>Table 5. Developed by Group 7 using the ALY6130 Risk Register, Risk Calculation Sheet, Monte Carlo simulation outputs, sensitivity analysis results, and EMV calculations (Spring 2026).</w:t>
      </w:r>
    </w:p>
    <w:p w14:paraId="39A041A7" w14:textId="77777777" w:rsidR="00C13ABB" w:rsidRDefault="00C13ABB"/>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1930"/>
        <w:gridCol w:w="998"/>
        <w:gridCol w:w="1030"/>
        <w:gridCol w:w="1130"/>
        <w:gridCol w:w="1793"/>
        <w:gridCol w:w="1779"/>
      </w:tblGrid>
      <w:tr w:rsidR="00135B3B" w14:paraId="6C217C1D" w14:textId="77777777">
        <w:tc>
          <w:tcPr>
            <w:tcW w:w="1000" w:type="dxa"/>
            <w:shd w:val="clear" w:color="auto" w:fill="000000"/>
            <w:tcMar>
              <w:top w:w="60" w:type="dxa"/>
              <w:left w:w="100" w:type="dxa"/>
              <w:bottom w:w="60" w:type="dxa"/>
              <w:right w:w="100" w:type="dxa"/>
            </w:tcMar>
            <w:vAlign w:val="center"/>
          </w:tcPr>
          <w:p w14:paraId="54037710" w14:textId="77777777" w:rsidR="00C13ABB" w:rsidRDefault="00513DC3">
            <w:pPr>
              <w:jc w:val="center"/>
            </w:pPr>
            <w:r>
              <w:rPr>
                <w:b/>
                <w:bCs/>
                <w:color w:val="FFFFFF"/>
              </w:rPr>
              <w:t>Risk</w:t>
            </w:r>
          </w:p>
        </w:tc>
        <w:tc>
          <w:tcPr>
            <w:tcW w:w="2000" w:type="dxa"/>
            <w:shd w:val="clear" w:color="auto" w:fill="000000"/>
            <w:tcMar>
              <w:top w:w="60" w:type="dxa"/>
              <w:left w:w="100" w:type="dxa"/>
              <w:bottom w:w="60" w:type="dxa"/>
              <w:right w:w="100" w:type="dxa"/>
            </w:tcMar>
            <w:vAlign w:val="center"/>
          </w:tcPr>
          <w:p w14:paraId="23FB8106" w14:textId="77777777" w:rsidR="00C13ABB" w:rsidRDefault="00513DC3">
            <w:pPr>
              <w:jc w:val="center"/>
            </w:pPr>
            <w:r>
              <w:rPr>
                <w:b/>
                <w:bCs/>
                <w:color w:val="FFFFFF"/>
              </w:rPr>
              <w:t>KRI (Leading Indicator)</w:t>
            </w:r>
          </w:p>
        </w:tc>
        <w:tc>
          <w:tcPr>
            <w:tcW w:w="1000" w:type="dxa"/>
            <w:shd w:val="clear" w:color="auto" w:fill="000000"/>
            <w:tcMar>
              <w:top w:w="60" w:type="dxa"/>
              <w:left w:w="100" w:type="dxa"/>
              <w:bottom w:w="60" w:type="dxa"/>
              <w:right w:w="100" w:type="dxa"/>
            </w:tcMar>
            <w:vAlign w:val="center"/>
          </w:tcPr>
          <w:p w14:paraId="02917F5A" w14:textId="77777777" w:rsidR="00C13ABB" w:rsidRDefault="00513DC3">
            <w:pPr>
              <w:jc w:val="center"/>
            </w:pPr>
            <w:r>
              <w:rPr>
                <w:b/>
                <w:bCs/>
                <w:color w:val="FFFFFF"/>
              </w:rPr>
              <w:t>GREEN (Within Appetite)</w:t>
            </w:r>
          </w:p>
        </w:tc>
        <w:tc>
          <w:tcPr>
            <w:tcW w:w="1000" w:type="dxa"/>
            <w:shd w:val="clear" w:color="auto" w:fill="000000"/>
            <w:tcMar>
              <w:top w:w="60" w:type="dxa"/>
              <w:left w:w="100" w:type="dxa"/>
              <w:bottom w:w="60" w:type="dxa"/>
              <w:right w:w="100" w:type="dxa"/>
            </w:tcMar>
            <w:vAlign w:val="center"/>
          </w:tcPr>
          <w:p w14:paraId="22CF4DB4" w14:textId="77777777" w:rsidR="00C13ABB" w:rsidRDefault="00513DC3">
            <w:pPr>
              <w:jc w:val="center"/>
            </w:pPr>
            <w:r>
              <w:rPr>
                <w:b/>
                <w:bCs/>
                <w:color w:val="FFFFFF"/>
              </w:rPr>
              <w:t>AMBER (Tolerance Breach)</w:t>
            </w:r>
          </w:p>
        </w:tc>
        <w:tc>
          <w:tcPr>
            <w:tcW w:w="1000" w:type="dxa"/>
            <w:shd w:val="clear" w:color="auto" w:fill="000000"/>
            <w:tcMar>
              <w:top w:w="60" w:type="dxa"/>
              <w:left w:w="100" w:type="dxa"/>
              <w:bottom w:w="60" w:type="dxa"/>
              <w:right w:w="100" w:type="dxa"/>
            </w:tcMar>
            <w:vAlign w:val="center"/>
          </w:tcPr>
          <w:p w14:paraId="05E4BA1A" w14:textId="77777777" w:rsidR="00C13ABB" w:rsidRDefault="00513DC3">
            <w:pPr>
              <w:jc w:val="center"/>
            </w:pPr>
            <w:r>
              <w:rPr>
                <w:b/>
                <w:bCs/>
                <w:color w:val="FFFFFF"/>
              </w:rPr>
              <w:t>RED (Appetite Breach)</w:t>
            </w:r>
          </w:p>
        </w:tc>
        <w:tc>
          <w:tcPr>
            <w:tcW w:w="1860" w:type="dxa"/>
            <w:shd w:val="clear" w:color="auto" w:fill="000000"/>
            <w:tcMar>
              <w:top w:w="60" w:type="dxa"/>
              <w:left w:w="100" w:type="dxa"/>
              <w:bottom w:w="60" w:type="dxa"/>
              <w:right w:w="100" w:type="dxa"/>
            </w:tcMar>
            <w:vAlign w:val="center"/>
          </w:tcPr>
          <w:p w14:paraId="32C43B68" w14:textId="77777777" w:rsidR="00C13ABB" w:rsidRDefault="00513DC3">
            <w:pPr>
              <w:jc w:val="center"/>
            </w:pPr>
            <w:r>
              <w:rPr>
                <w:b/>
                <w:bCs/>
                <w:color w:val="FFFFFF"/>
              </w:rPr>
              <w:t>Management Response</w:t>
            </w:r>
          </w:p>
        </w:tc>
        <w:tc>
          <w:tcPr>
            <w:tcW w:w="1860" w:type="dxa"/>
            <w:shd w:val="clear" w:color="auto" w:fill="000000"/>
            <w:tcMar>
              <w:top w:w="60" w:type="dxa"/>
              <w:left w:w="100" w:type="dxa"/>
              <w:bottom w:w="60" w:type="dxa"/>
              <w:right w:w="100" w:type="dxa"/>
            </w:tcMar>
            <w:vAlign w:val="center"/>
          </w:tcPr>
          <w:p w14:paraId="2D27D4F5" w14:textId="77777777" w:rsidR="00C13ABB" w:rsidRDefault="00513DC3">
            <w:pPr>
              <w:jc w:val="center"/>
            </w:pPr>
            <w:r>
              <w:rPr>
                <w:b/>
                <w:bCs/>
                <w:color w:val="FFFFFF"/>
              </w:rPr>
              <w:t>KRI Owner</w:t>
            </w:r>
          </w:p>
        </w:tc>
      </w:tr>
      <w:tr w:rsidR="00135B3B" w14:paraId="441766FC" w14:textId="77777777">
        <w:tc>
          <w:tcPr>
            <w:tcW w:w="1000" w:type="dxa"/>
            <w:shd w:val="clear" w:color="auto" w:fill="F8F8F8"/>
            <w:tcMar>
              <w:top w:w="60" w:type="dxa"/>
              <w:left w:w="100" w:type="dxa"/>
              <w:bottom w:w="60" w:type="dxa"/>
              <w:right w:w="100" w:type="dxa"/>
            </w:tcMar>
          </w:tcPr>
          <w:p w14:paraId="5BA35ED1" w14:textId="77777777" w:rsidR="00C13ABB" w:rsidRDefault="00513DC3">
            <w:r>
              <w:rPr>
                <w:b/>
                <w:bCs/>
                <w:color w:val="000000"/>
              </w:rPr>
              <w:t>R1 Data Privacy Breach</w:t>
            </w:r>
          </w:p>
        </w:tc>
        <w:tc>
          <w:tcPr>
            <w:tcW w:w="2000" w:type="dxa"/>
            <w:shd w:val="clear" w:color="auto" w:fill="F8F8F8"/>
            <w:tcMar>
              <w:top w:w="60" w:type="dxa"/>
              <w:left w:w="100" w:type="dxa"/>
              <w:bottom w:w="60" w:type="dxa"/>
              <w:right w:w="100" w:type="dxa"/>
            </w:tcMar>
          </w:tcPr>
          <w:p w14:paraId="2579628D" w14:textId="77777777" w:rsidR="00C13ABB" w:rsidRDefault="00513DC3">
            <w:r>
              <w:rPr>
                <w:color w:val="000000"/>
              </w:rPr>
              <w:t>No. of critical security vulnerabilities unpatched beyond 72 hours</w:t>
            </w:r>
          </w:p>
        </w:tc>
        <w:tc>
          <w:tcPr>
            <w:tcW w:w="1000" w:type="dxa"/>
            <w:shd w:val="clear" w:color="auto" w:fill="F8F8F8"/>
            <w:tcMar>
              <w:top w:w="60" w:type="dxa"/>
              <w:left w:w="100" w:type="dxa"/>
              <w:bottom w:w="60" w:type="dxa"/>
              <w:right w:w="100" w:type="dxa"/>
            </w:tcMar>
          </w:tcPr>
          <w:p w14:paraId="3CC680E8" w14:textId="77777777" w:rsidR="00C13ABB" w:rsidRDefault="00513DC3">
            <w:r>
              <w:rPr>
                <w:color w:val="000000"/>
              </w:rPr>
              <w:t>Zero unpatched. No escalation.</w:t>
            </w:r>
          </w:p>
        </w:tc>
        <w:tc>
          <w:tcPr>
            <w:tcW w:w="1000" w:type="dxa"/>
            <w:shd w:val="clear" w:color="auto" w:fill="F8F8F8"/>
            <w:tcMar>
              <w:top w:w="60" w:type="dxa"/>
              <w:left w:w="100" w:type="dxa"/>
              <w:bottom w:w="60" w:type="dxa"/>
              <w:right w:w="100" w:type="dxa"/>
            </w:tcMar>
          </w:tcPr>
          <w:p w14:paraId="264C1B46" w14:textId="77777777" w:rsidR="00C13ABB" w:rsidRDefault="00513DC3">
            <w:r>
              <w:rPr>
                <w:color w:val="000000"/>
              </w:rPr>
              <w:t>1 unpatched &gt;72 hrs.</w:t>
            </w:r>
          </w:p>
        </w:tc>
        <w:tc>
          <w:tcPr>
            <w:tcW w:w="1000" w:type="dxa"/>
            <w:shd w:val="clear" w:color="auto" w:fill="F8F8F8"/>
            <w:tcMar>
              <w:top w:w="60" w:type="dxa"/>
              <w:left w:w="100" w:type="dxa"/>
              <w:bottom w:w="60" w:type="dxa"/>
              <w:right w:w="100" w:type="dxa"/>
            </w:tcMar>
          </w:tcPr>
          <w:p w14:paraId="50BF21D9" w14:textId="77777777" w:rsidR="00C13ABB" w:rsidRDefault="00513DC3">
            <w:r>
              <w:rPr>
                <w:color w:val="000000"/>
              </w:rPr>
              <w:t>2+ unpatched OR confirmed unauthorised access.</w:t>
            </w:r>
          </w:p>
        </w:tc>
        <w:tc>
          <w:tcPr>
            <w:tcW w:w="1860" w:type="dxa"/>
            <w:shd w:val="clear" w:color="auto" w:fill="F8F8F8"/>
            <w:tcMar>
              <w:top w:w="60" w:type="dxa"/>
              <w:left w:w="100" w:type="dxa"/>
              <w:bottom w:w="60" w:type="dxa"/>
              <w:right w:w="100" w:type="dxa"/>
            </w:tcMar>
          </w:tcPr>
          <w:p w14:paraId="4F825E5E" w14:textId="77777777" w:rsidR="00C13ABB" w:rsidRDefault="00513DC3">
            <w:r>
              <w:rPr>
                <w:color w:val="000000"/>
              </w:rPr>
              <w:t>AMBER: CISO notified; weekly reporting. RED: CEO/Board escalation; integration paused; CIRT activated.</w:t>
            </w:r>
          </w:p>
        </w:tc>
        <w:tc>
          <w:tcPr>
            <w:tcW w:w="1860" w:type="dxa"/>
            <w:shd w:val="clear" w:color="auto" w:fill="F8F8F8"/>
            <w:tcMar>
              <w:top w:w="60" w:type="dxa"/>
              <w:left w:w="100" w:type="dxa"/>
              <w:bottom w:w="60" w:type="dxa"/>
              <w:right w:w="100" w:type="dxa"/>
            </w:tcMar>
          </w:tcPr>
          <w:p w14:paraId="576B2280" w14:textId="77777777" w:rsidR="00C13ABB" w:rsidRDefault="00513DC3">
            <w:r>
              <w:rPr>
                <w:color w:val="000000"/>
              </w:rPr>
              <w:t>CISO / CCO</w:t>
            </w:r>
          </w:p>
        </w:tc>
      </w:tr>
      <w:tr w:rsidR="00135B3B" w14:paraId="1B77AC9B" w14:textId="77777777">
        <w:tc>
          <w:tcPr>
            <w:tcW w:w="1000" w:type="dxa"/>
            <w:shd w:val="clear" w:color="auto" w:fill="FFFFFF"/>
            <w:tcMar>
              <w:top w:w="60" w:type="dxa"/>
              <w:left w:w="100" w:type="dxa"/>
              <w:bottom w:w="60" w:type="dxa"/>
              <w:right w:w="100" w:type="dxa"/>
            </w:tcMar>
          </w:tcPr>
          <w:p w14:paraId="50D6AD42" w14:textId="77777777" w:rsidR="00C13ABB" w:rsidRDefault="00513DC3">
            <w:r>
              <w:rPr>
                <w:b/>
                <w:bCs/>
                <w:color w:val="000000"/>
              </w:rPr>
              <w:t>R2 Regulatory Exposure</w:t>
            </w:r>
          </w:p>
        </w:tc>
        <w:tc>
          <w:tcPr>
            <w:tcW w:w="2000" w:type="dxa"/>
            <w:shd w:val="clear" w:color="auto" w:fill="FFFFFF"/>
            <w:tcMar>
              <w:top w:w="60" w:type="dxa"/>
              <w:left w:w="100" w:type="dxa"/>
              <w:bottom w:w="60" w:type="dxa"/>
              <w:right w:w="100" w:type="dxa"/>
            </w:tcMar>
          </w:tcPr>
          <w:p w14:paraId="56C1A367" w14:textId="77777777" w:rsidR="00C13ABB" w:rsidRDefault="00513DC3">
            <w:r>
              <w:rPr>
                <w:color w:val="000000"/>
              </w:rPr>
              <w:t>No. of open compliance findings or unimplemented regulatory changes older than 30 days</w:t>
            </w:r>
          </w:p>
        </w:tc>
        <w:tc>
          <w:tcPr>
            <w:tcW w:w="1000" w:type="dxa"/>
            <w:shd w:val="clear" w:color="auto" w:fill="FFFFFF"/>
            <w:tcMar>
              <w:top w:w="60" w:type="dxa"/>
              <w:left w:w="100" w:type="dxa"/>
              <w:bottom w:w="60" w:type="dxa"/>
              <w:right w:w="100" w:type="dxa"/>
            </w:tcMar>
          </w:tcPr>
          <w:p w14:paraId="5DA68BDF" w14:textId="77777777" w:rsidR="00C13ABB" w:rsidRDefault="00513DC3">
            <w:r>
              <w:rPr>
                <w:color w:val="000000"/>
              </w:rPr>
              <w:t>Zero open. Licences on schedule.</w:t>
            </w:r>
          </w:p>
        </w:tc>
        <w:tc>
          <w:tcPr>
            <w:tcW w:w="1000" w:type="dxa"/>
            <w:shd w:val="clear" w:color="auto" w:fill="FFFFFF"/>
            <w:tcMar>
              <w:top w:w="60" w:type="dxa"/>
              <w:left w:w="100" w:type="dxa"/>
              <w:bottom w:w="60" w:type="dxa"/>
              <w:right w:w="100" w:type="dxa"/>
            </w:tcMar>
          </w:tcPr>
          <w:p w14:paraId="5950C19A" w14:textId="77777777" w:rsidR="00C13ABB" w:rsidRDefault="00513DC3">
            <w:r>
              <w:rPr>
                <w:color w:val="000000"/>
              </w:rPr>
              <w:t>1–2 open findings &gt;30 days.</w:t>
            </w:r>
          </w:p>
        </w:tc>
        <w:tc>
          <w:tcPr>
            <w:tcW w:w="1000" w:type="dxa"/>
            <w:shd w:val="clear" w:color="auto" w:fill="FFFFFF"/>
            <w:tcMar>
              <w:top w:w="60" w:type="dxa"/>
              <w:left w:w="100" w:type="dxa"/>
              <w:bottom w:w="60" w:type="dxa"/>
              <w:right w:w="100" w:type="dxa"/>
            </w:tcMar>
          </w:tcPr>
          <w:p w14:paraId="0A2017C0" w14:textId="77777777" w:rsidR="00C13ABB" w:rsidRDefault="00513DC3">
            <w:r>
              <w:rPr>
                <w:color w:val="000000"/>
              </w:rPr>
              <w:t>3+ unresolved OR formal regulatory inquiry.</w:t>
            </w:r>
          </w:p>
        </w:tc>
        <w:tc>
          <w:tcPr>
            <w:tcW w:w="1860" w:type="dxa"/>
            <w:shd w:val="clear" w:color="auto" w:fill="FFFFFF"/>
            <w:tcMar>
              <w:top w:w="60" w:type="dxa"/>
              <w:left w:w="100" w:type="dxa"/>
              <w:bottom w:w="60" w:type="dxa"/>
              <w:right w:w="100" w:type="dxa"/>
            </w:tcMar>
          </w:tcPr>
          <w:p w14:paraId="0C3BDC52" w14:textId="77777777" w:rsidR="00C13ABB" w:rsidRDefault="00513DC3">
            <w:r>
              <w:rPr>
                <w:color w:val="000000"/>
              </w:rPr>
              <w:t>AMBER: Compliance committee convened; monthly board reporting. RED: CEO/Board; sales halted in affected provinces.</w:t>
            </w:r>
          </w:p>
        </w:tc>
        <w:tc>
          <w:tcPr>
            <w:tcW w:w="1860" w:type="dxa"/>
            <w:shd w:val="clear" w:color="auto" w:fill="FFFFFF"/>
            <w:tcMar>
              <w:top w:w="60" w:type="dxa"/>
              <w:left w:w="100" w:type="dxa"/>
              <w:bottom w:w="60" w:type="dxa"/>
              <w:right w:w="100" w:type="dxa"/>
            </w:tcMar>
          </w:tcPr>
          <w:p w14:paraId="6F7FF8C6" w14:textId="77777777" w:rsidR="00C13ABB" w:rsidRDefault="00513DC3">
            <w:r>
              <w:rPr>
                <w:color w:val="000000"/>
              </w:rPr>
              <w:t>Chief Compliance Officer</w:t>
            </w:r>
          </w:p>
        </w:tc>
      </w:tr>
      <w:tr w:rsidR="00135B3B" w14:paraId="78C99E49" w14:textId="77777777">
        <w:tc>
          <w:tcPr>
            <w:tcW w:w="1000" w:type="dxa"/>
            <w:shd w:val="clear" w:color="auto" w:fill="F8F8F8"/>
            <w:tcMar>
              <w:top w:w="60" w:type="dxa"/>
              <w:left w:w="100" w:type="dxa"/>
              <w:bottom w:w="60" w:type="dxa"/>
              <w:right w:w="100" w:type="dxa"/>
            </w:tcMar>
          </w:tcPr>
          <w:p w14:paraId="592586B5" w14:textId="77777777" w:rsidR="00C13ABB" w:rsidRDefault="00513DC3">
            <w:r>
              <w:rPr>
                <w:b/>
                <w:bCs/>
                <w:color w:val="000000"/>
              </w:rPr>
              <w:t>R3 First-Mover Capture</w:t>
            </w:r>
          </w:p>
        </w:tc>
        <w:tc>
          <w:tcPr>
            <w:tcW w:w="2000" w:type="dxa"/>
            <w:shd w:val="clear" w:color="auto" w:fill="F8F8F8"/>
            <w:tcMar>
              <w:top w:w="60" w:type="dxa"/>
              <w:left w:w="100" w:type="dxa"/>
              <w:bottom w:w="60" w:type="dxa"/>
              <w:right w:w="100" w:type="dxa"/>
            </w:tcMar>
          </w:tcPr>
          <w:p w14:paraId="0FADA3C6" w14:textId="77777777" w:rsidR="00C13ABB" w:rsidRDefault="00513DC3">
            <w:r>
              <w:rPr>
                <w:color w:val="000000"/>
              </w:rPr>
              <w:t>Monthly digital insurance client adoption rate (% of active CIBC digital banking clients)</w:t>
            </w:r>
          </w:p>
        </w:tc>
        <w:tc>
          <w:tcPr>
            <w:tcW w:w="1000" w:type="dxa"/>
            <w:shd w:val="clear" w:color="auto" w:fill="F8F8F8"/>
            <w:tcMar>
              <w:top w:w="60" w:type="dxa"/>
              <w:left w:w="100" w:type="dxa"/>
              <w:bottom w:w="60" w:type="dxa"/>
              <w:right w:w="100" w:type="dxa"/>
            </w:tcMar>
          </w:tcPr>
          <w:p w14:paraId="1370AA7D" w14:textId="77777777" w:rsidR="00C13ABB" w:rsidRDefault="00513DC3">
            <w:r>
              <w:rPr>
                <w:color w:val="000000"/>
              </w:rPr>
              <w:t>Adoption &gt;5% at 12 months; no competitor launch.</w:t>
            </w:r>
          </w:p>
        </w:tc>
        <w:tc>
          <w:tcPr>
            <w:tcW w:w="1000" w:type="dxa"/>
            <w:shd w:val="clear" w:color="auto" w:fill="F8F8F8"/>
            <w:tcMar>
              <w:top w:w="60" w:type="dxa"/>
              <w:left w:w="100" w:type="dxa"/>
              <w:bottom w:w="60" w:type="dxa"/>
              <w:right w:w="100" w:type="dxa"/>
            </w:tcMar>
          </w:tcPr>
          <w:p w14:paraId="644942CB" w14:textId="77777777" w:rsidR="00C13ABB" w:rsidRDefault="00513DC3">
            <w:r>
              <w:rPr>
                <w:color w:val="000000"/>
              </w:rPr>
              <w:t>Adoption 2–5% at 12 months OR TD/RBC announces go-live within 6 months.</w:t>
            </w:r>
          </w:p>
        </w:tc>
        <w:tc>
          <w:tcPr>
            <w:tcW w:w="1000" w:type="dxa"/>
            <w:shd w:val="clear" w:color="auto" w:fill="F8F8F8"/>
            <w:tcMar>
              <w:top w:w="60" w:type="dxa"/>
              <w:left w:w="100" w:type="dxa"/>
              <w:bottom w:w="60" w:type="dxa"/>
              <w:right w:w="100" w:type="dxa"/>
            </w:tcMar>
          </w:tcPr>
          <w:p w14:paraId="6994473A" w14:textId="77777777" w:rsidR="00C13ABB" w:rsidRDefault="00513DC3">
            <w:r>
              <w:rPr>
                <w:color w:val="000000"/>
              </w:rPr>
              <w:t>Adoption &lt;2% OR TD/RBC launches before CIBC.</w:t>
            </w:r>
          </w:p>
        </w:tc>
        <w:tc>
          <w:tcPr>
            <w:tcW w:w="1860" w:type="dxa"/>
            <w:shd w:val="clear" w:color="auto" w:fill="F8F8F8"/>
            <w:tcMar>
              <w:top w:w="60" w:type="dxa"/>
              <w:left w:w="100" w:type="dxa"/>
              <w:bottom w:w="60" w:type="dxa"/>
              <w:right w:w="100" w:type="dxa"/>
            </w:tcMar>
          </w:tcPr>
          <w:p w14:paraId="787D61F8" w14:textId="77777777" w:rsidR="00C13ABB" w:rsidRDefault="00513DC3">
            <w:r>
              <w:rPr>
                <w:color w:val="000000"/>
              </w:rPr>
              <w:t>AMBER: Emergency marketing review. RED: CEO/Board strategy reset; additional investment authorised.</w:t>
            </w:r>
          </w:p>
        </w:tc>
        <w:tc>
          <w:tcPr>
            <w:tcW w:w="1860" w:type="dxa"/>
            <w:shd w:val="clear" w:color="auto" w:fill="F8F8F8"/>
            <w:tcMar>
              <w:top w:w="60" w:type="dxa"/>
              <w:left w:w="100" w:type="dxa"/>
              <w:bottom w:w="60" w:type="dxa"/>
              <w:right w:w="100" w:type="dxa"/>
            </w:tcMar>
          </w:tcPr>
          <w:p w14:paraId="7D24687E" w14:textId="77777777" w:rsidR="00C13ABB" w:rsidRDefault="00513DC3">
            <w:r>
              <w:rPr>
                <w:color w:val="000000"/>
              </w:rPr>
              <w:t>CSO / CFO</w:t>
            </w:r>
          </w:p>
        </w:tc>
      </w:tr>
    </w:tbl>
    <w:p w14:paraId="69CA41BD" w14:textId="77777777" w:rsidR="00C13ABB" w:rsidRDefault="00513DC3">
      <w:pPr>
        <w:spacing w:before="40" w:after="100"/>
        <w:jc w:val="center"/>
      </w:pPr>
      <w:r>
        <w:rPr>
          <w:i/>
          <w:iCs/>
          <w:color w:val="444444"/>
          <w:sz w:val="16"/>
          <w:szCs w:val="16"/>
        </w:rPr>
        <w:t>Table 6. KRI Framework with Trigger Points. Source: Group 7 Risk Register and RT&amp;RP, ALY6130, Spring 2026.</w:t>
      </w:r>
    </w:p>
    <w:p w14:paraId="0F48ED2B" w14:textId="2F823BCA" w:rsidR="00C13ABB" w:rsidRDefault="00C13ABB"/>
    <w:p w14:paraId="5852CF01" w14:textId="77777777" w:rsidR="003C1C66" w:rsidRPr="003C1C66" w:rsidRDefault="003C1C66" w:rsidP="003C1C66">
      <w:pPr>
        <w:rPr>
          <w:b/>
          <w:bCs/>
          <w:sz w:val="24"/>
          <w:szCs w:val="24"/>
        </w:rPr>
      </w:pPr>
      <w:r w:rsidRPr="003C1C66">
        <w:rPr>
          <w:b/>
          <w:bCs/>
          <w:sz w:val="24"/>
          <w:szCs w:val="24"/>
        </w:rPr>
        <w:t>5. RISK RESPONSE STRATEGY</w:t>
      </w:r>
    </w:p>
    <w:p w14:paraId="7BDC2FFA" w14:textId="77777777" w:rsidR="003C1C66" w:rsidRDefault="003C1C66" w:rsidP="003C1C66">
      <w:pPr>
        <w:pStyle w:val="NormalWeb"/>
        <w:spacing w:before="0" w:beforeAutospacing="0"/>
        <w:jc w:val="both"/>
      </w:pPr>
      <w:r>
        <w:t>Risk response strategy was developed in accordance with the Module 5 framework, which distinguishes between negative risk response strategies (avoid, transfer, mitigate, accept) and positive risk response strategies (exploit, share, enhance, accept). All three risks are classified as High priority and require active management. The risk owner, defined as the person closest to the risk and most capable of detecting when it becomes an issue, is explicitly assigned for each risk (COSO, 2010).</w:t>
      </w:r>
    </w:p>
    <w:p w14:paraId="49298920" w14:textId="04DBD674" w:rsidR="003C1C66" w:rsidRDefault="003C1C66" w:rsidP="003C1C66"/>
    <w:p w14:paraId="597E5B7A" w14:textId="77777777" w:rsidR="003C1C66" w:rsidRPr="003C1C66" w:rsidRDefault="003C1C66" w:rsidP="003C1C66">
      <w:pPr>
        <w:rPr>
          <w:b/>
          <w:bCs/>
          <w:sz w:val="24"/>
          <w:szCs w:val="24"/>
        </w:rPr>
      </w:pPr>
      <w:r w:rsidRPr="003C1C66">
        <w:rPr>
          <w:b/>
          <w:bCs/>
          <w:sz w:val="24"/>
          <w:szCs w:val="24"/>
        </w:rPr>
        <w:t>5.1 R1 — Data Privacy Breach: Mitigate</w:t>
      </w:r>
    </w:p>
    <w:p w14:paraId="5F8842C4" w14:textId="024057C6" w:rsidR="003C1C66" w:rsidRDefault="003C1C66" w:rsidP="00B20495">
      <w:pPr>
        <w:pStyle w:val="NormalWeb"/>
        <w:spacing w:after="0" w:afterAutospacing="0"/>
        <w:jc w:val="both"/>
      </w:pPr>
      <w:r>
        <w:rPr>
          <w:rStyle w:val="Strong"/>
        </w:rPr>
        <w:t>Response Strategy:</w:t>
      </w:r>
      <w:r>
        <w:t xml:space="preserve"> Mitigate. CIBC cannot fully avoid this risk because the combined data environment is an inherent feature of the acquisition. Cyber insurance is recommended as a supplementary transfer measure. Mitigation through layered security controls is the primary response.</w:t>
      </w:r>
    </w:p>
    <w:p w14:paraId="062ED2F1" w14:textId="77777777" w:rsidR="003C1C66" w:rsidRDefault="003C1C66" w:rsidP="00B20495">
      <w:pPr>
        <w:pStyle w:val="NormalWeb"/>
        <w:spacing w:before="0" w:beforeAutospacing="0" w:after="0" w:afterAutospacing="0"/>
        <w:jc w:val="both"/>
      </w:pPr>
    </w:p>
    <w:p w14:paraId="725FCDAF" w14:textId="77777777" w:rsidR="00B20495" w:rsidRDefault="00B20495" w:rsidP="003C1C66">
      <w:pPr>
        <w:pStyle w:val="NormalWeb"/>
        <w:spacing w:before="0" w:beforeAutospacing="0" w:after="0" w:afterAutospacing="0"/>
        <w:rPr>
          <w:rStyle w:val="Strong"/>
        </w:rPr>
      </w:pPr>
    </w:p>
    <w:p w14:paraId="0976452E" w14:textId="445D5A75" w:rsidR="003C1C66" w:rsidRDefault="003C1C66" w:rsidP="00B20495">
      <w:pPr>
        <w:pStyle w:val="NormalWeb"/>
        <w:spacing w:before="0" w:beforeAutospacing="0" w:after="0" w:afterAutospacing="0"/>
        <w:jc w:val="both"/>
      </w:pPr>
      <w:r>
        <w:rPr>
          <w:rStyle w:val="Strong"/>
        </w:rPr>
        <w:t>Root Cause:</w:t>
      </w:r>
      <w:r>
        <w:t xml:space="preserve"> </w:t>
      </w:r>
      <w:r w:rsidR="00B20495">
        <w:t xml:space="preserve"> </w:t>
      </w:r>
      <w:r>
        <w:t>Inadequate security controls during the integration window, specifically the period when CIBC's banking infrastructure and the cloud-native insurance platform are simultaneously connected and being configured. This is the highest-risk period and requires heightened controls as a distinct project phase.</w:t>
      </w:r>
    </w:p>
    <w:p w14:paraId="19489F60" w14:textId="77777777" w:rsidR="003C1C66" w:rsidRPr="003C1C66" w:rsidRDefault="003C1C66" w:rsidP="00B20495">
      <w:pPr>
        <w:pStyle w:val="NormalWeb"/>
        <w:jc w:val="both"/>
      </w:pPr>
      <w:r w:rsidRPr="003C1C66">
        <w:rPr>
          <w:rStyle w:val="Strong"/>
        </w:rPr>
        <w:t>Mitigation Actions:</w:t>
      </w:r>
    </w:p>
    <w:p w14:paraId="1216D90E" w14:textId="77777777" w:rsidR="003C1C66" w:rsidRPr="003C1C66" w:rsidRDefault="003C1C66" w:rsidP="00F95627">
      <w:pPr>
        <w:numPr>
          <w:ilvl w:val="0"/>
          <w:numId w:val="4"/>
        </w:numPr>
        <w:spacing w:before="100" w:beforeAutospacing="1" w:after="100" w:afterAutospacing="1"/>
        <w:jc w:val="both"/>
        <w:rPr>
          <w:sz w:val="24"/>
          <w:szCs w:val="24"/>
        </w:rPr>
      </w:pPr>
      <w:r w:rsidRPr="003C1C66">
        <w:rPr>
          <w:sz w:val="24"/>
          <w:szCs w:val="24"/>
        </w:rPr>
        <w:t xml:space="preserve">Deploy zero-trust network architecture across the integrated environment before go-live. </w:t>
      </w:r>
    </w:p>
    <w:p w14:paraId="1191A3E3" w14:textId="77777777" w:rsidR="003C1C66" w:rsidRPr="003C1C66" w:rsidRDefault="003C1C66" w:rsidP="00F95627">
      <w:pPr>
        <w:numPr>
          <w:ilvl w:val="0"/>
          <w:numId w:val="4"/>
        </w:numPr>
        <w:spacing w:before="100" w:beforeAutospacing="1" w:after="100" w:afterAutospacing="1"/>
        <w:jc w:val="both"/>
        <w:rPr>
          <w:sz w:val="24"/>
          <w:szCs w:val="24"/>
        </w:rPr>
      </w:pPr>
      <w:r w:rsidRPr="003C1C66">
        <w:rPr>
          <w:sz w:val="24"/>
          <w:szCs w:val="24"/>
        </w:rPr>
        <w:t xml:space="preserve">Complete a Privacy Impact Assessment (PIA) before launch to confirm PIPEDA compliance. </w:t>
      </w:r>
    </w:p>
    <w:p w14:paraId="1B48FEFA" w14:textId="77777777" w:rsidR="003C1C66" w:rsidRPr="003C1C66" w:rsidRDefault="003C1C66" w:rsidP="00F95627">
      <w:pPr>
        <w:numPr>
          <w:ilvl w:val="0"/>
          <w:numId w:val="4"/>
        </w:numPr>
        <w:spacing w:before="100" w:beforeAutospacing="1" w:after="100" w:afterAutospacing="1"/>
        <w:jc w:val="both"/>
        <w:rPr>
          <w:sz w:val="24"/>
          <w:szCs w:val="24"/>
        </w:rPr>
      </w:pPr>
      <w:r w:rsidRPr="003C1C66">
        <w:rPr>
          <w:sz w:val="24"/>
          <w:szCs w:val="24"/>
        </w:rPr>
        <w:t xml:space="preserve">Stand up a 24/7 SOC with a cross-functional Cyber Incident Response Team (CIRT) with defined escalation paths. </w:t>
      </w:r>
    </w:p>
    <w:p w14:paraId="5A6A898C" w14:textId="77777777" w:rsidR="003C1C66" w:rsidRPr="003C1C66" w:rsidRDefault="003C1C66" w:rsidP="00F95627">
      <w:pPr>
        <w:numPr>
          <w:ilvl w:val="0"/>
          <w:numId w:val="4"/>
        </w:numPr>
        <w:spacing w:before="100" w:beforeAutospacing="1" w:after="100" w:afterAutospacing="1"/>
        <w:jc w:val="both"/>
        <w:rPr>
          <w:sz w:val="24"/>
          <w:szCs w:val="24"/>
        </w:rPr>
      </w:pPr>
      <w:r w:rsidRPr="003C1C66">
        <w:rPr>
          <w:sz w:val="24"/>
          <w:szCs w:val="24"/>
        </w:rPr>
        <w:t xml:space="preserve">Conduct annual penetration tests and biannual vulnerability assessments. </w:t>
      </w:r>
    </w:p>
    <w:p w14:paraId="442B99B3" w14:textId="77777777" w:rsidR="003C1C66" w:rsidRPr="003C1C66" w:rsidRDefault="003C1C66" w:rsidP="00F95627">
      <w:pPr>
        <w:numPr>
          <w:ilvl w:val="0"/>
          <w:numId w:val="4"/>
        </w:numPr>
        <w:spacing w:before="100" w:beforeAutospacing="1" w:after="100" w:afterAutospacing="1"/>
        <w:jc w:val="both"/>
        <w:rPr>
          <w:sz w:val="24"/>
          <w:szCs w:val="24"/>
        </w:rPr>
      </w:pPr>
      <w:r w:rsidRPr="003C1C66">
        <w:rPr>
          <w:sz w:val="24"/>
          <w:szCs w:val="24"/>
        </w:rPr>
        <w:t xml:space="preserve">Implement role-based access controls, DLP tools, and end-to-end encryption across all integrated data flows. </w:t>
      </w:r>
    </w:p>
    <w:p w14:paraId="57B439B3" w14:textId="77777777" w:rsidR="003C1C66" w:rsidRPr="003C1C66" w:rsidRDefault="003C1C66" w:rsidP="00F95627">
      <w:pPr>
        <w:numPr>
          <w:ilvl w:val="0"/>
          <w:numId w:val="4"/>
        </w:numPr>
        <w:spacing w:before="100" w:beforeAutospacing="1" w:after="100" w:afterAutospacing="1"/>
        <w:jc w:val="both"/>
        <w:rPr>
          <w:sz w:val="24"/>
          <w:szCs w:val="24"/>
        </w:rPr>
      </w:pPr>
      <w:r w:rsidRPr="003C1C66">
        <w:rPr>
          <w:sz w:val="24"/>
          <w:szCs w:val="24"/>
        </w:rPr>
        <w:t xml:space="preserve">Procure cyber insurance as a supplementary risk transfer measure. </w:t>
      </w:r>
    </w:p>
    <w:p w14:paraId="2BB9408E" w14:textId="77777777" w:rsidR="003C1C66" w:rsidRDefault="003C1C66" w:rsidP="003C1C66">
      <w:pPr>
        <w:pStyle w:val="NormalWeb"/>
        <w:spacing w:before="0" w:beforeAutospacing="0" w:after="0" w:afterAutospacing="0"/>
        <w:jc w:val="both"/>
      </w:pPr>
      <w:r>
        <w:rPr>
          <w:rStyle w:val="Strong"/>
        </w:rPr>
        <w:t>Risk Owner:</w:t>
      </w:r>
      <w:r>
        <w:t xml:space="preserve"> </w:t>
      </w:r>
    </w:p>
    <w:p w14:paraId="3816616B" w14:textId="5EA2EF0A" w:rsidR="003C1C66" w:rsidRDefault="003C1C66" w:rsidP="003C1C66">
      <w:pPr>
        <w:pStyle w:val="NormalWeb"/>
        <w:spacing w:before="0" w:beforeAutospacing="0" w:after="0" w:afterAutospacing="0"/>
        <w:jc w:val="both"/>
      </w:pPr>
      <w:r>
        <w:t>Chief Information Security Officer (CISO), in partnership with the Chief Compliance Officer.</w:t>
      </w:r>
    </w:p>
    <w:p w14:paraId="4DA41419" w14:textId="32B4D6D8" w:rsidR="003C1C66" w:rsidRDefault="003C1C66" w:rsidP="003C1C66"/>
    <w:p w14:paraId="2AA3CED6" w14:textId="0F956C8C" w:rsidR="003C1C66" w:rsidRDefault="003C1C66" w:rsidP="003C1C66">
      <w:pPr>
        <w:rPr>
          <w:b/>
          <w:bCs/>
          <w:sz w:val="24"/>
          <w:szCs w:val="24"/>
        </w:rPr>
      </w:pPr>
      <w:r w:rsidRPr="003C1C66">
        <w:rPr>
          <w:b/>
          <w:bCs/>
          <w:sz w:val="24"/>
          <w:szCs w:val="24"/>
        </w:rPr>
        <w:t>5.2 R2 — Regulatory &amp; Compliance Exposure: Mitigate</w:t>
      </w:r>
    </w:p>
    <w:p w14:paraId="7271E7C9" w14:textId="77777777" w:rsidR="003C1C66" w:rsidRPr="003C1C66" w:rsidRDefault="003C1C66" w:rsidP="003C1C66">
      <w:pPr>
        <w:rPr>
          <w:b/>
          <w:bCs/>
          <w:sz w:val="24"/>
          <w:szCs w:val="24"/>
        </w:rPr>
      </w:pPr>
    </w:p>
    <w:p w14:paraId="6942B3B8" w14:textId="4C64007D" w:rsidR="003C1C66" w:rsidRDefault="003C1C66" w:rsidP="00B20495">
      <w:pPr>
        <w:pStyle w:val="NormalWeb"/>
        <w:spacing w:before="0" w:beforeAutospacing="0" w:after="0" w:afterAutospacing="0"/>
        <w:jc w:val="both"/>
      </w:pPr>
      <w:r>
        <w:rPr>
          <w:rStyle w:val="Strong"/>
        </w:rPr>
        <w:t>Response Strategy:</w:t>
      </w:r>
      <w:r>
        <w:t xml:space="preserve"> Mitigate. R2 cannot be avoided because CIBC must operate within the existing regulatory environment. Transfer is not available for regulatory risk. Mitigation through a proactive compliance programme reduces halt probability, the dominant sensitivity driver, and the severity of any enforcement action.</w:t>
      </w:r>
    </w:p>
    <w:p w14:paraId="55567FEF" w14:textId="77777777" w:rsidR="00F95627" w:rsidRDefault="00F95627" w:rsidP="00B20495">
      <w:pPr>
        <w:pStyle w:val="NormalWeb"/>
        <w:spacing w:before="0" w:beforeAutospacing="0" w:after="0" w:afterAutospacing="0"/>
        <w:jc w:val="both"/>
      </w:pPr>
    </w:p>
    <w:p w14:paraId="54777083" w14:textId="5CB961D5" w:rsidR="00F95627" w:rsidRDefault="003C1C66" w:rsidP="00B20495">
      <w:pPr>
        <w:pStyle w:val="NormalWeb"/>
        <w:spacing w:before="0" w:beforeAutospacing="0" w:after="0" w:afterAutospacing="0"/>
        <w:jc w:val="both"/>
        <w:rPr>
          <w:b/>
          <w:bCs/>
        </w:rPr>
      </w:pPr>
      <w:r>
        <w:rPr>
          <w:rStyle w:val="Strong"/>
        </w:rPr>
        <w:t>Root Cause:</w:t>
      </w:r>
      <w:r w:rsidR="00B20495">
        <w:rPr>
          <w:rStyle w:val="Strong"/>
        </w:rPr>
        <w:t xml:space="preserve"> </w:t>
      </w:r>
      <w:r>
        <w:t>CIBC's limited prior experience in the provincial insurance regulatory environment, combined with regulatory velocity under Bill C-27, exceeding CIBC's compliance readiness timeline.</w:t>
      </w:r>
    </w:p>
    <w:p w14:paraId="6A720616" w14:textId="7276D933" w:rsidR="003C1C66" w:rsidRPr="00F95627" w:rsidRDefault="003C1C66" w:rsidP="00F95627">
      <w:pPr>
        <w:pStyle w:val="NormalWeb"/>
        <w:jc w:val="both"/>
      </w:pPr>
      <w:r w:rsidRPr="00F95627">
        <w:rPr>
          <w:rStyle w:val="Strong"/>
        </w:rPr>
        <w:t>Mitigation Actions:</w:t>
      </w:r>
    </w:p>
    <w:p w14:paraId="33607600" w14:textId="77777777" w:rsidR="003C1C66" w:rsidRPr="00F95627" w:rsidRDefault="003C1C66" w:rsidP="00F95627">
      <w:pPr>
        <w:numPr>
          <w:ilvl w:val="0"/>
          <w:numId w:val="5"/>
        </w:numPr>
        <w:spacing w:before="100" w:beforeAutospacing="1" w:after="100" w:afterAutospacing="1"/>
        <w:jc w:val="both"/>
        <w:rPr>
          <w:sz w:val="24"/>
          <w:szCs w:val="24"/>
        </w:rPr>
      </w:pPr>
      <w:r w:rsidRPr="00F95627">
        <w:rPr>
          <w:sz w:val="24"/>
          <w:szCs w:val="24"/>
        </w:rPr>
        <w:t xml:space="preserve">Appoint a dedicated compliance officer embedded in the platform project team before integration begins. </w:t>
      </w:r>
    </w:p>
    <w:p w14:paraId="169BA915" w14:textId="77777777" w:rsidR="003C1C66" w:rsidRPr="00F95627" w:rsidRDefault="003C1C66" w:rsidP="00F95627">
      <w:pPr>
        <w:numPr>
          <w:ilvl w:val="0"/>
          <w:numId w:val="5"/>
        </w:numPr>
        <w:spacing w:before="100" w:beforeAutospacing="1" w:after="100" w:afterAutospacing="1"/>
        <w:jc w:val="both"/>
        <w:rPr>
          <w:sz w:val="24"/>
          <w:szCs w:val="24"/>
        </w:rPr>
      </w:pPr>
      <w:r w:rsidRPr="00F95627">
        <w:rPr>
          <w:sz w:val="24"/>
          <w:szCs w:val="24"/>
        </w:rPr>
        <w:t xml:space="preserve">Develop a province-by-province licensing roadmap, securing all approvals before selling in each jurisdiction. </w:t>
      </w:r>
    </w:p>
    <w:p w14:paraId="6CB23E41" w14:textId="77777777" w:rsidR="003C1C66" w:rsidRPr="00F95627" w:rsidRDefault="003C1C66" w:rsidP="00F95627">
      <w:pPr>
        <w:numPr>
          <w:ilvl w:val="0"/>
          <w:numId w:val="5"/>
        </w:numPr>
        <w:spacing w:before="100" w:beforeAutospacing="1" w:after="100" w:afterAutospacing="1"/>
        <w:jc w:val="both"/>
        <w:rPr>
          <w:sz w:val="24"/>
          <w:szCs w:val="24"/>
        </w:rPr>
      </w:pPr>
      <w:r w:rsidRPr="00F95627">
        <w:rPr>
          <w:sz w:val="24"/>
          <w:szCs w:val="24"/>
        </w:rPr>
        <w:t xml:space="preserve">Deploy automated regulatory monitoring tools to detect changes to PIPEDA, Bill C-27, and provincial insurance legislation in real time. </w:t>
      </w:r>
    </w:p>
    <w:p w14:paraId="0D0B233A" w14:textId="77777777" w:rsidR="003C1C66" w:rsidRPr="00F95627" w:rsidRDefault="003C1C66" w:rsidP="00F95627">
      <w:pPr>
        <w:numPr>
          <w:ilvl w:val="0"/>
          <w:numId w:val="5"/>
        </w:numPr>
        <w:spacing w:before="100" w:beforeAutospacing="1" w:after="100" w:afterAutospacing="1"/>
        <w:jc w:val="both"/>
        <w:rPr>
          <w:sz w:val="24"/>
          <w:szCs w:val="24"/>
        </w:rPr>
      </w:pPr>
      <w:r w:rsidRPr="00F95627">
        <w:rPr>
          <w:sz w:val="24"/>
          <w:szCs w:val="24"/>
        </w:rPr>
        <w:t xml:space="preserve">Conduct quarterly legal reviews of AI-assisted underwriting decisions against Bill C-27 transparency requirements. </w:t>
      </w:r>
    </w:p>
    <w:p w14:paraId="7F5312DA" w14:textId="77777777" w:rsidR="003C1C66" w:rsidRDefault="003C1C66" w:rsidP="00F95627">
      <w:pPr>
        <w:numPr>
          <w:ilvl w:val="0"/>
          <w:numId w:val="5"/>
        </w:numPr>
        <w:spacing w:before="100" w:beforeAutospacing="1" w:after="100" w:afterAutospacing="1"/>
        <w:jc w:val="both"/>
      </w:pPr>
      <w:r w:rsidRPr="00F95627">
        <w:rPr>
          <w:sz w:val="24"/>
          <w:szCs w:val="24"/>
        </w:rPr>
        <w:t>Establish a board-approved compliance roadmap</w:t>
      </w:r>
      <w:r>
        <w:t xml:space="preserve"> with milestone reporting at every provincial launch. </w:t>
      </w:r>
    </w:p>
    <w:p w14:paraId="321F91EA" w14:textId="77777777" w:rsidR="00593D3A" w:rsidRDefault="003C1C66" w:rsidP="00593D3A">
      <w:pPr>
        <w:pStyle w:val="NormalWeb"/>
      </w:pPr>
      <w:r>
        <w:rPr>
          <w:rStyle w:val="Strong"/>
        </w:rPr>
        <w:t>Risk Owner:</w:t>
      </w:r>
      <w:r>
        <w:t xml:space="preserve"> Chief Compliance Officer.</w:t>
      </w:r>
    </w:p>
    <w:p w14:paraId="06278D8F" w14:textId="6BFF0995" w:rsidR="003C1C66" w:rsidRPr="00593D3A" w:rsidRDefault="003C1C66" w:rsidP="00593D3A">
      <w:pPr>
        <w:pStyle w:val="NormalWeb"/>
      </w:pPr>
      <w:r w:rsidRPr="00F95627">
        <w:rPr>
          <w:b/>
          <w:bCs/>
        </w:rPr>
        <w:t>5.3 R3 — First-Mover Market Capture: Exploit</w:t>
      </w:r>
    </w:p>
    <w:p w14:paraId="366E5D20" w14:textId="3A1068A6" w:rsidR="003C1C66" w:rsidRPr="00B20495" w:rsidRDefault="003C1C66" w:rsidP="00B20495">
      <w:pPr>
        <w:pStyle w:val="NormalWeb"/>
        <w:spacing w:before="0" w:beforeAutospacing="0" w:after="0" w:afterAutospacing="0"/>
        <w:jc w:val="both"/>
        <w:rPr>
          <w:b/>
          <w:bCs/>
        </w:rPr>
      </w:pPr>
      <w:r>
        <w:rPr>
          <w:rStyle w:val="Strong"/>
        </w:rPr>
        <w:lastRenderedPageBreak/>
        <w:t>Response Strategy:</w:t>
      </w:r>
      <w:r>
        <w:t xml:space="preserve"> Exploit. R3 is a positive risk. The appropriate response is active exploitation. CIBC must take deliberate actions to increase the probability of realising the full CAD $187.1M EMV rather than allowing the opportunity to materialise by default or be captured by a competitor.</w:t>
      </w:r>
    </w:p>
    <w:p w14:paraId="5D23C22C" w14:textId="77777777" w:rsidR="00F95627" w:rsidRDefault="00F95627" w:rsidP="00B20495">
      <w:pPr>
        <w:pStyle w:val="NormalWeb"/>
        <w:spacing w:before="0" w:beforeAutospacing="0" w:after="0" w:afterAutospacing="0"/>
        <w:jc w:val="both"/>
      </w:pPr>
    </w:p>
    <w:p w14:paraId="42F7549D" w14:textId="228B861E" w:rsidR="003C1C66" w:rsidRDefault="003C1C66" w:rsidP="00B20495">
      <w:pPr>
        <w:pStyle w:val="NormalWeb"/>
        <w:spacing w:before="0" w:beforeAutospacing="0" w:after="0" w:afterAutospacing="0"/>
        <w:jc w:val="both"/>
      </w:pPr>
      <w:r>
        <w:rPr>
          <w:rStyle w:val="Strong"/>
        </w:rPr>
        <w:t>Root Cause of Opportunity:</w:t>
      </w:r>
      <w:r>
        <w:t xml:space="preserve"> CIBC's structural advantages, including 11 million existing client relationships, 157 years of brand trust, and integrated wealth management cross-sell infrastructure, create a distribution capability that pure-play insurtech competitors cannot replicate without a banking licence.</w:t>
      </w:r>
    </w:p>
    <w:p w14:paraId="2575E986" w14:textId="77777777" w:rsidR="003C1C66" w:rsidRPr="00F95627" w:rsidRDefault="003C1C66" w:rsidP="00F95627">
      <w:pPr>
        <w:pStyle w:val="NormalWeb"/>
        <w:jc w:val="both"/>
      </w:pPr>
      <w:r w:rsidRPr="00F95627">
        <w:rPr>
          <w:rStyle w:val="Strong"/>
        </w:rPr>
        <w:t>Exploitation Actions:</w:t>
      </w:r>
    </w:p>
    <w:p w14:paraId="378C6F08" w14:textId="77777777" w:rsidR="003C1C66" w:rsidRPr="00F95627" w:rsidRDefault="003C1C66" w:rsidP="00F95627">
      <w:pPr>
        <w:numPr>
          <w:ilvl w:val="0"/>
          <w:numId w:val="6"/>
        </w:numPr>
        <w:spacing w:before="100" w:beforeAutospacing="1" w:after="100" w:afterAutospacing="1"/>
        <w:jc w:val="both"/>
        <w:rPr>
          <w:sz w:val="24"/>
          <w:szCs w:val="24"/>
        </w:rPr>
      </w:pPr>
      <w:r w:rsidRPr="00F95627">
        <w:rPr>
          <w:sz w:val="24"/>
          <w:szCs w:val="24"/>
        </w:rPr>
        <w:t xml:space="preserve">Accelerate market-entry readiness while maintaining all required testing, security validation, and regulatory approvals, prioritising speed without compromising the quality controls that protect CIBC's brand at launch. </w:t>
      </w:r>
    </w:p>
    <w:p w14:paraId="218C45F9" w14:textId="77777777" w:rsidR="003C1C66" w:rsidRPr="00F95627" w:rsidRDefault="003C1C66" w:rsidP="00F95627">
      <w:pPr>
        <w:numPr>
          <w:ilvl w:val="0"/>
          <w:numId w:val="6"/>
        </w:numPr>
        <w:spacing w:before="100" w:beforeAutospacing="1" w:after="100" w:afterAutospacing="1"/>
        <w:jc w:val="both"/>
        <w:rPr>
          <w:sz w:val="24"/>
          <w:szCs w:val="24"/>
        </w:rPr>
      </w:pPr>
      <w:r w:rsidRPr="00F95627">
        <w:rPr>
          <w:sz w:val="24"/>
          <w:szCs w:val="24"/>
        </w:rPr>
        <w:t xml:space="preserve">Allocate a dedicated digital insurance marketing budget targeting CIBC's existing digital banking client base with personalised insurance product offers. </w:t>
      </w:r>
    </w:p>
    <w:p w14:paraId="1D65208D" w14:textId="77777777" w:rsidR="003C1C66" w:rsidRPr="00F95627" w:rsidRDefault="003C1C66" w:rsidP="00F95627">
      <w:pPr>
        <w:numPr>
          <w:ilvl w:val="0"/>
          <w:numId w:val="6"/>
        </w:numPr>
        <w:spacing w:before="100" w:beforeAutospacing="1" w:after="100" w:afterAutospacing="1"/>
        <w:jc w:val="both"/>
        <w:rPr>
          <w:sz w:val="24"/>
          <w:szCs w:val="24"/>
        </w:rPr>
      </w:pPr>
      <w:r w:rsidRPr="00F95627">
        <w:rPr>
          <w:sz w:val="24"/>
          <w:szCs w:val="24"/>
        </w:rPr>
        <w:t xml:space="preserve">Implement an advisor cross-sell incentive programme with provincial licensing support to accelerate advisor readiness. </w:t>
      </w:r>
    </w:p>
    <w:p w14:paraId="4B9E7273" w14:textId="77777777" w:rsidR="003C1C66" w:rsidRPr="00F95627" w:rsidRDefault="003C1C66" w:rsidP="00F95627">
      <w:pPr>
        <w:numPr>
          <w:ilvl w:val="0"/>
          <w:numId w:val="6"/>
        </w:numPr>
        <w:spacing w:before="100" w:beforeAutospacing="1" w:after="100" w:afterAutospacing="1"/>
        <w:jc w:val="both"/>
        <w:rPr>
          <w:sz w:val="24"/>
          <w:szCs w:val="24"/>
        </w:rPr>
      </w:pPr>
      <w:r w:rsidRPr="00F95627">
        <w:rPr>
          <w:sz w:val="24"/>
          <w:szCs w:val="24"/>
        </w:rPr>
        <w:t xml:space="preserve">Protect platform quality during the launch period, as a highly visible failure would hand competitive advantage to TD, RBC, or insurtech competitors. </w:t>
      </w:r>
    </w:p>
    <w:p w14:paraId="18998C95" w14:textId="77777777" w:rsidR="003C1C66" w:rsidRPr="00F95627" w:rsidRDefault="003C1C66" w:rsidP="00F95627">
      <w:pPr>
        <w:numPr>
          <w:ilvl w:val="0"/>
          <w:numId w:val="6"/>
        </w:numPr>
        <w:spacing w:before="100" w:beforeAutospacing="1" w:after="100" w:afterAutospacing="1"/>
        <w:jc w:val="both"/>
        <w:rPr>
          <w:sz w:val="24"/>
          <w:szCs w:val="24"/>
        </w:rPr>
      </w:pPr>
      <w:r w:rsidRPr="00F95627">
        <w:rPr>
          <w:sz w:val="24"/>
          <w:szCs w:val="24"/>
        </w:rPr>
        <w:t xml:space="preserve">Monitor TD and RBC digital insurance announcements weekly and activate contingency plans if a competitor announces a firm go-live date within six months. </w:t>
      </w:r>
    </w:p>
    <w:p w14:paraId="4C08F503" w14:textId="7AA96705" w:rsidR="003C1C66" w:rsidRDefault="003C1C66" w:rsidP="00F95627">
      <w:pPr>
        <w:pStyle w:val="NormalWeb"/>
      </w:pPr>
      <w:r>
        <w:rPr>
          <w:rStyle w:val="Strong"/>
        </w:rPr>
        <w:t>Risk Owner:</w:t>
      </w:r>
      <w:r>
        <w:t xml:space="preserve"> Chief Strategy Officer, in partnership with the Chief Financial Officer.</w:t>
      </w:r>
    </w:p>
    <w:p w14:paraId="3149D6EF" w14:textId="77777777" w:rsidR="00F95627" w:rsidRDefault="003C1C66" w:rsidP="00F95627">
      <w:pPr>
        <w:rPr>
          <w:b/>
          <w:bCs/>
          <w:sz w:val="22"/>
          <w:szCs w:val="22"/>
        </w:rPr>
      </w:pPr>
      <w:r w:rsidRPr="00F95627">
        <w:rPr>
          <w:b/>
          <w:bCs/>
          <w:sz w:val="22"/>
          <w:szCs w:val="22"/>
        </w:rPr>
        <w:t>6. KEY RISK INDICATORS (KRIs) AND TRIGGER POINTS</w:t>
      </w:r>
    </w:p>
    <w:p w14:paraId="056F9B88" w14:textId="1534706A" w:rsidR="003C1C66" w:rsidRDefault="003C1C66" w:rsidP="00B20495">
      <w:pPr>
        <w:jc w:val="both"/>
        <w:rPr>
          <w:sz w:val="24"/>
          <w:szCs w:val="24"/>
        </w:rPr>
      </w:pPr>
      <w:r w:rsidRPr="00F95627">
        <w:rPr>
          <w:sz w:val="24"/>
          <w:szCs w:val="24"/>
        </w:rPr>
        <w:t>Key Risk Indicators were developed using the COSO (2010) framework, which specifies that effective KRIs must be measurable, predictable, comparable over time, and informational with respect to risk status and control effectiveness. Each KRI is a leading indicator that provides early warning before a risk event occurs. The thresholds distinguish between tolerance breaches (Amber, requiring management action) and appetite breaches (Red, requiring Board-level escalation).</w:t>
      </w:r>
    </w:p>
    <w:p w14:paraId="374B1801" w14:textId="77777777" w:rsidR="00B20495" w:rsidRDefault="00B20495" w:rsidP="00B20495">
      <w:pPr>
        <w:pStyle w:val="NormalWeb"/>
        <w:jc w:val="both"/>
      </w:pPr>
      <w:r>
        <w:rPr>
          <w:rStyle w:val="Strong"/>
        </w:rPr>
        <w:t>KRI Basis — R1:</w:t>
      </w:r>
      <w:r>
        <w:t xml:space="preserve"> The number of unpatched critical vulnerabilities is measurable through CIBC's existing vulnerability-scanning infrastructure and serves as a leading indicator of cybersecurity exposure. The 72-hour threshold aligns with industry-standard patch management practices and reflects the period beyond which breach likelihood increases materially. The Isolation Forest model described in Section 4.2 strengthens this KRI by identifying anomalous patterns that may signal emerging threats before a security incident occurs.</w:t>
      </w:r>
    </w:p>
    <w:p w14:paraId="56E4A8C4" w14:textId="77777777" w:rsidR="00B20495" w:rsidRDefault="00B20495" w:rsidP="00B20495">
      <w:pPr>
        <w:pStyle w:val="NormalWeb"/>
        <w:jc w:val="both"/>
      </w:pPr>
      <w:r>
        <w:rPr>
          <w:rStyle w:val="Strong"/>
        </w:rPr>
        <w:t>KRI Basis — R2:</w:t>
      </w:r>
      <w:r>
        <w:t xml:space="preserve"> The number of unresolved compliance findings is a direct indicator of regulatory exposure and was identified in the sensitivity analysis as the strongest driver of regulatory halt risk. The 30-day threshold is aligned with regulatory expectations for timely remediation of significant findings. The gradient boosting model enhances monitoring by generating a continuous probability score, enabling earlier identification of escalating compliance risk.</w:t>
      </w:r>
    </w:p>
    <w:p w14:paraId="1D2B4F35" w14:textId="6E9210B9" w:rsidR="00B20495" w:rsidRDefault="00B20495" w:rsidP="00B20495">
      <w:pPr>
        <w:pStyle w:val="NormalWeb"/>
        <w:jc w:val="both"/>
      </w:pPr>
      <w:r>
        <w:rPr>
          <w:rStyle w:val="Strong"/>
        </w:rPr>
        <w:t>KRI Basis — R3:</w:t>
      </w:r>
      <w:r>
        <w:t xml:space="preserve"> Monthly digital insurance adoption rate is the most direct measure of whether CIBC is successfully capturing first-mover advantage. The Green (5%) and Amber (2%) thresholds were calibrated using industry adoption benchmarks, including TD Bank's digital banking growth </w:t>
      </w:r>
      <w:r>
        <w:lastRenderedPageBreak/>
        <w:t>trajectory. The LSTM forecasting model further enhances this KRI by predicting future adoption trends, allowing management to intervene before performance falls below target levels.</w:t>
      </w:r>
    </w:p>
    <w:p w14:paraId="48B9B904" w14:textId="77777777" w:rsidR="00593D3A" w:rsidRPr="00593D3A" w:rsidRDefault="00593D3A" w:rsidP="00593D3A">
      <w:pPr>
        <w:rPr>
          <w:b/>
          <w:bCs/>
          <w:sz w:val="24"/>
          <w:szCs w:val="24"/>
        </w:rPr>
      </w:pPr>
      <w:r w:rsidRPr="00593D3A">
        <w:rPr>
          <w:b/>
          <w:bCs/>
          <w:sz w:val="24"/>
          <w:szCs w:val="24"/>
        </w:rPr>
        <w:t>6.1 CRISP-DM Alignment</w:t>
      </w:r>
    </w:p>
    <w:p w14:paraId="749878EC" w14:textId="12F8E99A" w:rsidR="00593D3A" w:rsidRDefault="00593D3A" w:rsidP="00593D3A">
      <w:pPr>
        <w:jc w:val="both"/>
        <w:rPr>
          <w:sz w:val="24"/>
          <w:szCs w:val="24"/>
        </w:rPr>
      </w:pPr>
      <w:r w:rsidRPr="00593D3A">
        <w:rPr>
          <w:sz w:val="24"/>
          <w:szCs w:val="24"/>
        </w:rPr>
        <w:t>The KRI framework</w:t>
      </w:r>
      <w:r w:rsidRPr="00593D3A">
        <w:rPr>
          <w:sz w:val="24"/>
          <w:szCs w:val="24"/>
        </w:rPr>
        <w:t xml:space="preserve"> follows the CRISP-DM process. Business Understanding identified the critical risks associated with the acquisition. Data Understanding and Data Preparation established the data sources, thresholds, and indicators used for monitoring. Modelling was performed through Monte Carlo simulation, sensitivity analysis, Expected Monetary Value (EMV) analysis, and machine-learning techniques. Evaluation was conducted through model validation, scenario testing, and threshold calibration. Deployment occurs through continuous KRI monitoring, escalation procedures, and management response actions.</w:t>
      </w:r>
    </w:p>
    <w:p w14:paraId="722666E0" w14:textId="77777777" w:rsidR="00593D3A" w:rsidRPr="00593D3A" w:rsidRDefault="00593D3A" w:rsidP="00593D3A">
      <w:pPr>
        <w:jc w:val="both"/>
        <w:rPr>
          <w:sz w:val="24"/>
          <w:szCs w:val="24"/>
        </w:rPr>
      </w:pPr>
    </w:p>
    <w:p w14:paraId="2B7FA9F9" w14:textId="726C0DA7" w:rsidR="00736F16" w:rsidRDefault="00736F16" w:rsidP="00593D3A">
      <w:pPr>
        <w:rPr>
          <w:b/>
          <w:bCs/>
          <w:sz w:val="24"/>
          <w:szCs w:val="24"/>
        </w:rPr>
      </w:pPr>
      <w:r w:rsidRPr="00736F16">
        <w:rPr>
          <w:b/>
          <w:bCs/>
          <w:sz w:val="24"/>
          <w:szCs w:val="24"/>
        </w:rPr>
        <w:t>7. ENTERPRISE RISK PROFILE</w:t>
      </w:r>
    </w:p>
    <w:p w14:paraId="58C5E36E" w14:textId="77777777" w:rsidR="00593D3A" w:rsidRDefault="00593D3A" w:rsidP="00593D3A">
      <w:pPr>
        <w:pStyle w:val="NormalWeb"/>
        <w:spacing w:before="0" w:beforeAutospacing="0" w:after="0" w:afterAutospacing="0"/>
        <w:jc w:val="both"/>
      </w:pPr>
      <w:r>
        <w:t>The acquisition presents a moderate-to-high enterprise risk profile driven by cybersecurity, regulatory, integration, and operational risks, alongside significant strategic opportunity. CIBC is entering a new industry, operating on a new technology platform, and navigating a new regulatory environment with limited insurance-sector experience. At the same time, the acquisition's greatest threats and opportunities are closely linked, as a cybersecurity breach, regulatory failure, or operational disruption could eliminate the first-mover advantage the acquisition is intended to achieve.</w:t>
      </w:r>
    </w:p>
    <w:p w14:paraId="3AB2E2AE" w14:textId="08A7E31B" w:rsidR="00593D3A" w:rsidRDefault="00593D3A" w:rsidP="00593D3A">
      <w:pPr>
        <w:pStyle w:val="NormalWeb"/>
        <w:jc w:val="both"/>
      </w:pPr>
      <w:r>
        <w:t xml:space="preserve">Of the 30 risks assessed, 19 were classified as High priority and 11 as </w:t>
      </w:r>
      <w:r>
        <w:t>medium</w:t>
      </w:r>
      <w:r>
        <w:t xml:space="preserve"> priority. The highest concentration of risk exists in cybersecurity, regulatory compliance, platform integration, and operational readiness. However, seven opportunity risks representing more than CAD $187 million in expected value support the strategic rationale for the acquisition. With the mitigation, monitoring, and exploitation strategies outlined in this report, the residual risk profile remains within CIBC's risk appetite for strategic growth initiatives.</w:t>
      </w:r>
    </w:p>
    <w:p w14:paraId="127C1A32" w14:textId="09764E9B" w:rsidR="00736F16" w:rsidRPr="00593D3A" w:rsidRDefault="00736F16" w:rsidP="00593D3A">
      <w:pPr>
        <w:pStyle w:val="NormalWeb"/>
        <w:spacing w:before="0" w:beforeAutospacing="0" w:after="0" w:afterAutospacing="0"/>
        <w:jc w:val="both"/>
      </w:pPr>
      <w:r w:rsidRPr="00736F16">
        <w:rPr>
          <w:b/>
          <w:bCs/>
        </w:rPr>
        <w:t>8. CONCLUSION</w:t>
      </w:r>
    </w:p>
    <w:p w14:paraId="3E05B8EB" w14:textId="77777777" w:rsidR="00736F16" w:rsidRDefault="00736F16" w:rsidP="00593D3A">
      <w:pPr>
        <w:pStyle w:val="NormalWeb"/>
        <w:spacing w:before="0" w:beforeAutospacing="0" w:after="0" w:afterAutospacing="0"/>
        <w:jc w:val="both"/>
      </w:pPr>
      <w:r>
        <w:t>This enterprise risk management assessment evaluated CIBC's proposed acquisition of a digital insurance platform across the full risk management lifecycle, from environmental analysis and risk identification to qualitative assessment, quantitative modelling, risk response planning, and KRI-based monitoring. The analysis confirms that the acquisition presents both significant risk exposure and substantial strategic opportunity.</w:t>
      </w:r>
    </w:p>
    <w:p w14:paraId="7C93F785" w14:textId="77777777" w:rsidR="00736F16" w:rsidRDefault="00736F16" w:rsidP="00736F16">
      <w:pPr>
        <w:pStyle w:val="NormalWeb"/>
        <w:jc w:val="both"/>
      </w:pPr>
      <w:r>
        <w:t>The quantitative assessment produced three key findings. For R1, Monte Carlo simulation estimated a mean expected loss of CAD $82.8M and a 25.6% probability of losses exceeding CAD $100M, supporting a contingency reserve of CAD $119M. For R2, sensitivity analysis identified regulatory halt probability as the most influential impact driver, reinforcing the importance of compliance-focused monitoring and governance. For R3, EMV analysis generated an expected value of CAD $187.1M, demonstrating that successful first-mover market capture represents a material strategic opportunity.</w:t>
      </w:r>
    </w:p>
    <w:p w14:paraId="6A4621D9" w14:textId="002D905C" w:rsidR="0083355F" w:rsidRPr="00593D3A" w:rsidRDefault="00736F16" w:rsidP="00593D3A">
      <w:pPr>
        <w:pStyle w:val="NormalWeb"/>
        <w:jc w:val="both"/>
      </w:pPr>
      <w:r>
        <w:t>The Indicators and Warnings (I&amp;W) framework links these quantitative findings to measurable, real-time indicators that enable proactive risk management. By monitoring KRIs, management can identify deteriorating conditions before risks materialize and respond before significant financial, operational, or reputational damage occurs. Collectively, the findings support three immediate priorities for CIBC: maintaining a robust cybersecurity programme, strengthening regulatory readiness, and accelerating market-entry execution to capture first-mover advantage before the competitive window closes.</w:t>
      </w:r>
    </w:p>
    <w:p w14:paraId="68883DB6" w14:textId="1133724F" w:rsidR="0083355F" w:rsidRDefault="00513DC3" w:rsidP="0083355F">
      <w:pPr>
        <w:spacing w:before="280" w:after="100"/>
        <w:jc w:val="both"/>
        <w:rPr>
          <w:b/>
          <w:bCs/>
          <w:sz w:val="26"/>
          <w:szCs w:val="26"/>
        </w:rPr>
      </w:pPr>
      <w:r>
        <w:rPr>
          <w:b/>
          <w:bCs/>
          <w:sz w:val="26"/>
          <w:szCs w:val="26"/>
        </w:rPr>
        <w:lastRenderedPageBreak/>
        <w:t>REFERENCES</w:t>
      </w:r>
    </w:p>
    <w:p w14:paraId="3D9067B8" w14:textId="71437C6E" w:rsidR="0014283E" w:rsidRDefault="0014283E" w:rsidP="0014283E">
      <w:pPr>
        <w:pStyle w:val="NormalWeb"/>
        <w:jc w:val="both"/>
      </w:pPr>
      <w:r>
        <w:t xml:space="preserve">Beasley, M. S., Branson, B. C., &amp; Hancock, B. V. (2010). </w:t>
      </w:r>
      <w:r>
        <w:rPr>
          <w:rStyle w:val="Emphasis"/>
        </w:rPr>
        <w:t>Developing key risk indicators to strengthen enterprise risk management</w:t>
      </w:r>
      <w:r>
        <w:t>. Committee of Sponsoring Organizations of the Treadway Commission (COSO).</w:t>
      </w:r>
    </w:p>
    <w:p w14:paraId="67E7C626" w14:textId="75890A90" w:rsidR="0014283E" w:rsidRDefault="0014283E" w:rsidP="0014283E">
      <w:pPr>
        <w:pStyle w:val="NormalWeb"/>
        <w:jc w:val="both"/>
      </w:pPr>
      <w:r>
        <w:t>CIBC.(2023).</w:t>
      </w:r>
      <w:r>
        <w:rPr>
          <w:rStyle w:val="Emphasis"/>
        </w:rPr>
        <w:t>2023AnnualReport</w:t>
      </w:r>
      <w:r>
        <w:t xml:space="preserve">. </w:t>
      </w:r>
      <w:hyperlink r:id="rId7" w:history="1">
        <w:r>
          <w:rPr>
            <w:rStyle w:val="Hyperlink"/>
          </w:rPr>
          <w:t>https://www.cibc.com/content/dam/about_cibc/investor_relations/pdfs/annual_accounts/2023ar-en.pdf</w:t>
        </w:r>
      </w:hyperlink>
    </w:p>
    <w:p w14:paraId="41A98482" w14:textId="77777777" w:rsidR="0014283E" w:rsidRDefault="0014283E" w:rsidP="0014283E">
      <w:pPr>
        <w:pStyle w:val="NormalWeb"/>
        <w:jc w:val="both"/>
      </w:pPr>
      <w:r>
        <w:t xml:space="preserve">Committee of Sponsoring Organizations of the Treadway Commission. (2017). </w:t>
      </w:r>
      <w:r>
        <w:rPr>
          <w:rStyle w:val="Emphasis"/>
        </w:rPr>
        <w:t>Enterprise risk management: Integrating with strategy and performance</w:t>
      </w:r>
      <w:r>
        <w:t xml:space="preserve">. COSO. </w:t>
      </w:r>
      <w:hyperlink r:id="rId8" w:history="1">
        <w:r>
          <w:rPr>
            <w:rStyle w:val="Hyperlink"/>
          </w:rPr>
          <w:t>https://www.coso.org</w:t>
        </w:r>
      </w:hyperlink>
    </w:p>
    <w:p w14:paraId="1F4D4DDD" w14:textId="77777777" w:rsidR="0014283E" w:rsidRDefault="0014283E" w:rsidP="0014283E">
      <w:pPr>
        <w:pStyle w:val="NormalWeb"/>
        <w:jc w:val="both"/>
      </w:pPr>
      <w:r>
        <w:t xml:space="preserve">Fleisher, C. S., &amp; Bensoussan, B. E. (2015). </w:t>
      </w:r>
      <w:r>
        <w:rPr>
          <w:rStyle w:val="Emphasis"/>
        </w:rPr>
        <w:t>Business and competitive analysis: Effective application of new and classic methods</w:t>
      </w:r>
      <w:r>
        <w:t xml:space="preserve"> (2nd ed.). FT Press.</w:t>
      </w:r>
    </w:p>
    <w:p w14:paraId="73B0DA91" w14:textId="77777777" w:rsidR="0014283E" w:rsidRDefault="0014283E" w:rsidP="0014283E">
      <w:pPr>
        <w:pStyle w:val="NormalWeb"/>
        <w:jc w:val="both"/>
      </w:pPr>
      <w:r>
        <w:t xml:space="preserve">Hopkin, P. (2018). </w:t>
      </w:r>
      <w:r>
        <w:rPr>
          <w:rStyle w:val="Emphasis"/>
        </w:rPr>
        <w:t>Fundamentals of risk management</w:t>
      </w:r>
      <w:r>
        <w:t xml:space="preserve"> (5th ed.). Kogan Page.</w:t>
      </w:r>
    </w:p>
    <w:p w14:paraId="62BDF139" w14:textId="77777777" w:rsidR="0014283E" w:rsidRDefault="0014283E" w:rsidP="0014283E">
      <w:pPr>
        <w:pStyle w:val="NormalWeb"/>
        <w:jc w:val="both"/>
      </w:pPr>
      <w:r>
        <w:t xml:space="preserve">International Organization for Standardization. (2018). </w:t>
      </w:r>
      <w:r>
        <w:rPr>
          <w:rStyle w:val="Emphasis"/>
        </w:rPr>
        <w:t>ISO 31000:2018 Risk management—Guidelines</w:t>
      </w:r>
      <w:r>
        <w:t xml:space="preserve">. </w:t>
      </w:r>
      <w:hyperlink r:id="rId9" w:history="1">
        <w:r>
          <w:rPr>
            <w:rStyle w:val="Hyperlink"/>
          </w:rPr>
          <w:t>https://www.iso.org/standard/65694.html</w:t>
        </w:r>
      </w:hyperlink>
    </w:p>
    <w:p w14:paraId="2BDBFDFC" w14:textId="77777777" w:rsidR="0014283E" w:rsidRDefault="0014283E" w:rsidP="0014283E">
      <w:pPr>
        <w:pStyle w:val="NormalWeb"/>
        <w:jc w:val="both"/>
      </w:pPr>
      <w:r>
        <w:t xml:space="preserve">McKinsey Global Institute. (2023). </w:t>
      </w:r>
      <w:r>
        <w:rPr>
          <w:rStyle w:val="Emphasis"/>
        </w:rPr>
        <w:t>Consumer financial services survey: Banking and insurance integration preferences</w:t>
      </w:r>
      <w:r>
        <w:t>. McKinsey &amp; Company.</w:t>
      </w:r>
    </w:p>
    <w:p w14:paraId="31AB8410" w14:textId="77777777" w:rsidR="0014283E" w:rsidRDefault="0014283E" w:rsidP="0014283E">
      <w:pPr>
        <w:pStyle w:val="NormalWeb"/>
        <w:jc w:val="both"/>
      </w:pPr>
      <w:r>
        <w:t xml:space="preserve">National Institute of Standards and Technology. (2012). </w:t>
      </w:r>
      <w:r>
        <w:rPr>
          <w:rStyle w:val="Emphasis"/>
        </w:rPr>
        <w:t>Guide for conducting risk assessments (NIST SP 800-30 Rev. 1)</w:t>
      </w:r>
      <w:r>
        <w:t xml:space="preserve">. U.S. Department of Commerce. </w:t>
      </w:r>
      <w:hyperlink r:id="rId10" w:history="1">
        <w:r>
          <w:rPr>
            <w:rStyle w:val="Hyperlink"/>
          </w:rPr>
          <w:t>https://csrc.nist.gov</w:t>
        </w:r>
      </w:hyperlink>
    </w:p>
    <w:p w14:paraId="1BF639A6" w14:textId="77777777" w:rsidR="0014283E" w:rsidRDefault="0014283E" w:rsidP="0014283E">
      <w:pPr>
        <w:pStyle w:val="NormalWeb"/>
        <w:jc w:val="both"/>
      </w:pPr>
      <w:r>
        <w:t xml:space="preserve">Office of the Privacy Commissioner of Canada. (2023). </w:t>
      </w:r>
      <w:r>
        <w:rPr>
          <w:rStyle w:val="Emphasis"/>
        </w:rPr>
        <w:t>Guidance on the Consumer Privacy Protection Act (Bill C-27)</w:t>
      </w:r>
      <w:r>
        <w:t xml:space="preserve">. </w:t>
      </w:r>
      <w:hyperlink r:id="rId11" w:history="1">
        <w:r>
          <w:rPr>
            <w:rStyle w:val="Hyperlink"/>
          </w:rPr>
          <w:t>https://www.priv.gc.ca</w:t>
        </w:r>
      </w:hyperlink>
    </w:p>
    <w:p w14:paraId="500E54FE" w14:textId="77777777" w:rsidR="0014283E" w:rsidRDefault="0014283E" w:rsidP="0014283E">
      <w:pPr>
        <w:pStyle w:val="NormalWeb"/>
        <w:jc w:val="both"/>
      </w:pPr>
      <w:r>
        <w:t xml:space="preserve">Office of the Superintendent of Financial Institutions. (2023). </w:t>
      </w:r>
      <w:r>
        <w:rPr>
          <w:rStyle w:val="Emphasis"/>
        </w:rPr>
        <w:t>Third-Party Risk Management: Guideline B-10</w:t>
      </w:r>
      <w:r>
        <w:t xml:space="preserve">. </w:t>
      </w:r>
      <w:hyperlink r:id="rId12" w:history="1">
        <w:r>
          <w:rPr>
            <w:rStyle w:val="Hyperlink"/>
          </w:rPr>
          <w:t>https://www.osfi-bsif.gc.ca</w:t>
        </w:r>
      </w:hyperlink>
    </w:p>
    <w:p w14:paraId="50DF7D3F" w14:textId="77777777" w:rsidR="0014283E" w:rsidRDefault="0014283E" w:rsidP="0014283E">
      <w:pPr>
        <w:pStyle w:val="NormalWeb"/>
        <w:jc w:val="both"/>
      </w:pPr>
      <w:r>
        <w:t xml:space="preserve">Office of the Superintendent of Financial Institutions. (2024). </w:t>
      </w:r>
      <w:r>
        <w:rPr>
          <w:rStyle w:val="Emphasis"/>
        </w:rPr>
        <w:t>Technology and Cyber Risk Management Guideline</w:t>
      </w:r>
      <w:r>
        <w:t xml:space="preserve">. </w:t>
      </w:r>
      <w:hyperlink r:id="rId13" w:history="1">
        <w:r>
          <w:rPr>
            <w:rStyle w:val="Hyperlink"/>
          </w:rPr>
          <w:t>https://www.osfi-bsif.gc.ca</w:t>
        </w:r>
      </w:hyperlink>
    </w:p>
    <w:p w14:paraId="28D4C616" w14:textId="77777777" w:rsidR="0014283E" w:rsidRDefault="0014283E" w:rsidP="0014283E">
      <w:pPr>
        <w:pStyle w:val="NormalWeb"/>
        <w:jc w:val="both"/>
      </w:pPr>
      <w:r>
        <w:t xml:space="preserve">Swiss Re Institute. (2023). </w:t>
      </w:r>
      <w:r>
        <w:rPr>
          <w:rStyle w:val="Emphasis"/>
        </w:rPr>
        <w:t>Digital Insurance Market Report 2023</w:t>
      </w:r>
      <w:r>
        <w:t>. Swiss Re Group.</w:t>
      </w:r>
    </w:p>
    <w:p w14:paraId="7DB503D5" w14:textId="77777777" w:rsidR="0014283E" w:rsidRPr="0083355F" w:rsidRDefault="0014283E" w:rsidP="0014283E">
      <w:pPr>
        <w:spacing w:before="280" w:after="100"/>
        <w:jc w:val="both"/>
        <w:rPr>
          <w:b/>
          <w:bCs/>
          <w:sz w:val="26"/>
          <w:szCs w:val="26"/>
        </w:rPr>
      </w:pPr>
    </w:p>
    <w:p w14:paraId="31CA8131" w14:textId="77777777" w:rsidR="0083355F" w:rsidRDefault="0083355F" w:rsidP="0014283E">
      <w:pPr>
        <w:spacing w:before="280" w:after="100"/>
        <w:jc w:val="both"/>
        <w:rPr>
          <w:sz w:val="24"/>
          <w:szCs w:val="24"/>
        </w:rPr>
      </w:pPr>
    </w:p>
    <w:p w14:paraId="455A2527" w14:textId="77777777" w:rsidR="0083355F" w:rsidRDefault="0083355F" w:rsidP="0014283E">
      <w:pPr>
        <w:spacing w:before="280" w:after="100"/>
        <w:jc w:val="both"/>
        <w:rPr>
          <w:sz w:val="24"/>
          <w:szCs w:val="24"/>
        </w:rPr>
      </w:pPr>
    </w:p>
    <w:p w14:paraId="6E244525" w14:textId="77777777" w:rsidR="0083355F" w:rsidRDefault="0083355F" w:rsidP="0014283E">
      <w:pPr>
        <w:spacing w:before="280" w:after="100"/>
        <w:jc w:val="both"/>
        <w:rPr>
          <w:sz w:val="24"/>
          <w:szCs w:val="24"/>
        </w:rPr>
      </w:pPr>
    </w:p>
    <w:p w14:paraId="190FEC90" w14:textId="77777777" w:rsidR="0014283E" w:rsidRDefault="0014283E" w:rsidP="0014283E">
      <w:pPr>
        <w:spacing w:before="280" w:after="100"/>
        <w:jc w:val="both"/>
        <w:rPr>
          <w:b/>
          <w:bCs/>
          <w:sz w:val="26"/>
          <w:szCs w:val="26"/>
        </w:rPr>
      </w:pPr>
    </w:p>
    <w:p w14:paraId="1828411A" w14:textId="450983BE" w:rsidR="00C13ABB" w:rsidRDefault="00513DC3" w:rsidP="0014283E">
      <w:pPr>
        <w:spacing w:before="280" w:after="100"/>
        <w:jc w:val="both"/>
      </w:pPr>
      <w:r>
        <w:rPr>
          <w:b/>
          <w:bCs/>
          <w:sz w:val="26"/>
          <w:szCs w:val="26"/>
        </w:rPr>
        <w:lastRenderedPageBreak/>
        <w:t>APPENDIX 1 — COMPLETE RISK TREATMENT &amp; RESPONSE PLAN (RT&amp;RP)</w:t>
      </w:r>
    </w:p>
    <w:p w14:paraId="5B563ED6" w14:textId="77777777" w:rsidR="00C13ABB" w:rsidRPr="0014283E" w:rsidRDefault="00513DC3">
      <w:pPr>
        <w:spacing w:before="60" w:after="60"/>
        <w:rPr>
          <w:i/>
          <w:iCs/>
        </w:rPr>
      </w:pPr>
      <w:r w:rsidRPr="0014283E">
        <w:rPr>
          <w:i/>
          <w:iCs/>
        </w:rPr>
        <w:t>The table below presents the complete Risk Treatment and Response Plan incorporating qualitative assessments from Modules 1–3 and quantitative outputs from Module 4.</w:t>
      </w:r>
    </w:p>
    <w:p w14:paraId="16B58105" w14:textId="77777777" w:rsidR="00C13ABB" w:rsidRDefault="00C13ABB"/>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227"/>
        <w:gridCol w:w="850"/>
        <w:gridCol w:w="764"/>
        <w:gridCol w:w="706"/>
        <w:gridCol w:w="1244"/>
        <w:gridCol w:w="1268"/>
        <w:gridCol w:w="1393"/>
        <w:gridCol w:w="1637"/>
      </w:tblGrid>
      <w:tr w:rsidR="00135B3B" w14:paraId="43385E87" w14:textId="77777777">
        <w:tc>
          <w:tcPr>
            <w:tcW w:w="700" w:type="dxa"/>
            <w:shd w:val="clear" w:color="auto" w:fill="000000"/>
            <w:tcMar>
              <w:top w:w="60" w:type="dxa"/>
              <w:left w:w="100" w:type="dxa"/>
              <w:bottom w:w="60" w:type="dxa"/>
              <w:right w:w="100" w:type="dxa"/>
            </w:tcMar>
            <w:vAlign w:val="center"/>
          </w:tcPr>
          <w:p w14:paraId="4C235829" w14:textId="77777777" w:rsidR="00C13ABB" w:rsidRDefault="00513DC3">
            <w:pPr>
              <w:jc w:val="center"/>
            </w:pPr>
            <w:r>
              <w:rPr>
                <w:b/>
                <w:bCs/>
                <w:color w:val="FFFFFF"/>
              </w:rPr>
              <w:t>#</w:t>
            </w:r>
          </w:p>
        </w:tc>
        <w:tc>
          <w:tcPr>
            <w:tcW w:w="1300" w:type="dxa"/>
            <w:shd w:val="clear" w:color="auto" w:fill="000000"/>
            <w:tcMar>
              <w:top w:w="60" w:type="dxa"/>
              <w:left w:w="100" w:type="dxa"/>
              <w:bottom w:w="60" w:type="dxa"/>
              <w:right w:w="100" w:type="dxa"/>
            </w:tcMar>
            <w:vAlign w:val="center"/>
          </w:tcPr>
          <w:p w14:paraId="02F9F158" w14:textId="77777777" w:rsidR="00C13ABB" w:rsidRDefault="00513DC3">
            <w:pPr>
              <w:jc w:val="center"/>
            </w:pPr>
            <w:r>
              <w:rPr>
                <w:b/>
                <w:bCs/>
                <w:color w:val="FFFFFF"/>
              </w:rPr>
              <w:t>Risk Name</w:t>
            </w:r>
          </w:p>
        </w:tc>
        <w:tc>
          <w:tcPr>
            <w:tcW w:w="600" w:type="dxa"/>
            <w:shd w:val="clear" w:color="auto" w:fill="000000"/>
            <w:tcMar>
              <w:top w:w="60" w:type="dxa"/>
              <w:left w:w="100" w:type="dxa"/>
              <w:bottom w:w="60" w:type="dxa"/>
              <w:right w:w="100" w:type="dxa"/>
            </w:tcMar>
            <w:vAlign w:val="center"/>
          </w:tcPr>
          <w:p w14:paraId="49AC6548" w14:textId="77777777" w:rsidR="00C13ABB" w:rsidRDefault="00513DC3">
            <w:pPr>
              <w:jc w:val="center"/>
            </w:pPr>
            <w:r>
              <w:rPr>
                <w:b/>
                <w:bCs/>
                <w:color w:val="FFFFFF"/>
              </w:rPr>
              <w:t>Type</w:t>
            </w:r>
          </w:p>
        </w:tc>
        <w:tc>
          <w:tcPr>
            <w:tcW w:w="600" w:type="dxa"/>
            <w:shd w:val="clear" w:color="auto" w:fill="000000"/>
            <w:tcMar>
              <w:top w:w="60" w:type="dxa"/>
              <w:left w:w="100" w:type="dxa"/>
              <w:bottom w:w="60" w:type="dxa"/>
              <w:right w:w="100" w:type="dxa"/>
            </w:tcMar>
            <w:vAlign w:val="center"/>
          </w:tcPr>
          <w:p w14:paraId="75B64A5B" w14:textId="77777777" w:rsidR="00C13ABB" w:rsidRDefault="00513DC3">
            <w:pPr>
              <w:jc w:val="center"/>
            </w:pPr>
            <w:r>
              <w:rPr>
                <w:b/>
                <w:bCs/>
                <w:color w:val="FFFFFF"/>
              </w:rPr>
              <w:t>L</w:t>
            </w:r>
          </w:p>
        </w:tc>
        <w:tc>
          <w:tcPr>
            <w:tcW w:w="600" w:type="dxa"/>
            <w:shd w:val="clear" w:color="auto" w:fill="000000"/>
            <w:tcMar>
              <w:top w:w="60" w:type="dxa"/>
              <w:left w:w="100" w:type="dxa"/>
              <w:bottom w:w="60" w:type="dxa"/>
              <w:right w:w="100" w:type="dxa"/>
            </w:tcMar>
            <w:vAlign w:val="center"/>
          </w:tcPr>
          <w:p w14:paraId="6D4F75AC" w14:textId="77777777" w:rsidR="00C13ABB" w:rsidRDefault="00513DC3">
            <w:pPr>
              <w:jc w:val="center"/>
            </w:pPr>
            <w:r>
              <w:rPr>
                <w:b/>
                <w:bCs/>
                <w:color w:val="FFFFFF"/>
              </w:rPr>
              <w:t>Score</w:t>
            </w:r>
          </w:p>
        </w:tc>
        <w:tc>
          <w:tcPr>
            <w:tcW w:w="1300" w:type="dxa"/>
            <w:shd w:val="clear" w:color="auto" w:fill="000000"/>
            <w:tcMar>
              <w:top w:w="60" w:type="dxa"/>
              <w:left w:w="100" w:type="dxa"/>
              <w:bottom w:w="60" w:type="dxa"/>
              <w:right w:w="100" w:type="dxa"/>
            </w:tcMar>
            <w:vAlign w:val="center"/>
          </w:tcPr>
          <w:p w14:paraId="1C6247FD" w14:textId="77777777" w:rsidR="00C13ABB" w:rsidRDefault="00513DC3">
            <w:pPr>
              <w:jc w:val="center"/>
            </w:pPr>
            <w:r>
              <w:rPr>
                <w:b/>
                <w:bCs/>
                <w:color w:val="FFFFFF"/>
              </w:rPr>
              <w:t>Mitigation / Response</w:t>
            </w:r>
          </w:p>
        </w:tc>
        <w:tc>
          <w:tcPr>
            <w:tcW w:w="1300" w:type="dxa"/>
            <w:shd w:val="clear" w:color="auto" w:fill="000000"/>
            <w:tcMar>
              <w:top w:w="60" w:type="dxa"/>
              <w:left w:w="100" w:type="dxa"/>
              <w:bottom w:w="60" w:type="dxa"/>
              <w:right w:w="100" w:type="dxa"/>
            </w:tcMar>
            <w:vAlign w:val="center"/>
          </w:tcPr>
          <w:p w14:paraId="01707C2C" w14:textId="77777777" w:rsidR="00C13ABB" w:rsidRDefault="00513DC3">
            <w:pPr>
              <w:jc w:val="center"/>
            </w:pPr>
            <w:r>
              <w:rPr>
                <w:b/>
                <w:bCs/>
                <w:color w:val="FFFFFF"/>
              </w:rPr>
              <w:t>Quantitative Output</w:t>
            </w:r>
          </w:p>
        </w:tc>
        <w:tc>
          <w:tcPr>
            <w:tcW w:w="1500" w:type="dxa"/>
            <w:shd w:val="clear" w:color="auto" w:fill="000000"/>
            <w:tcMar>
              <w:top w:w="60" w:type="dxa"/>
              <w:left w:w="100" w:type="dxa"/>
              <w:bottom w:w="60" w:type="dxa"/>
              <w:right w:w="100" w:type="dxa"/>
            </w:tcMar>
            <w:vAlign w:val="center"/>
          </w:tcPr>
          <w:p w14:paraId="53584D7E" w14:textId="77777777" w:rsidR="00C13ABB" w:rsidRDefault="00513DC3">
            <w:pPr>
              <w:jc w:val="center"/>
            </w:pPr>
            <w:r>
              <w:rPr>
                <w:b/>
                <w:bCs/>
                <w:color w:val="FFFFFF"/>
              </w:rPr>
              <w:t>KRI &amp; Thresholds</w:t>
            </w:r>
          </w:p>
        </w:tc>
        <w:tc>
          <w:tcPr>
            <w:tcW w:w="1820" w:type="dxa"/>
            <w:shd w:val="clear" w:color="auto" w:fill="000000"/>
            <w:tcMar>
              <w:top w:w="60" w:type="dxa"/>
              <w:left w:w="100" w:type="dxa"/>
              <w:bottom w:w="60" w:type="dxa"/>
              <w:right w:w="100" w:type="dxa"/>
            </w:tcMar>
            <w:vAlign w:val="center"/>
          </w:tcPr>
          <w:p w14:paraId="7DA1CCBD" w14:textId="77777777" w:rsidR="00C13ABB" w:rsidRDefault="00513DC3">
            <w:pPr>
              <w:jc w:val="center"/>
            </w:pPr>
            <w:r>
              <w:rPr>
                <w:b/>
                <w:bCs/>
                <w:color w:val="FFFFFF"/>
              </w:rPr>
              <w:t>Risk Owner</w:t>
            </w:r>
          </w:p>
        </w:tc>
      </w:tr>
      <w:tr w:rsidR="00135B3B" w14:paraId="27EED52D" w14:textId="77777777">
        <w:tc>
          <w:tcPr>
            <w:tcW w:w="700" w:type="dxa"/>
            <w:shd w:val="clear" w:color="auto" w:fill="F8F8F8"/>
            <w:tcMar>
              <w:top w:w="60" w:type="dxa"/>
              <w:left w:w="100" w:type="dxa"/>
              <w:bottom w:w="60" w:type="dxa"/>
              <w:right w:w="100" w:type="dxa"/>
            </w:tcMar>
          </w:tcPr>
          <w:p w14:paraId="648F4239" w14:textId="77777777" w:rsidR="00C13ABB" w:rsidRDefault="00513DC3">
            <w:r>
              <w:rPr>
                <w:b/>
                <w:bCs/>
                <w:color w:val="000000"/>
              </w:rPr>
              <w:t>R1</w:t>
            </w:r>
          </w:p>
        </w:tc>
        <w:tc>
          <w:tcPr>
            <w:tcW w:w="1300" w:type="dxa"/>
            <w:shd w:val="clear" w:color="auto" w:fill="F8F8F8"/>
            <w:tcMar>
              <w:top w:w="60" w:type="dxa"/>
              <w:left w:w="100" w:type="dxa"/>
              <w:bottom w:w="60" w:type="dxa"/>
              <w:right w:w="100" w:type="dxa"/>
            </w:tcMar>
          </w:tcPr>
          <w:p w14:paraId="66EC7519" w14:textId="77777777" w:rsidR="00C13ABB" w:rsidRDefault="00513DC3">
            <w:r>
              <w:rPr>
                <w:color w:val="000000"/>
              </w:rPr>
              <w:t>Data Privacy Breach</w:t>
            </w:r>
          </w:p>
        </w:tc>
        <w:tc>
          <w:tcPr>
            <w:tcW w:w="600" w:type="dxa"/>
            <w:shd w:val="clear" w:color="auto" w:fill="F8F8F8"/>
            <w:tcMar>
              <w:top w:w="60" w:type="dxa"/>
              <w:left w:w="100" w:type="dxa"/>
              <w:bottom w:w="60" w:type="dxa"/>
              <w:right w:w="100" w:type="dxa"/>
            </w:tcMar>
          </w:tcPr>
          <w:p w14:paraId="18552B9B" w14:textId="77777777" w:rsidR="00C13ABB" w:rsidRDefault="00513DC3">
            <w:r>
              <w:rPr>
                <w:color w:val="000000"/>
              </w:rPr>
              <w:t>Negative</w:t>
            </w:r>
          </w:p>
        </w:tc>
        <w:tc>
          <w:tcPr>
            <w:tcW w:w="600" w:type="dxa"/>
            <w:shd w:val="clear" w:color="auto" w:fill="F8F8F8"/>
            <w:tcMar>
              <w:top w:w="60" w:type="dxa"/>
              <w:left w:w="100" w:type="dxa"/>
              <w:bottom w:w="60" w:type="dxa"/>
              <w:right w:w="100" w:type="dxa"/>
            </w:tcMar>
          </w:tcPr>
          <w:p w14:paraId="1676A5E3" w14:textId="77777777" w:rsidR="00C13ABB" w:rsidRDefault="00513DC3">
            <w:r>
              <w:rPr>
                <w:color w:val="000000"/>
              </w:rPr>
              <w:t>9×8=72</w:t>
            </w:r>
          </w:p>
        </w:tc>
        <w:tc>
          <w:tcPr>
            <w:tcW w:w="600" w:type="dxa"/>
            <w:shd w:val="clear" w:color="auto" w:fill="F8F8F8"/>
            <w:tcMar>
              <w:top w:w="60" w:type="dxa"/>
              <w:left w:w="100" w:type="dxa"/>
              <w:bottom w:w="60" w:type="dxa"/>
              <w:right w:w="100" w:type="dxa"/>
            </w:tcMar>
          </w:tcPr>
          <w:p w14:paraId="60C6C15E" w14:textId="77777777" w:rsidR="00C13ABB" w:rsidRDefault="00513DC3">
            <w:r>
              <w:rPr>
                <w:b/>
                <w:bCs/>
                <w:color w:val="000000"/>
              </w:rPr>
              <w:t>HIGH</w:t>
            </w:r>
          </w:p>
        </w:tc>
        <w:tc>
          <w:tcPr>
            <w:tcW w:w="1300" w:type="dxa"/>
            <w:shd w:val="clear" w:color="auto" w:fill="F8F8F8"/>
            <w:tcMar>
              <w:top w:w="60" w:type="dxa"/>
              <w:left w:w="100" w:type="dxa"/>
              <w:bottom w:w="60" w:type="dxa"/>
              <w:right w:w="100" w:type="dxa"/>
            </w:tcMar>
          </w:tcPr>
          <w:p w14:paraId="43F50D10" w14:textId="77777777" w:rsidR="00C13ABB" w:rsidRDefault="00513DC3">
            <w:pPr>
              <w:spacing w:before="20" w:after="20"/>
            </w:pPr>
            <w:r>
              <w:t>Zero-trust arch.</w:t>
            </w:r>
          </w:p>
          <w:p w14:paraId="2B02F774" w14:textId="77777777" w:rsidR="00C13ABB" w:rsidRDefault="00513DC3">
            <w:pPr>
              <w:spacing w:before="20" w:after="20"/>
            </w:pPr>
            <w:r>
              <w:t>24/7 SOC + CIRT</w:t>
            </w:r>
          </w:p>
          <w:p w14:paraId="2BDBF269" w14:textId="77777777" w:rsidR="00C13ABB" w:rsidRDefault="00513DC3">
            <w:pPr>
              <w:spacing w:before="20" w:after="20"/>
            </w:pPr>
            <w:r>
              <w:t>PIA before go-live</w:t>
            </w:r>
          </w:p>
          <w:p w14:paraId="2FEF74BF" w14:textId="77777777" w:rsidR="00C13ABB" w:rsidRDefault="00513DC3">
            <w:pPr>
              <w:spacing w:before="20" w:after="20"/>
            </w:pPr>
            <w:r>
              <w:t>DLP + RBAC</w:t>
            </w:r>
          </w:p>
          <w:p w14:paraId="105E8B9F" w14:textId="77777777" w:rsidR="00C13ABB" w:rsidRDefault="00513DC3">
            <w:pPr>
              <w:spacing w:before="20" w:after="20"/>
            </w:pPr>
            <w:r>
              <w:t>Cyber insurance</w:t>
            </w:r>
          </w:p>
          <w:p w14:paraId="161F0A23" w14:textId="77777777" w:rsidR="00C13ABB" w:rsidRDefault="00513DC3">
            <w:pPr>
              <w:spacing w:before="20" w:after="20"/>
            </w:pPr>
            <w:r>
              <w:t>Annual pen tests</w:t>
            </w:r>
          </w:p>
        </w:tc>
        <w:tc>
          <w:tcPr>
            <w:tcW w:w="1300" w:type="dxa"/>
            <w:shd w:val="clear" w:color="auto" w:fill="F8F8F8"/>
            <w:tcMar>
              <w:top w:w="60" w:type="dxa"/>
              <w:left w:w="100" w:type="dxa"/>
              <w:bottom w:w="60" w:type="dxa"/>
              <w:right w:w="100" w:type="dxa"/>
            </w:tcMar>
          </w:tcPr>
          <w:p w14:paraId="3FD49D1B" w14:textId="77777777" w:rsidR="00C13ABB" w:rsidRDefault="00513DC3">
            <w:pPr>
              <w:spacing w:before="20" w:after="20"/>
            </w:pPr>
            <w:r>
              <w:t>Mean: CAD $82.8M</w:t>
            </w:r>
          </w:p>
          <w:p w14:paraId="5A9BFE15" w14:textId="77777777" w:rsidR="00C13ABB" w:rsidRDefault="00513DC3">
            <w:pPr>
              <w:spacing w:before="20" w:after="20"/>
            </w:pPr>
            <w:r>
              <w:t>Reserve: CAD $119M</w:t>
            </w:r>
          </w:p>
          <w:p w14:paraId="2D6F4D56" w14:textId="77777777" w:rsidR="00C13ABB" w:rsidRDefault="00513DC3">
            <w:pPr>
              <w:spacing w:before="20" w:after="20"/>
            </w:pPr>
            <w:r>
              <w:t>Board stress: $128M</w:t>
            </w:r>
          </w:p>
          <w:p w14:paraId="21F6B0B0" w14:textId="77777777" w:rsidR="00C13ABB" w:rsidRDefault="00513DC3">
            <w:pPr>
              <w:spacing w:before="20" w:after="20"/>
            </w:pPr>
            <w:r>
              <w:t>P(&gt;$100M): 25.6%</w:t>
            </w:r>
          </w:p>
        </w:tc>
        <w:tc>
          <w:tcPr>
            <w:tcW w:w="1500" w:type="dxa"/>
            <w:shd w:val="clear" w:color="auto" w:fill="F8F8F8"/>
            <w:tcMar>
              <w:top w:w="60" w:type="dxa"/>
              <w:left w:w="100" w:type="dxa"/>
              <w:bottom w:w="60" w:type="dxa"/>
              <w:right w:w="100" w:type="dxa"/>
            </w:tcMar>
          </w:tcPr>
          <w:p w14:paraId="0FE51E9E" w14:textId="77777777" w:rsidR="00C13ABB" w:rsidRDefault="00513DC3">
            <w:pPr>
              <w:spacing w:before="20" w:after="20"/>
            </w:pPr>
            <w:r>
              <w:t>Unpatched vulns &gt;72 hrs</w:t>
            </w:r>
          </w:p>
          <w:p w14:paraId="63D43C3C" w14:textId="77777777" w:rsidR="00C13ABB" w:rsidRDefault="00513DC3">
            <w:pPr>
              <w:spacing w:before="20" w:after="20"/>
            </w:pPr>
            <w:r>
              <w:t>GREEN: 0</w:t>
            </w:r>
          </w:p>
          <w:p w14:paraId="6017A369" w14:textId="77777777" w:rsidR="00C13ABB" w:rsidRDefault="00513DC3">
            <w:pPr>
              <w:spacing w:before="20" w:after="20"/>
            </w:pPr>
            <w:r>
              <w:t>AMBER: 1 → CISO</w:t>
            </w:r>
          </w:p>
          <w:p w14:paraId="05E4D647" w14:textId="77777777" w:rsidR="00C13ABB" w:rsidRDefault="00513DC3">
            <w:pPr>
              <w:spacing w:before="20" w:after="20"/>
            </w:pPr>
            <w:r>
              <w:t>RED: 2+ → CEO/Board</w:t>
            </w:r>
          </w:p>
        </w:tc>
        <w:tc>
          <w:tcPr>
            <w:tcW w:w="1820" w:type="dxa"/>
            <w:shd w:val="clear" w:color="auto" w:fill="F8F8F8"/>
            <w:tcMar>
              <w:top w:w="60" w:type="dxa"/>
              <w:left w:w="100" w:type="dxa"/>
              <w:bottom w:w="60" w:type="dxa"/>
              <w:right w:w="100" w:type="dxa"/>
            </w:tcMar>
          </w:tcPr>
          <w:p w14:paraId="36FD212F" w14:textId="77777777" w:rsidR="00C13ABB" w:rsidRDefault="00513DC3">
            <w:r>
              <w:rPr>
                <w:color w:val="000000"/>
              </w:rPr>
              <w:t>CISO / CCO</w:t>
            </w:r>
          </w:p>
        </w:tc>
      </w:tr>
      <w:tr w:rsidR="00135B3B" w14:paraId="7E8FC245" w14:textId="77777777">
        <w:tc>
          <w:tcPr>
            <w:tcW w:w="700" w:type="dxa"/>
            <w:shd w:val="clear" w:color="auto" w:fill="FFFFFF"/>
            <w:tcMar>
              <w:top w:w="60" w:type="dxa"/>
              <w:left w:w="100" w:type="dxa"/>
              <w:bottom w:w="60" w:type="dxa"/>
              <w:right w:w="100" w:type="dxa"/>
            </w:tcMar>
          </w:tcPr>
          <w:p w14:paraId="1074F5AB" w14:textId="77777777" w:rsidR="00C13ABB" w:rsidRDefault="00513DC3">
            <w:r>
              <w:rPr>
                <w:b/>
                <w:bCs/>
                <w:color w:val="000000"/>
              </w:rPr>
              <w:t>R2</w:t>
            </w:r>
          </w:p>
        </w:tc>
        <w:tc>
          <w:tcPr>
            <w:tcW w:w="1300" w:type="dxa"/>
            <w:shd w:val="clear" w:color="auto" w:fill="FFFFFF"/>
            <w:tcMar>
              <w:top w:w="60" w:type="dxa"/>
              <w:left w:w="100" w:type="dxa"/>
              <w:bottom w:w="60" w:type="dxa"/>
              <w:right w:w="100" w:type="dxa"/>
            </w:tcMar>
          </w:tcPr>
          <w:p w14:paraId="72015E2F" w14:textId="77777777" w:rsidR="00C13ABB" w:rsidRDefault="00513DC3">
            <w:r>
              <w:rPr>
                <w:color w:val="000000"/>
              </w:rPr>
              <w:t>Regulatory Exposure</w:t>
            </w:r>
          </w:p>
        </w:tc>
        <w:tc>
          <w:tcPr>
            <w:tcW w:w="600" w:type="dxa"/>
            <w:shd w:val="clear" w:color="auto" w:fill="FFFFFF"/>
            <w:tcMar>
              <w:top w:w="60" w:type="dxa"/>
              <w:left w:w="100" w:type="dxa"/>
              <w:bottom w:w="60" w:type="dxa"/>
              <w:right w:w="100" w:type="dxa"/>
            </w:tcMar>
          </w:tcPr>
          <w:p w14:paraId="398732B3" w14:textId="77777777" w:rsidR="00C13ABB" w:rsidRDefault="00513DC3">
            <w:r>
              <w:rPr>
                <w:color w:val="000000"/>
              </w:rPr>
              <w:t>Negative</w:t>
            </w:r>
          </w:p>
        </w:tc>
        <w:tc>
          <w:tcPr>
            <w:tcW w:w="600" w:type="dxa"/>
            <w:shd w:val="clear" w:color="auto" w:fill="FFFFFF"/>
            <w:tcMar>
              <w:top w:w="60" w:type="dxa"/>
              <w:left w:w="100" w:type="dxa"/>
              <w:bottom w:w="60" w:type="dxa"/>
              <w:right w:w="100" w:type="dxa"/>
            </w:tcMar>
          </w:tcPr>
          <w:p w14:paraId="12B0E029" w14:textId="77777777" w:rsidR="00C13ABB" w:rsidRDefault="00513DC3">
            <w:r>
              <w:rPr>
                <w:color w:val="000000"/>
              </w:rPr>
              <w:t>7×8=56</w:t>
            </w:r>
          </w:p>
        </w:tc>
        <w:tc>
          <w:tcPr>
            <w:tcW w:w="600" w:type="dxa"/>
            <w:shd w:val="clear" w:color="auto" w:fill="FFFFFF"/>
            <w:tcMar>
              <w:top w:w="60" w:type="dxa"/>
              <w:left w:w="100" w:type="dxa"/>
              <w:bottom w:w="60" w:type="dxa"/>
              <w:right w:w="100" w:type="dxa"/>
            </w:tcMar>
          </w:tcPr>
          <w:p w14:paraId="26944449" w14:textId="77777777" w:rsidR="00C13ABB" w:rsidRDefault="00513DC3">
            <w:r>
              <w:rPr>
                <w:b/>
                <w:bCs/>
                <w:color w:val="000000"/>
              </w:rPr>
              <w:t>HIGH</w:t>
            </w:r>
          </w:p>
        </w:tc>
        <w:tc>
          <w:tcPr>
            <w:tcW w:w="1300" w:type="dxa"/>
            <w:shd w:val="clear" w:color="auto" w:fill="FFFFFF"/>
            <w:tcMar>
              <w:top w:w="60" w:type="dxa"/>
              <w:left w:w="100" w:type="dxa"/>
              <w:bottom w:w="60" w:type="dxa"/>
              <w:right w:w="100" w:type="dxa"/>
            </w:tcMar>
          </w:tcPr>
          <w:p w14:paraId="210C719F" w14:textId="77777777" w:rsidR="00C13ABB" w:rsidRDefault="00513DC3">
            <w:pPr>
              <w:spacing w:before="20" w:after="20"/>
            </w:pPr>
            <w:r>
              <w:t>Compliance officer</w:t>
            </w:r>
          </w:p>
          <w:p w14:paraId="756FB714" w14:textId="77777777" w:rsidR="00C13ABB" w:rsidRDefault="00513DC3">
            <w:pPr>
              <w:spacing w:before="20" w:after="20"/>
            </w:pPr>
            <w:r>
              <w:t>Province roadmap</w:t>
            </w:r>
          </w:p>
          <w:p w14:paraId="59CF5DB2" w14:textId="77777777" w:rsidR="00C13ABB" w:rsidRDefault="00513DC3">
            <w:pPr>
              <w:spacing w:before="20" w:after="20"/>
            </w:pPr>
            <w:r>
              <w:t>Reg monitoring</w:t>
            </w:r>
          </w:p>
          <w:p w14:paraId="034A5101" w14:textId="77777777" w:rsidR="00C13ABB" w:rsidRDefault="00513DC3">
            <w:pPr>
              <w:spacing w:before="20" w:after="20"/>
            </w:pPr>
            <w:r>
              <w:t>Quarterly reviews</w:t>
            </w:r>
          </w:p>
          <w:p w14:paraId="551256F3" w14:textId="77777777" w:rsidR="00C13ABB" w:rsidRDefault="00513DC3">
            <w:pPr>
              <w:spacing w:before="20" w:after="20"/>
            </w:pPr>
            <w:r>
              <w:t>Board roadmap</w:t>
            </w:r>
          </w:p>
        </w:tc>
        <w:tc>
          <w:tcPr>
            <w:tcW w:w="1300" w:type="dxa"/>
            <w:shd w:val="clear" w:color="auto" w:fill="FFFFFF"/>
            <w:tcMar>
              <w:top w:w="60" w:type="dxa"/>
              <w:left w:w="100" w:type="dxa"/>
              <w:bottom w:w="60" w:type="dxa"/>
              <w:right w:w="100" w:type="dxa"/>
            </w:tcMar>
          </w:tcPr>
          <w:p w14:paraId="3B9E7BFA" w14:textId="77777777" w:rsidR="00C13ABB" w:rsidRDefault="00513DC3">
            <w:pPr>
              <w:spacing w:before="20" w:after="20"/>
            </w:pPr>
            <w:r>
              <w:t>Base: CAD $56M</w:t>
            </w:r>
          </w:p>
          <w:p w14:paraId="4A06EC2D" w14:textId="77777777" w:rsidR="00C13ABB" w:rsidRDefault="00513DC3">
            <w:pPr>
              <w:spacing w:before="20" w:after="20"/>
            </w:pPr>
            <w:r>
              <w:t>Top driver: Halt</w:t>
            </w:r>
          </w:p>
          <w:p w14:paraId="069F69B2" w14:textId="77777777" w:rsidR="00C13ABB" w:rsidRDefault="00513DC3">
            <w:pPr>
              <w:spacing w:before="20" w:after="20"/>
            </w:pPr>
            <w:r>
              <w:t>(±CAD $11.8M)</w:t>
            </w:r>
          </w:p>
          <w:p w14:paraId="2CA681FF" w14:textId="77777777" w:rsidR="00C13ABB" w:rsidRDefault="00513DC3">
            <w:pPr>
              <w:spacing w:before="20" w:after="20"/>
            </w:pPr>
            <w:r>
              <w:t>Sensitivity done</w:t>
            </w:r>
          </w:p>
        </w:tc>
        <w:tc>
          <w:tcPr>
            <w:tcW w:w="1500" w:type="dxa"/>
            <w:shd w:val="clear" w:color="auto" w:fill="FFFFFF"/>
            <w:tcMar>
              <w:top w:w="60" w:type="dxa"/>
              <w:left w:w="100" w:type="dxa"/>
              <w:bottom w:w="60" w:type="dxa"/>
              <w:right w:w="100" w:type="dxa"/>
            </w:tcMar>
          </w:tcPr>
          <w:p w14:paraId="0AD5CD2F" w14:textId="77777777" w:rsidR="00C13ABB" w:rsidRDefault="00513DC3">
            <w:pPr>
              <w:spacing w:before="20" w:after="20"/>
            </w:pPr>
            <w:r>
              <w:t>Open findings &gt;30 days</w:t>
            </w:r>
          </w:p>
          <w:p w14:paraId="472D4ABB" w14:textId="77777777" w:rsidR="00C13ABB" w:rsidRDefault="00513DC3">
            <w:pPr>
              <w:spacing w:before="20" w:after="20"/>
            </w:pPr>
            <w:r>
              <w:t>GREEN: 0</w:t>
            </w:r>
          </w:p>
          <w:p w14:paraId="2F98CCCA" w14:textId="77777777" w:rsidR="00C13ABB" w:rsidRDefault="00513DC3">
            <w:pPr>
              <w:spacing w:before="20" w:after="20"/>
            </w:pPr>
            <w:r>
              <w:t>AMBER: 1–2</w:t>
            </w:r>
          </w:p>
          <w:p w14:paraId="13F52798" w14:textId="77777777" w:rsidR="00C13ABB" w:rsidRDefault="00513DC3">
            <w:pPr>
              <w:spacing w:before="20" w:after="20"/>
            </w:pPr>
            <w:r>
              <w:t>RED: 3+ → CEO/Board</w:t>
            </w:r>
          </w:p>
        </w:tc>
        <w:tc>
          <w:tcPr>
            <w:tcW w:w="1820" w:type="dxa"/>
            <w:shd w:val="clear" w:color="auto" w:fill="FFFFFF"/>
            <w:tcMar>
              <w:top w:w="60" w:type="dxa"/>
              <w:left w:w="100" w:type="dxa"/>
              <w:bottom w:w="60" w:type="dxa"/>
              <w:right w:w="100" w:type="dxa"/>
            </w:tcMar>
          </w:tcPr>
          <w:p w14:paraId="3EFCAD43" w14:textId="77777777" w:rsidR="00C13ABB" w:rsidRDefault="00513DC3">
            <w:r>
              <w:rPr>
                <w:color w:val="000000"/>
              </w:rPr>
              <w:t>Chief Compliance Officer</w:t>
            </w:r>
          </w:p>
        </w:tc>
      </w:tr>
      <w:tr w:rsidR="00135B3B" w14:paraId="4DF526D2" w14:textId="77777777">
        <w:tc>
          <w:tcPr>
            <w:tcW w:w="700" w:type="dxa"/>
            <w:shd w:val="clear" w:color="auto" w:fill="F8F8F8"/>
            <w:tcMar>
              <w:top w:w="60" w:type="dxa"/>
              <w:left w:w="100" w:type="dxa"/>
              <w:bottom w:w="60" w:type="dxa"/>
              <w:right w:w="100" w:type="dxa"/>
            </w:tcMar>
          </w:tcPr>
          <w:p w14:paraId="6C1CD696" w14:textId="77777777" w:rsidR="00C13ABB" w:rsidRDefault="00513DC3">
            <w:r>
              <w:rPr>
                <w:b/>
                <w:bCs/>
                <w:color w:val="000000"/>
              </w:rPr>
              <w:t>R3</w:t>
            </w:r>
          </w:p>
        </w:tc>
        <w:tc>
          <w:tcPr>
            <w:tcW w:w="1300" w:type="dxa"/>
            <w:shd w:val="clear" w:color="auto" w:fill="F8F8F8"/>
            <w:tcMar>
              <w:top w:w="60" w:type="dxa"/>
              <w:left w:w="100" w:type="dxa"/>
              <w:bottom w:w="60" w:type="dxa"/>
              <w:right w:w="100" w:type="dxa"/>
            </w:tcMar>
          </w:tcPr>
          <w:p w14:paraId="29612CB5" w14:textId="77777777" w:rsidR="00C13ABB" w:rsidRDefault="00513DC3">
            <w:r>
              <w:rPr>
                <w:color w:val="000000"/>
              </w:rPr>
              <w:t>First-Mover Market Capture</w:t>
            </w:r>
          </w:p>
        </w:tc>
        <w:tc>
          <w:tcPr>
            <w:tcW w:w="600" w:type="dxa"/>
            <w:shd w:val="clear" w:color="auto" w:fill="F8F8F8"/>
            <w:tcMar>
              <w:top w:w="60" w:type="dxa"/>
              <w:left w:w="100" w:type="dxa"/>
              <w:bottom w:w="60" w:type="dxa"/>
              <w:right w:w="100" w:type="dxa"/>
            </w:tcMar>
          </w:tcPr>
          <w:p w14:paraId="0FFCEB1B" w14:textId="77777777" w:rsidR="00C13ABB" w:rsidRDefault="00513DC3">
            <w:r>
              <w:rPr>
                <w:color w:val="000000"/>
              </w:rPr>
              <w:t>Positive</w:t>
            </w:r>
          </w:p>
        </w:tc>
        <w:tc>
          <w:tcPr>
            <w:tcW w:w="600" w:type="dxa"/>
            <w:shd w:val="clear" w:color="auto" w:fill="F8F8F8"/>
            <w:tcMar>
              <w:top w:w="60" w:type="dxa"/>
              <w:left w:w="100" w:type="dxa"/>
              <w:bottom w:w="60" w:type="dxa"/>
              <w:right w:w="100" w:type="dxa"/>
            </w:tcMar>
          </w:tcPr>
          <w:p w14:paraId="74D42BFE" w14:textId="77777777" w:rsidR="00C13ABB" w:rsidRDefault="00513DC3">
            <w:r>
              <w:rPr>
                <w:color w:val="000000"/>
              </w:rPr>
              <w:t>7×8=56</w:t>
            </w:r>
          </w:p>
        </w:tc>
        <w:tc>
          <w:tcPr>
            <w:tcW w:w="600" w:type="dxa"/>
            <w:shd w:val="clear" w:color="auto" w:fill="F8F8F8"/>
            <w:tcMar>
              <w:top w:w="60" w:type="dxa"/>
              <w:left w:w="100" w:type="dxa"/>
              <w:bottom w:w="60" w:type="dxa"/>
              <w:right w:w="100" w:type="dxa"/>
            </w:tcMar>
          </w:tcPr>
          <w:p w14:paraId="0AA8B087" w14:textId="77777777" w:rsidR="00C13ABB" w:rsidRDefault="00513DC3">
            <w:r>
              <w:rPr>
                <w:b/>
                <w:bCs/>
                <w:color w:val="000000"/>
              </w:rPr>
              <w:t>HIGH (Opp.)</w:t>
            </w:r>
          </w:p>
        </w:tc>
        <w:tc>
          <w:tcPr>
            <w:tcW w:w="1300" w:type="dxa"/>
            <w:shd w:val="clear" w:color="auto" w:fill="F8F8F8"/>
            <w:tcMar>
              <w:top w:w="60" w:type="dxa"/>
              <w:left w:w="100" w:type="dxa"/>
              <w:bottom w:w="60" w:type="dxa"/>
              <w:right w:w="100" w:type="dxa"/>
            </w:tcMar>
          </w:tcPr>
          <w:p w14:paraId="0488EB43" w14:textId="77777777" w:rsidR="00C13ABB" w:rsidRDefault="00513DC3">
            <w:pPr>
              <w:spacing w:before="20" w:after="20"/>
            </w:pPr>
            <w:r>
              <w:t>Market readiness</w:t>
            </w:r>
          </w:p>
          <w:p w14:paraId="13B61002" w14:textId="77777777" w:rsidR="00C13ABB" w:rsidRDefault="00513DC3">
            <w:pPr>
              <w:spacing w:before="20" w:after="20"/>
            </w:pPr>
            <w:r>
              <w:t>Marketing budget</w:t>
            </w:r>
          </w:p>
          <w:p w14:paraId="4A90C5B6" w14:textId="77777777" w:rsidR="00C13ABB" w:rsidRDefault="00513DC3">
            <w:pPr>
              <w:spacing w:before="20" w:after="20"/>
            </w:pPr>
            <w:r>
              <w:t>Advisor licensing</w:t>
            </w:r>
          </w:p>
          <w:p w14:paraId="2EFDBEAB" w14:textId="77777777" w:rsidR="00C13ABB" w:rsidRDefault="00513DC3">
            <w:pPr>
              <w:spacing w:before="20" w:after="20"/>
            </w:pPr>
            <w:r>
              <w:t>Cross-sell incentives</w:t>
            </w:r>
          </w:p>
          <w:p w14:paraId="57888102" w14:textId="77777777" w:rsidR="00C13ABB" w:rsidRDefault="00513DC3">
            <w:pPr>
              <w:spacing w:before="20" w:after="20"/>
            </w:pPr>
            <w:r>
              <w:t>Competitor monitoring</w:t>
            </w:r>
          </w:p>
        </w:tc>
        <w:tc>
          <w:tcPr>
            <w:tcW w:w="1300" w:type="dxa"/>
            <w:shd w:val="clear" w:color="auto" w:fill="F8F8F8"/>
            <w:tcMar>
              <w:top w:w="60" w:type="dxa"/>
              <w:left w:w="100" w:type="dxa"/>
              <w:bottom w:w="60" w:type="dxa"/>
              <w:right w:w="100" w:type="dxa"/>
            </w:tcMar>
          </w:tcPr>
          <w:p w14:paraId="2ACA103B" w14:textId="77777777" w:rsidR="00C13ABB" w:rsidRDefault="00513DC3">
            <w:pPr>
              <w:spacing w:before="20" w:after="20"/>
            </w:pPr>
            <w:r>
              <w:t>Total EMV: $187.1M</w:t>
            </w:r>
          </w:p>
          <w:p w14:paraId="24DD6D7E" w14:textId="77777777" w:rsidR="00C13ABB" w:rsidRDefault="00513DC3">
            <w:pPr>
              <w:spacing w:before="20" w:after="20"/>
            </w:pPr>
            <w:r>
              <w:t>Strong: $168.0M</w:t>
            </w:r>
          </w:p>
          <w:p w14:paraId="5DBE4E3E" w14:textId="77777777" w:rsidR="00C13ABB" w:rsidRDefault="00513DC3">
            <w:pPr>
              <w:spacing w:before="20" w:after="20"/>
            </w:pPr>
            <w:r>
              <w:t>Amber: −$150M</w:t>
            </w:r>
          </w:p>
          <w:p w14:paraId="68CC87B3" w14:textId="77777777" w:rsidR="00C13ABB" w:rsidRDefault="00513DC3">
            <w:pPr>
              <w:spacing w:before="20" w:after="20"/>
            </w:pPr>
            <w:r>
              <w:t>Red: −$165M</w:t>
            </w:r>
          </w:p>
        </w:tc>
        <w:tc>
          <w:tcPr>
            <w:tcW w:w="1500" w:type="dxa"/>
            <w:shd w:val="clear" w:color="auto" w:fill="F8F8F8"/>
            <w:tcMar>
              <w:top w:w="60" w:type="dxa"/>
              <w:left w:w="100" w:type="dxa"/>
              <w:bottom w:w="60" w:type="dxa"/>
              <w:right w:w="100" w:type="dxa"/>
            </w:tcMar>
          </w:tcPr>
          <w:p w14:paraId="097EBC71" w14:textId="77777777" w:rsidR="00C13ABB" w:rsidRDefault="00513DC3">
            <w:pPr>
              <w:spacing w:before="20" w:after="20"/>
            </w:pPr>
            <w:r>
              <w:t>Monthly adoption rate</w:t>
            </w:r>
          </w:p>
          <w:p w14:paraId="5E0FE96E" w14:textId="77777777" w:rsidR="00C13ABB" w:rsidRDefault="00513DC3">
            <w:pPr>
              <w:spacing w:before="20" w:after="20"/>
            </w:pPr>
            <w:r>
              <w:t>GREEN: &gt;5% at 12 mo.</w:t>
            </w:r>
          </w:p>
          <w:p w14:paraId="237B0B83" w14:textId="77777777" w:rsidR="00C13ABB" w:rsidRDefault="00513DC3">
            <w:pPr>
              <w:spacing w:before="20" w:after="20"/>
            </w:pPr>
            <w:r>
              <w:t>AMBER: 2–5%</w:t>
            </w:r>
          </w:p>
          <w:p w14:paraId="42755F4E" w14:textId="77777777" w:rsidR="00C13ABB" w:rsidRDefault="00513DC3">
            <w:pPr>
              <w:spacing w:before="20" w:after="20"/>
            </w:pPr>
            <w:r>
              <w:t>RED: &lt;2% or competitor</w:t>
            </w:r>
          </w:p>
        </w:tc>
        <w:tc>
          <w:tcPr>
            <w:tcW w:w="1820" w:type="dxa"/>
            <w:shd w:val="clear" w:color="auto" w:fill="F8F8F8"/>
            <w:tcMar>
              <w:top w:w="60" w:type="dxa"/>
              <w:left w:w="100" w:type="dxa"/>
              <w:bottom w:w="60" w:type="dxa"/>
              <w:right w:w="100" w:type="dxa"/>
            </w:tcMar>
          </w:tcPr>
          <w:p w14:paraId="2BD60E73" w14:textId="77777777" w:rsidR="00C13ABB" w:rsidRDefault="00513DC3">
            <w:r>
              <w:rPr>
                <w:color w:val="000000"/>
              </w:rPr>
              <w:t>CSO / CFO</w:t>
            </w:r>
          </w:p>
        </w:tc>
      </w:tr>
    </w:tbl>
    <w:p w14:paraId="50DF2659" w14:textId="77777777" w:rsidR="00C13ABB" w:rsidRDefault="00513DC3">
      <w:pPr>
        <w:spacing w:before="40" w:after="100"/>
        <w:jc w:val="center"/>
      </w:pPr>
      <w:r>
        <w:rPr>
          <w:i/>
          <w:iCs/>
          <w:color w:val="444444"/>
          <w:sz w:val="16"/>
          <w:szCs w:val="16"/>
        </w:rPr>
        <w:t>Table 7. Complete Risk Treatment and Response Plan. Source: Group 7 Risk Register, Modules 1–5, ALY6130, Spring 2026.</w:t>
      </w:r>
    </w:p>
    <w:p w14:paraId="253B4D04" w14:textId="77777777" w:rsidR="0014283E" w:rsidRDefault="00513DC3" w:rsidP="0014283E">
      <w:r>
        <w:br w:type="page"/>
      </w:r>
    </w:p>
    <w:p w14:paraId="6E3078B5" w14:textId="4888052C" w:rsidR="00C13ABB" w:rsidRDefault="00513DC3" w:rsidP="0014283E">
      <w:r>
        <w:rPr>
          <w:b/>
          <w:bCs/>
          <w:sz w:val="26"/>
          <w:szCs w:val="26"/>
        </w:rPr>
        <w:lastRenderedPageBreak/>
        <w:t>APPENDIX 2 — MONTE CARLO SIMULATION: R1 DATA PRIVACY BREACH</w:t>
      </w:r>
    </w:p>
    <w:p w14:paraId="5493A513" w14:textId="77777777" w:rsidR="00C13ABB" w:rsidRDefault="00513DC3" w:rsidP="0014283E">
      <w:pPr>
        <w:spacing w:before="60" w:after="60"/>
        <w:jc w:val="both"/>
      </w:pPr>
      <w:r>
        <w:t>Figure A1 presents the output of the 10,000-iteration Monte Carlo simulation for R1. The distribution shows total financial loss modelled using a triangular distribution (Optimistic = CAD $25M, Most Likely = CAD $75M, Pessimistic = CAD $150M). The vertical lines indicate the mean (CAD $82.8M), 90th percentile (CAD $118.7M), and 95th percentile (CAD $127.8M). The shaded area to the right of CAD $100M represents the 25.6% probability of catastrophic financial impact that justifies the CAD $119M contingency reserve.</w:t>
      </w:r>
    </w:p>
    <w:p w14:paraId="3F30A457" w14:textId="77777777" w:rsidR="00C13ABB" w:rsidRDefault="00C13ABB"/>
    <w:p w14:paraId="481D80A9" w14:textId="77777777" w:rsidR="00C13ABB" w:rsidRDefault="00513DC3">
      <w:pPr>
        <w:spacing w:before="60" w:after="40"/>
        <w:jc w:val="center"/>
      </w:pPr>
      <w:r>
        <w:rPr>
          <w:noProof/>
        </w:rPr>
        <w:drawing>
          <wp:inline distT="0" distB="0" distL="0" distR="0" wp14:anchorId="02F6E66D" wp14:editId="54F2A276">
            <wp:extent cx="7200900" cy="2581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200900" cy="2581275"/>
                    </a:xfrm>
                    <a:prstGeom prst="rect">
                      <a:avLst/>
                    </a:prstGeom>
                  </pic:spPr>
                </pic:pic>
              </a:graphicData>
            </a:graphic>
          </wp:inline>
        </w:drawing>
      </w:r>
    </w:p>
    <w:p w14:paraId="2EDDB22E" w14:textId="77777777" w:rsidR="00C13ABB" w:rsidRDefault="00513DC3">
      <w:pPr>
        <w:spacing w:before="40" w:after="100"/>
        <w:jc w:val="center"/>
      </w:pPr>
      <w:r>
        <w:rPr>
          <w:i/>
          <w:iCs/>
          <w:color w:val="444444"/>
          <w:sz w:val="16"/>
          <w:szCs w:val="16"/>
        </w:rPr>
        <w:t>Figure A1. Monte Carlo Simulation — R1 Data Privacy Breach (10,000 iterations, triangular distribution). Source: Developed by Group 7 using Python (</w:t>
      </w:r>
      <w:proofErr w:type="spellStart"/>
      <w:proofErr w:type="gramStart"/>
      <w:r>
        <w:rPr>
          <w:i/>
          <w:iCs/>
          <w:color w:val="444444"/>
          <w:sz w:val="16"/>
          <w:szCs w:val="16"/>
        </w:rPr>
        <w:t>scipy.stats</w:t>
      </w:r>
      <w:proofErr w:type="spellEnd"/>
      <w:proofErr w:type="gramEnd"/>
      <w:r>
        <w:rPr>
          <w:i/>
          <w:iCs/>
          <w:color w:val="444444"/>
          <w:sz w:val="16"/>
          <w:szCs w:val="16"/>
        </w:rPr>
        <w:t xml:space="preserve">, </w:t>
      </w:r>
      <w:proofErr w:type="spellStart"/>
      <w:r>
        <w:rPr>
          <w:i/>
          <w:iCs/>
          <w:color w:val="444444"/>
          <w:sz w:val="16"/>
          <w:szCs w:val="16"/>
        </w:rPr>
        <w:t>numpy</w:t>
      </w:r>
      <w:proofErr w:type="spellEnd"/>
      <w:r>
        <w:rPr>
          <w:i/>
          <w:iCs/>
          <w:color w:val="444444"/>
          <w:sz w:val="16"/>
          <w:szCs w:val="16"/>
        </w:rPr>
        <w:t>, matplotlib). ALY6130, Spring 2026.</w:t>
      </w:r>
    </w:p>
    <w:p w14:paraId="14FDFD60" w14:textId="77777777" w:rsidR="0014283E" w:rsidRDefault="00513DC3" w:rsidP="0014283E">
      <w:r>
        <w:br w:type="page"/>
      </w:r>
    </w:p>
    <w:p w14:paraId="24B229C5" w14:textId="61870CAC" w:rsidR="00C13ABB" w:rsidRDefault="00513DC3" w:rsidP="0014283E">
      <w:r>
        <w:rPr>
          <w:b/>
          <w:bCs/>
          <w:sz w:val="26"/>
          <w:szCs w:val="26"/>
        </w:rPr>
        <w:lastRenderedPageBreak/>
        <w:t>APPENDIX 3 — SENSITIVITY ANALYSIS: R2 REGULATORY &amp; COMPLIANCE EXPOSURE</w:t>
      </w:r>
    </w:p>
    <w:p w14:paraId="61F92B27" w14:textId="77777777" w:rsidR="00C13ABB" w:rsidRDefault="00513DC3" w:rsidP="0014283E">
      <w:pPr>
        <w:spacing w:before="60" w:after="60"/>
        <w:jc w:val="both"/>
      </w:pPr>
      <w:r>
        <w:t>Figure A2 presents the tornado chart from the sensitivity analysis applied to R2. Each bar represents the swing in total financial impact when a single driver is varied by ±30% while all others are held at the base value of CAD $56M. The chart confirms that Likelihood of Regulatory Halt is the dominant driver (±CAD $11.8M swing), nearly double the second-ranked driver, Regulatory Fine Severity (±CAD $7.7M). This ranking directs CIBC's monitoring resources and mitigation investment toward the compliance findings KRI as the highest-return risk reduction measure.</w:t>
      </w:r>
    </w:p>
    <w:p w14:paraId="2EF9670A" w14:textId="77777777" w:rsidR="00C13ABB" w:rsidRDefault="00C13ABB"/>
    <w:p w14:paraId="30F2A561" w14:textId="77777777" w:rsidR="00C13ABB" w:rsidRDefault="00513DC3">
      <w:pPr>
        <w:spacing w:before="60" w:after="40"/>
        <w:jc w:val="center"/>
      </w:pPr>
      <w:r>
        <w:rPr>
          <w:noProof/>
        </w:rPr>
        <w:drawing>
          <wp:inline distT="0" distB="0" distL="0" distR="0" wp14:anchorId="7B4F71EA" wp14:editId="31D2282D">
            <wp:extent cx="5800725" cy="240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00725" cy="2400300"/>
                    </a:xfrm>
                    <a:prstGeom prst="rect">
                      <a:avLst/>
                    </a:prstGeom>
                  </pic:spPr>
                </pic:pic>
              </a:graphicData>
            </a:graphic>
          </wp:inline>
        </w:drawing>
      </w:r>
    </w:p>
    <w:p w14:paraId="67BF3D4C" w14:textId="12246A3C" w:rsidR="00C13ABB" w:rsidRDefault="00513DC3">
      <w:pPr>
        <w:spacing w:before="40" w:after="100"/>
        <w:jc w:val="center"/>
      </w:pPr>
      <w:r>
        <w:rPr>
          <w:i/>
          <w:iCs/>
          <w:color w:val="444444"/>
          <w:sz w:val="16"/>
          <w:szCs w:val="16"/>
        </w:rPr>
        <w:t xml:space="preserve">Figure A2. Sensitivity (Tornado) Analysis — R2 Regulatory &amp; Compliance Exposure. Base impact CAD $56M (L=7 × I=8). </w:t>
      </w:r>
      <w:r w:rsidR="006A120B" w:rsidRPr="006A120B">
        <w:rPr>
          <w:i/>
          <w:iCs/>
        </w:rPr>
        <w:t>Each variable was varied using scenario-based ranges from</w:t>
      </w:r>
      <w:r w:rsidR="006A120B">
        <w:t xml:space="preserve"> ±10% to ±30%.</w:t>
      </w:r>
      <w:r w:rsidR="006A120B">
        <w:t xml:space="preserve"> </w:t>
      </w:r>
      <w:r>
        <w:rPr>
          <w:i/>
          <w:iCs/>
          <w:color w:val="444444"/>
          <w:sz w:val="16"/>
          <w:szCs w:val="16"/>
        </w:rPr>
        <w:t>Source: Developed by Group 7 using Python (matplotlib). ALY6130, Spring 2026.</w:t>
      </w:r>
    </w:p>
    <w:p w14:paraId="2E9F7C41" w14:textId="77777777" w:rsidR="00C13ABB" w:rsidRDefault="00513DC3">
      <w:r>
        <w:br w:type="page"/>
      </w:r>
    </w:p>
    <w:p w14:paraId="376E95D1" w14:textId="77777777" w:rsidR="00C13ABB" w:rsidRDefault="00513DC3">
      <w:pPr>
        <w:spacing w:before="280" w:after="100"/>
      </w:pPr>
      <w:r>
        <w:rPr>
          <w:b/>
          <w:bCs/>
          <w:sz w:val="26"/>
          <w:szCs w:val="26"/>
        </w:rPr>
        <w:lastRenderedPageBreak/>
        <w:t>APPENDIX 4 — EMV ANALYSIS: R3 FIRST-MOVER MARKET CAPTURE</w:t>
      </w:r>
    </w:p>
    <w:p w14:paraId="2876425A" w14:textId="77777777" w:rsidR="00C13ABB" w:rsidRDefault="00513DC3" w:rsidP="0014283E">
      <w:pPr>
        <w:spacing w:before="60" w:after="60"/>
        <w:jc w:val="both"/>
      </w:pPr>
      <w:r>
        <w:t>Figure A3 presents the EMV analysis for R3 across four adoption scenarios. The left panel shows the EMV contribution of each scenario. The Strong First-Mover scenario (P=70%) dominates with a CAD $168.0M contribution, confirming that CIBC's first-mover opportunity is highly concentrated in the outcome where it executes ahead of TD and RBC. The right panel shows the revenue and cost breakdown per scenario. The Failed Launch scenario is the only scenario with negative net value, contributing −CAD $1.8M to total EMV. The total EMV of CAD $187.1M strongly justifies active investment in market-entry readiness.</w:t>
      </w:r>
    </w:p>
    <w:p w14:paraId="5BDC3EDA" w14:textId="77777777" w:rsidR="00C13ABB" w:rsidRDefault="00C13ABB" w:rsidP="0014283E">
      <w:pPr>
        <w:jc w:val="both"/>
      </w:pPr>
    </w:p>
    <w:p w14:paraId="2B6407F7" w14:textId="77777777" w:rsidR="00C13ABB" w:rsidRDefault="00513DC3">
      <w:pPr>
        <w:spacing w:before="60" w:after="40"/>
        <w:jc w:val="center"/>
      </w:pPr>
      <w:r>
        <w:rPr>
          <w:noProof/>
        </w:rPr>
        <w:drawing>
          <wp:inline distT="0" distB="0" distL="0" distR="0" wp14:anchorId="665C1E16" wp14:editId="76FB26BA">
            <wp:extent cx="5800725" cy="236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00725" cy="2362200"/>
                    </a:xfrm>
                    <a:prstGeom prst="rect">
                      <a:avLst/>
                    </a:prstGeom>
                  </pic:spPr>
                </pic:pic>
              </a:graphicData>
            </a:graphic>
          </wp:inline>
        </w:drawing>
      </w:r>
    </w:p>
    <w:p w14:paraId="37924F3F" w14:textId="77777777" w:rsidR="00C13ABB" w:rsidRDefault="00513DC3">
      <w:pPr>
        <w:spacing w:before="40" w:after="100"/>
        <w:jc w:val="center"/>
      </w:pPr>
      <w:r>
        <w:rPr>
          <w:i/>
          <w:iCs/>
          <w:color w:val="444444"/>
          <w:sz w:val="16"/>
          <w:szCs w:val="16"/>
        </w:rPr>
        <w:t>Figure A3. EMV Analysis — R3 First-Mover Market Capture (4 adoption scenarios, EMV = P × Net Value). Source: Developed by Group 7 using Python (matplotlib). ALY6130, Spring 2026.</w:t>
      </w:r>
    </w:p>
    <w:sectPr w:rsidR="00C13ABB">
      <w:headerReference w:type="default" r:id="rId1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E2BB4" w14:textId="77777777" w:rsidR="00F227C2" w:rsidRDefault="00F227C2" w:rsidP="009F5201">
      <w:r>
        <w:separator/>
      </w:r>
    </w:p>
  </w:endnote>
  <w:endnote w:type="continuationSeparator" w:id="0">
    <w:p w14:paraId="3B9C1730" w14:textId="77777777" w:rsidR="00F227C2" w:rsidRDefault="00F227C2" w:rsidP="009F5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0206A" w14:textId="77777777" w:rsidR="00F227C2" w:rsidRDefault="00F227C2" w:rsidP="009F5201">
      <w:r>
        <w:separator/>
      </w:r>
    </w:p>
  </w:footnote>
  <w:footnote w:type="continuationSeparator" w:id="0">
    <w:p w14:paraId="47F6FCEE" w14:textId="77777777" w:rsidR="00F227C2" w:rsidRDefault="00F227C2" w:rsidP="009F5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5162468"/>
      <w:docPartObj>
        <w:docPartGallery w:val="Page Numbers (Top of Page)"/>
        <w:docPartUnique/>
      </w:docPartObj>
    </w:sdtPr>
    <w:sdtEndPr>
      <w:rPr>
        <w:noProof/>
      </w:rPr>
    </w:sdtEndPr>
    <w:sdtContent>
      <w:p w14:paraId="5689C0AD" w14:textId="1F54F66E" w:rsidR="009F5201" w:rsidRDefault="009F520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53DF23" w14:textId="77777777" w:rsidR="009F5201" w:rsidRDefault="009F52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31E6E"/>
    <w:multiLevelType w:val="multilevel"/>
    <w:tmpl w:val="326493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B08123A"/>
    <w:multiLevelType w:val="hybridMultilevel"/>
    <w:tmpl w:val="ED3EE0E8"/>
    <w:lvl w:ilvl="0" w:tplc="E88CFA20">
      <w:start w:val="1"/>
      <w:numFmt w:val="bullet"/>
      <w:lvlText w:val="•"/>
      <w:lvlJc w:val="left"/>
      <w:pPr>
        <w:ind w:left="720" w:hanging="360"/>
      </w:pPr>
    </w:lvl>
    <w:lvl w:ilvl="1" w:tplc="486475E6">
      <w:numFmt w:val="decimal"/>
      <w:lvlText w:val=""/>
      <w:lvlJc w:val="left"/>
    </w:lvl>
    <w:lvl w:ilvl="2" w:tplc="9E709E3A">
      <w:numFmt w:val="decimal"/>
      <w:lvlText w:val=""/>
      <w:lvlJc w:val="left"/>
    </w:lvl>
    <w:lvl w:ilvl="3" w:tplc="7F66EC36">
      <w:numFmt w:val="decimal"/>
      <w:lvlText w:val=""/>
      <w:lvlJc w:val="left"/>
    </w:lvl>
    <w:lvl w:ilvl="4" w:tplc="61CAEC08">
      <w:numFmt w:val="decimal"/>
      <w:lvlText w:val=""/>
      <w:lvlJc w:val="left"/>
    </w:lvl>
    <w:lvl w:ilvl="5" w:tplc="A61E56B8">
      <w:numFmt w:val="decimal"/>
      <w:lvlText w:val=""/>
      <w:lvlJc w:val="left"/>
    </w:lvl>
    <w:lvl w:ilvl="6" w:tplc="57FE2FEA">
      <w:numFmt w:val="decimal"/>
      <w:lvlText w:val=""/>
      <w:lvlJc w:val="left"/>
    </w:lvl>
    <w:lvl w:ilvl="7" w:tplc="A67C7644">
      <w:numFmt w:val="decimal"/>
      <w:lvlText w:val=""/>
      <w:lvlJc w:val="left"/>
    </w:lvl>
    <w:lvl w:ilvl="8" w:tplc="6FFC999C">
      <w:numFmt w:val="decimal"/>
      <w:lvlText w:val=""/>
      <w:lvlJc w:val="left"/>
    </w:lvl>
  </w:abstractNum>
  <w:abstractNum w:abstractNumId="2" w15:restartNumberingAfterBreak="0">
    <w:nsid w:val="2B3D6C98"/>
    <w:multiLevelType w:val="hybridMultilevel"/>
    <w:tmpl w:val="9D30D618"/>
    <w:lvl w:ilvl="0" w:tplc="0C9C4168">
      <w:start w:val="1"/>
      <w:numFmt w:val="bullet"/>
      <w:lvlText w:val="●"/>
      <w:lvlJc w:val="left"/>
      <w:pPr>
        <w:ind w:left="720" w:hanging="360"/>
      </w:pPr>
    </w:lvl>
    <w:lvl w:ilvl="1" w:tplc="AB2C382C">
      <w:start w:val="1"/>
      <w:numFmt w:val="bullet"/>
      <w:lvlText w:val="○"/>
      <w:lvlJc w:val="left"/>
      <w:pPr>
        <w:ind w:left="1440" w:hanging="360"/>
      </w:pPr>
    </w:lvl>
    <w:lvl w:ilvl="2" w:tplc="4ACAA9E6">
      <w:start w:val="1"/>
      <w:numFmt w:val="bullet"/>
      <w:lvlText w:val="■"/>
      <w:lvlJc w:val="left"/>
      <w:pPr>
        <w:ind w:left="2160" w:hanging="360"/>
      </w:pPr>
    </w:lvl>
    <w:lvl w:ilvl="3" w:tplc="8902BA26">
      <w:start w:val="1"/>
      <w:numFmt w:val="bullet"/>
      <w:lvlText w:val="●"/>
      <w:lvlJc w:val="left"/>
      <w:pPr>
        <w:ind w:left="2880" w:hanging="360"/>
      </w:pPr>
    </w:lvl>
    <w:lvl w:ilvl="4" w:tplc="CB74CD4C">
      <w:start w:val="1"/>
      <w:numFmt w:val="bullet"/>
      <w:lvlText w:val="○"/>
      <w:lvlJc w:val="left"/>
      <w:pPr>
        <w:ind w:left="3600" w:hanging="360"/>
      </w:pPr>
    </w:lvl>
    <w:lvl w:ilvl="5" w:tplc="57386022">
      <w:start w:val="1"/>
      <w:numFmt w:val="bullet"/>
      <w:lvlText w:val="■"/>
      <w:lvlJc w:val="left"/>
      <w:pPr>
        <w:ind w:left="4320" w:hanging="360"/>
      </w:pPr>
    </w:lvl>
    <w:lvl w:ilvl="6" w:tplc="7D0EF232">
      <w:start w:val="1"/>
      <w:numFmt w:val="bullet"/>
      <w:lvlText w:val="●"/>
      <w:lvlJc w:val="left"/>
      <w:pPr>
        <w:ind w:left="5040" w:hanging="360"/>
      </w:pPr>
    </w:lvl>
    <w:lvl w:ilvl="7" w:tplc="0D0CC38E">
      <w:start w:val="1"/>
      <w:numFmt w:val="bullet"/>
      <w:lvlText w:val="●"/>
      <w:lvlJc w:val="left"/>
      <w:pPr>
        <w:ind w:left="5760" w:hanging="360"/>
      </w:pPr>
    </w:lvl>
    <w:lvl w:ilvl="8" w:tplc="9D02CD66">
      <w:start w:val="1"/>
      <w:numFmt w:val="bullet"/>
      <w:lvlText w:val="●"/>
      <w:lvlJc w:val="left"/>
      <w:pPr>
        <w:ind w:left="6480" w:hanging="360"/>
      </w:pPr>
    </w:lvl>
  </w:abstractNum>
  <w:abstractNum w:abstractNumId="3" w15:restartNumberingAfterBreak="0">
    <w:nsid w:val="3FA313A0"/>
    <w:multiLevelType w:val="multilevel"/>
    <w:tmpl w:val="0C2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F0014"/>
    <w:multiLevelType w:val="multilevel"/>
    <w:tmpl w:val="4358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FC02EF"/>
    <w:multiLevelType w:val="multilevel"/>
    <w:tmpl w:val="6358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lvlOverride w:ilvl="0">
      <w:startOverride w:val="1"/>
    </w:lvlOverride>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ABB"/>
    <w:rsid w:val="000D33E9"/>
    <w:rsid w:val="00130F31"/>
    <w:rsid w:val="00135B3B"/>
    <w:rsid w:val="0014283E"/>
    <w:rsid w:val="002C4B16"/>
    <w:rsid w:val="003C1C66"/>
    <w:rsid w:val="00513DC3"/>
    <w:rsid w:val="00593D3A"/>
    <w:rsid w:val="006A120B"/>
    <w:rsid w:val="007147BC"/>
    <w:rsid w:val="00736F16"/>
    <w:rsid w:val="008242FE"/>
    <w:rsid w:val="0083355F"/>
    <w:rsid w:val="009D6C29"/>
    <w:rsid w:val="009F5201"/>
    <w:rsid w:val="00A13E62"/>
    <w:rsid w:val="00A56E7F"/>
    <w:rsid w:val="00B20495"/>
    <w:rsid w:val="00B278BE"/>
    <w:rsid w:val="00BB5FC5"/>
    <w:rsid w:val="00BE453C"/>
    <w:rsid w:val="00BE71B4"/>
    <w:rsid w:val="00BF01F6"/>
    <w:rsid w:val="00C13ABB"/>
    <w:rsid w:val="00CC00B6"/>
    <w:rsid w:val="00CE3DE5"/>
    <w:rsid w:val="00D65598"/>
    <w:rsid w:val="00DF678E"/>
    <w:rsid w:val="00E45F8B"/>
    <w:rsid w:val="00E52AFE"/>
    <w:rsid w:val="00F10BFC"/>
    <w:rsid w:val="00F227C2"/>
    <w:rsid w:val="00F956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96F0"/>
  <w15:docId w15:val="{97FD678F-6391-4020-A140-D9460B8A9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A56E7F"/>
    <w:pPr>
      <w:spacing w:before="100" w:beforeAutospacing="1" w:after="100" w:afterAutospacing="1"/>
    </w:pPr>
    <w:rPr>
      <w:sz w:val="24"/>
      <w:szCs w:val="24"/>
    </w:rPr>
  </w:style>
  <w:style w:type="paragraph" w:styleId="NormalWeb">
    <w:name w:val="Normal (Web)"/>
    <w:basedOn w:val="Normal"/>
    <w:uiPriority w:val="99"/>
    <w:unhideWhenUsed/>
    <w:rsid w:val="00A56E7F"/>
    <w:pPr>
      <w:spacing w:before="100" w:beforeAutospacing="1" w:after="100" w:afterAutospacing="1"/>
    </w:pPr>
    <w:rPr>
      <w:sz w:val="24"/>
      <w:szCs w:val="24"/>
    </w:rPr>
  </w:style>
  <w:style w:type="character" w:styleId="Emphasis">
    <w:name w:val="Emphasis"/>
    <w:basedOn w:val="DefaultParagraphFont"/>
    <w:uiPriority w:val="20"/>
    <w:qFormat/>
    <w:rsid w:val="000D33E9"/>
    <w:rPr>
      <w:i/>
      <w:iCs/>
    </w:rPr>
  </w:style>
  <w:style w:type="character" w:styleId="Strong">
    <w:name w:val="Strong"/>
    <w:basedOn w:val="DefaultParagraphFont"/>
    <w:uiPriority w:val="22"/>
    <w:qFormat/>
    <w:rsid w:val="00CE3DE5"/>
    <w:rPr>
      <w:b/>
      <w:bCs/>
    </w:rPr>
  </w:style>
  <w:style w:type="paragraph" w:styleId="Header">
    <w:name w:val="header"/>
    <w:basedOn w:val="Normal"/>
    <w:link w:val="HeaderChar"/>
    <w:uiPriority w:val="99"/>
    <w:unhideWhenUsed/>
    <w:rsid w:val="009F5201"/>
    <w:pPr>
      <w:tabs>
        <w:tab w:val="center" w:pos="4513"/>
        <w:tab w:val="right" w:pos="9026"/>
      </w:tabs>
    </w:pPr>
  </w:style>
  <w:style w:type="character" w:customStyle="1" w:styleId="HeaderChar">
    <w:name w:val="Header Char"/>
    <w:basedOn w:val="DefaultParagraphFont"/>
    <w:link w:val="Header"/>
    <w:uiPriority w:val="99"/>
    <w:rsid w:val="009F5201"/>
  </w:style>
  <w:style w:type="paragraph" w:styleId="Footer">
    <w:name w:val="footer"/>
    <w:basedOn w:val="Normal"/>
    <w:link w:val="FooterChar"/>
    <w:uiPriority w:val="99"/>
    <w:unhideWhenUsed/>
    <w:rsid w:val="009F5201"/>
    <w:pPr>
      <w:tabs>
        <w:tab w:val="center" w:pos="4513"/>
        <w:tab w:val="right" w:pos="9026"/>
      </w:tabs>
    </w:pPr>
  </w:style>
  <w:style w:type="character" w:customStyle="1" w:styleId="FooterChar">
    <w:name w:val="Footer Char"/>
    <w:basedOn w:val="DefaultParagraphFont"/>
    <w:link w:val="Footer"/>
    <w:uiPriority w:val="99"/>
    <w:rsid w:val="009F52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7525">
      <w:bodyDiv w:val="1"/>
      <w:marLeft w:val="0"/>
      <w:marRight w:val="0"/>
      <w:marTop w:val="0"/>
      <w:marBottom w:val="0"/>
      <w:divBdr>
        <w:top w:val="none" w:sz="0" w:space="0" w:color="auto"/>
        <w:left w:val="none" w:sz="0" w:space="0" w:color="auto"/>
        <w:bottom w:val="none" w:sz="0" w:space="0" w:color="auto"/>
        <w:right w:val="none" w:sz="0" w:space="0" w:color="auto"/>
      </w:divBdr>
      <w:divsChild>
        <w:div w:id="725644586">
          <w:marLeft w:val="0"/>
          <w:marRight w:val="0"/>
          <w:marTop w:val="0"/>
          <w:marBottom w:val="0"/>
          <w:divBdr>
            <w:top w:val="none" w:sz="0" w:space="0" w:color="auto"/>
            <w:left w:val="none" w:sz="0" w:space="0" w:color="auto"/>
            <w:bottom w:val="none" w:sz="0" w:space="0" w:color="auto"/>
            <w:right w:val="none" w:sz="0" w:space="0" w:color="auto"/>
          </w:divBdr>
          <w:divsChild>
            <w:div w:id="750471755">
              <w:marLeft w:val="0"/>
              <w:marRight w:val="0"/>
              <w:marTop w:val="0"/>
              <w:marBottom w:val="0"/>
              <w:divBdr>
                <w:top w:val="none" w:sz="0" w:space="0" w:color="auto"/>
                <w:left w:val="none" w:sz="0" w:space="0" w:color="auto"/>
                <w:bottom w:val="none" w:sz="0" w:space="0" w:color="auto"/>
                <w:right w:val="none" w:sz="0" w:space="0" w:color="auto"/>
              </w:divBdr>
              <w:divsChild>
                <w:div w:id="184025563">
                  <w:marLeft w:val="0"/>
                  <w:marRight w:val="0"/>
                  <w:marTop w:val="0"/>
                  <w:marBottom w:val="0"/>
                  <w:divBdr>
                    <w:top w:val="none" w:sz="0" w:space="0" w:color="auto"/>
                    <w:left w:val="none" w:sz="0" w:space="0" w:color="auto"/>
                    <w:bottom w:val="none" w:sz="0" w:space="0" w:color="auto"/>
                    <w:right w:val="none" w:sz="0" w:space="0" w:color="auto"/>
                  </w:divBdr>
                  <w:divsChild>
                    <w:div w:id="1839730472">
                      <w:marLeft w:val="0"/>
                      <w:marRight w:val="0"/>
                      <w:marTop w:val="0"/>
                      <w:marBottom w:val="0"/>
                      <w:divBdr>
                        <w:top w:val="none" w:sz="0" w:space="0" w:color="auto"/>
                        <w:left w:val="none" w:sz="0" w:space="0" w:color="auto"/>
                        <w:bottom w:val="none" w:sz="0" w:space="0" w:color="auto"/>
                        <w:right w:val="none" w:sz="0" w:space="0" w:color="auto"/>
                      </w:divBdr>
                      <w:divsChild>
                        <w:div w:id="1968199365">
                          <w:marLeft w:val="0"/>
                          <w:marRight w:val="0"/>
                          <w:marTop w:val="0"/>
                          <w:marBottom w:val="0"/>
                          <w:divBdr>
                            <w:top w:val="none" w:sz="0" w:space="0" w:color="auto"/>
                            <w:left w:val="none" w:sz="0" w:space="0" w:color="auto"/>
                            <w:bottom w:val="none" w:sz="0" w:space="0" w:color="auto"/>
                            <w:right w:val="none" w:sz="0" w:space="0" w:color="auto"/>
                          </w:divBdr>
                          <w:divsChild>
                            <w:div w:id="1720978539">
                              <w:marLeft w:val="0"/>
                              <w:marRight w:val="0"/>
                              <w:marTop w:val="0"/>
                              <w:marBottom w:val="0"/>
                              <w:divBdr>
                                <w:top w:val="none" w:sz="0" w:space="0" w:color="auto"/>
                                <w:left w:val="none" w:sz="0" w:space="0" w:color="auto"/>
                                <w:bottom w:val="none" w:sz="0" w:space="0" w:color="auto"/>
                                <w:right w:val="none" w:sz="0" w:space="0" w:color="auto"/>
                              </w:divBdr>
                              <w:divsChild>
                                <w:div w:id="1829444786">
                                  <w:marLeft w:val="0"/>
                                  <w:marRight w:val="0"/>
                                  <w:marTop w:val="0"/>
                                  <w:marBottom w:val="0"/>
                                  <w:divBdr>
                                    <w:top w:val="none" w:sz="0" w:space="0" w:color="auto"/>
                                    <w:left w:val="none" w:sz="0" w:space="0" w:color="auto"/>
                                    <w:bottom w:val="none" w:sz="0" w:space="0" w:color="auto"/>
                                    <w:right w:val="none" w:sz="0" w:space="0" w:color="auto"/>
                                  </w:divBdr>
                                  <w:divsChild>
                                    <w:div w:id="300162423">
                                      <w:marLeft w:val="0"/>
                                      <w:marRight w:val="0"/>
                                      <w:marTop w:val="0"/>
                                      <w:marBottom w:val="0"/>
                                      <w:divBdr>
                                        <w:top w:val="none" w:sz="0" w:space="0" w:color="auto"/>
                                        <w:left w:val="none" w:sz="0" w:space="0" w:color="auto"/>
                                        <w:bottom w:val="none" w:sz="0" w:space="0" w:color="auto"/>
                                        <w:right w:val="none" w:sz="0" w:space="0" w:color="auto"/>
                                      </w:divBdr>
                                      <w:divsChild>
                                        <w:div w:id="2024939009">
                                          <w:marLeft w:val="0"/>
                                          <w:marRight w:val="0"/>
                                          <w:marTop w:val="0"/>
                                          <w:marBottom w:val="0"/>
                                          <w:divBdr>
                                            <w:top w:val="none" w:sz="0" w:space="0" w:color="auto"/>
                                            <w:left w:val="none" w:sz="0" w:space="0" w:color="auto"/>
                                            <w:bottom w:val="none" w:sz="0" w:space="0" w:color="auto"/>
                                            <w:right w:val="none" w:sz="0" w:space="0" w:color="auto"/>
                                          </w:divBdr>
                                          <w:divsChild>
                                            <w:div w:id="2103597682">
                                              <w:marLeft w:val="0"/>
                                              <w:marRight w:val="0"/>
                                              <w:marTop w:val="0"/>
                                              <w:marBottom w:val="0"/>
                                              <w:divBdr>
                                                <w:top w:val="none" w:sz="0" w:space="0" w:color="auto"/>
                                                <w:left w:val="none" w:sz="0" w:space="0" w:color="auto"/>
                                                <w:bottom w:val="none" w:sz="0" w:space="0" w:color="auto"/>
                                                <w:right w:val="none" w:sz="0" w:space="0" w:color="auto"/>
                                              </w:divBdr>
                                              <w:divsChild>
                                                <w:div w:id="1853756647">
                                                  <w:marLeft w:val="0"/>
                                                  <w:marRight w:val="0"/>
                                                  <w:marTop w:val="0"/>
                                                  <w:marBottom w:val="0"/>
                                                  <w:divBdr>
                                                    <w:top w:val="none" w:sz="0" w:space="0" w:color="auto"/>
                                                    <w:left w:val="none" w:sz="0" w:space="0" w:color="auto"/>
                                                    <w:bottom w:val="none" w:sz="0" w:space="0" w:color="auto"/>
                                                    <w:right w:val="none" w:sz="0" w:space="0" w:color="auto"/>
                                                  </w:divBdr>
                                                  <w:divsChild>
                                                    <w:div w:id="1217812556">
                                                      <w:marLeft w:val="0"/>
                                                      <w:marRight w:val="0"/>
                                                      <w:marTop w:val="0"/>
                                                      <w:marBottom w:val="0"/>
                                                      <w:divBdr>
                                                        <w:top w:val="none" w:sz="0" w:space="0" w:color="auto"/>
                                                        <w:left w:val="none" w:sz="0" w:space="0" w:color="auto"/>
                                                        <w:bottom w:val="none" w:sz="0" w:space="0" w:color="auto"/>
                                                        <w:right w:val="none" w:sz="0" w:space="0" w:color="auto"/>
                                                      </w:divBdr>
                                                      <w:divsChild>
                                                        <w:div w:id="260796065">
                                                          <w:marLeft w:val="0"/>
                                                          <w:marRight w:val="0"/>
                                                          <w:marTop w:val="0"/>
                                                          <w:marBottom w:val="0"/>
                                                          <w:divBdr>
                                                            <w:top w:val="none" w:sz="0" w:space="0" w:color="auto"/>
                                                            <w:left w:val="none" w:sz="0" w:space="0" w:color="auto"/>
                                                            <w:bottom w:val="none" w:sz="0" w:space="0" w:color="auto"/>
                                                            <w:right w:val="none" w:sz="0" w:space="0" w:color="auto"/>
                                                          </w:divBdr>
                                                          <w:divsChild>
                                                            <w:div w:id="1634407095">
                                                              <w:marLeft w:val="0"/>
                                                              <w:marRight w:val="0"/>
                                                              <w:marTop w:val="0"/>
                                                              <w:marBottom w:val="0"/>
                                                              <w:divBdr>
                                                                <w:top w:val="none" w:sz="0" w:space="0" w:color="auto"/>
                                                                <w:left w:val="none" w:sz="0" w:space="0" w:color="auto"/>
                                                                <w:bottom w:val="none" w:sz="0" w:space="0" w:color="auto"/>
                                                                <w:right w:val="none" w:sz="0" w:space="0" w:color="auto"/>
                                                              </w:divBdr>
                                                              <w:divsChild>
                                                                <w:div w:id="856969831">
                                                                  <w:marLeft w:val="0"/>
                                                                  <w:marRight w:val="0"/>
                                                                  <w:marTop w:val="0"/>
                                                                  <w:marBottom w:val="0"/>
                                                                  <w:divBdr>
                                                                    <w:top w:val="none" w:sz="0" w:space="0" w:color="auto"/>
                                                                    <w:left w:val="none" w:sz="0" w:space="0" w:color="auto"/>
                                                                    <w:bottom w:val="none" w:sz="0" w:space="0" w:color="auto"/>
                                                                    <w:right w:val="none" w:sz="0" w:space="0" w:color="auto"/>
                                                                  </w:divBdr>
                                                                  <w:divsChild>
                                                                    <w:div w:id="166092621">
                                                                      <w:marLeft w:val="0"/>
                                                                      <w:marRight w:val="0"/>
                                                                      <w:marTop w:val="0"/>
                                                                      <w:marBottom w:val="0"/>
                                                                      <w:divBdr>
                                                                        <w:top w:val="none" w:sz="0" w:space="0" w:color="auto"/>
                                                                        <w:left w:val="none" w:sz="0" w:space="0" w:color="auto"/>
                                                                        <w:bottom w:val="none" w:sz="0" w:space="0" w:color="auto"/>
                                                                        <w:right w:val="none" w:sz="0" w:space="0" w:color="auto"/>
                                                                      </w:divBdr>
                                                                      <w:divsChild>
                                                                        <w:div w:id="1799180804">
                                                                          <w:marLeft w:val="0"/>
                                                                          <w:marRight w:val="0"/>
                                                                          <w:marTop w:val="0"/>
                                                                          <w:marBottom w:val="0"/>
                                                                          <w:divBdr>
                                                                            <w:top w:val="none" w:sz="0" w:space="0" w:color="auto"/>
                                                                            <w:left w:val="none" w:sz="0" w:space="0" w:color="auto"/>
                                                                            <w:bottom w:val="none" w:sz="0" w:space="0" w:color="auto"/>
                                                                            <w:right w:val="none" w:sz="0" w:space="0" w:color="auto"/>
                                                                          </w:divBdr>
                                                                          <w:divsChild>
                                                                            <w:div w:id="260383786">
                                                                              <w:marLeft w:val="0"/>
                                                                              <w:marRight w:val="0"/>
                                                                              <w:marTop w:val="0"/>
                                                                              <w:marBottom w:val="0"/>
                                                                              <w:divBdr>
                                                                                <w:top w:val="none" w:sz="0" w:space="0" w:color="auto"/>
                                                                                <w:left w:val="none" w:sz="0" w:space="0" w:color="auto"/>
                                                                                <w:bottom w:val="none" w:sz="0" w:space="0" w:color="auto"/>
                                                                                <w:right w:val="none" w:sz="0" w:space="0" w:color="auto"/>
                                                                              </w:divBdr>
                                                                              <w:divsChild>
                                                                                <w:div w:id="18573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226128">
                                              <w:marLeft w:val="0"/>
                                              <w:marRight w:val="0"/>
                                              <w:marTop w:val="0"/>
                                              <w:marBottom w:val="0"/>
                                              <w:divBdr>
                                                <w:top w:val="none" w:sz="0" w:space="0" w:color="auto"/>
                                                <w:left w:val="none" w:sz="0" w:space="0" w:color="auto"/>
                                                <w:bottom w:val="none" w:sz="0" w:space="0" w:color="auto"/>
                                                <w:right w:val="none" w:sz="0" w:space="0" w:color="auto"/>
                                              </w:divBdr>
                                              <w:divsChild>
                                                <w:div w:id="1003976919">
                                                  <w:marLeft w:val="0"/>
                                                  <w:marRight w:val="0"/>
                                                  <w:marTop w:val="0"/>
                                                  <w:marBottom w:val="0"/>
                                                  <w:divBdr>
                                                    <w:top w:val="none" w:sz="0" w:space="0" w:color="auto"/>
                                                    <w:left w:val="none" w:sz="0" w:space="0" w:color="auto"/>
                                                    <w:bottom w:val="none" w:sz="0" w:space="0" w:color="auto"/>
                                                    <w:right w:val="none" w:sz="0" w:space="0" w:color="auto"/>
                                                  </w:divBdr>
                                                  <w:divsChild>
                                                    <w:div w:id="600651211">
                                                      <w:marLeft w:val="0"/>
                                                      <w:marRight w:val="0"/>
                                                      <w:marTop w:val="0"/>
                                                      <w:marBottom w:val="0"/>
                                                      <w:divBdr>
                                                        <w:top w:val="none" w:sz="0" w:space="0" w:color="auto"/>
                                                        <w:left w:val="none" w:sz="0" w:space="0" w:color="auto"/>
                                                        <w:bottom w:val="none" w:sz="0" w:space="0" w:color="auto"/>
                                                        <w:right w:val="none" w:sz="0" w:space="0" w:color="auto"/>
                                                      </w:divBdr>
                                                      <w:divsChild>
                                                        <w:div w:id="409161067">
                                                          <w:marLeft w:val="0"/>
                                                          <w:marRight w:val="0"/>
                                                          <w:marTop w:val="0"/>
                                                          <w:marBottom w:val="0"/>
                                                          <w:divBdr>
                                                            <w:top w:val="none" w:sz="0" w:space="0" w:color="auto"/>
                                                            <w:left w:val="none" w:sz="0" w:space="0" w:color="auto"/>
                                                            <w:bottom w:val="none" w:sz="0" w:space="0" w:color="auto"/>
                                                            <w:right w:val="none" w:sz="0" w:space="0" w:color="auto"/>
                                                          </w:divBdr>
                                                          <w:divsChild>
                                                            <w:div w:id="1434591835">
                                                              <w:marLeft w:val="0"/>
                                                              <w:marRight w:val="0"/>
                                                              <w:marTop w:val="0"/>
                                                              <w:marBottom w:val="0"/>
                                                              <w:divBdr>
                                                                <w:top w:val="none" w:sz="0" w:space="0" w:color="auto"/>
                                                                <w:left w:val="none" w:sz="0" w:space="0" w:color="auto"/>
                                                                <w:bottom w:val="none" w:sz="0" w:space="0" w:color="auto"/>
                                                                <w:right w:val="none" w:sz="0" w:space="0" w:color="auto"/>
                                                              </w:divBdr>
                                                              <w:divsChild>
                                                                <w:div w:id="1800344409">
                                                                  <w:marLeft w:val="0"/>
                                                                  <w:marRight w:val="0"/>
                                                                  <w:marTop w:val="0"/>
                                                                  <w:marBottom w:val="0"/>
                                                                  <w:divBdr>
                                                                    <w:top w:val="none" w:sz="0" w:space="0" w:color="auto"/>
                                                                    <w:left w:val="none" w:sz="0" w:space="0" w:color="auto"/>
                                                                    <w:bottom w:val="none" w:sz="0" w:space="0" w:color="auto"/>
                                                                    <w:right w:val="none" w:sz="0" w:space="0" w:color="auto"/>
                                                                  </w:divBdr>
                                                                  <w:divsChild>
                                                                    <w:div w:id="186140543">
                                                                      <w:marLeft w:val="0"/>
                                                                      <w:marRight w:val="0"/>
                                                                      <w:marTop w:val="0"/>
                                                                      <w:marBottom w:val="0"/>
                                                                      <w:divBdr>
                                                                        <w:top w:val="none" w:sz="0" w:space="0" w:color="auto"/>
                                                                        <w:left w:val="none" w:sz="0" w:space="0" w:color="auto"/>
                                                                        <w:bottom w:val="none" w:sz="0" w:space="0" w:color="auto"/>
                                                                        <w:right w:val="none" w:sz="0" w:space="0" w:color="auto"/>
                                                                      </w:divBdr>
                                                                      <w:divsChild>
                                                                        <w:div w:id="1923416925">
                                                                          <w:marLeft w:val="0"/>
                                                                          <w:marRight w:val="0"/>
                                                                          <w:marTop w:val="0"/>
                                                                          <w:marBottom w:val="0"/>
                                                                          <w:divBdr>
                                                                            <w:top w:val="none" w:sz="0" w:space="0" w:color="auto"/>
                                                                            <w:left w:val="none" w:sz="0" w:space="0" w:color="auto"/>
                                                                            <w:bottom w:val="none" w:sz="0" w:space="0" w:color="auto"/>
                                                                            <w:right w:val="none" w:sz="0" w:space="0" w:color="auto"/>
                                                                          </w:divBdr>
                                                                          <w:divsChild>
                                                                            <w:div w:id="619453602">
                                                                              <w:marLeft w:val="0"/>
                                                                              <w:marRight w:val="0"/>
                                                                              <w:marTop w:val="0"/>
                                                                              <w:marBottom w:val="0"/>
                                                                              <w:divBdr>
                                                                                <w:top w:val="none" w:sz="0" w:space="0" w:color="auto"/>
                                                                                <w:left w:val="none" w:sz="0" w:space="0" w:color="auto"/>
                                                                                <w:bottom w:val="none" w:sz="0" w:space="0" w:color="auto"/>
                                                                                <w:right w:val="none" w:sz="0" w:space="0" w:color="auto"/>
                                                                              </w:divBdr>
                                                                              <w:divsChild>
                                                                                <w:div w:id="159318050">
                                                                                  <w:marLeft w:val="0"/>
                                                                                  <w:marRight w:val="0"/>
                                                                                  <w:marTop w:val="0"/>
                                                                                  <w:marBottom w:val="0"/>
                                                                                  <w:divBdr>
                                                                                    <w:top w:val="none" w:sz="0" w:space="0" w:color="auto"/>
                                                                                    <w:left w:val="none" w:sz="0" w:space="0" w:color="auto"/>
                                                                                    <w:bottom w:val="none" w:sz="0" w:space="0" w:color="auto"/>
                                                                                    <w:right w:val="none" w:sz="0" w:space="0" w:color="auto"/>
                                                                                  </w:divBdr>
                                                                                  <w:divsChild>
                                                                                    <w:div w:id="1014267653">
                                                                                      <w:marLeft w:val="0"/>
                                                                                      <w:marRight w:val="0"/>
                                                                                      <w:marTop w:val="0"/>
                                                                                      <w:marBottom w:val="0"/>
                                                                                      <w:divBdr>
                                                                                        <w:top w:val="none" w:sz="0" w:space="0" w:color="auto"/>
                                                                                        <w:left w:val="none" w:sz="0" w:space="0" w:color="auto"/>
                                                                                        <w:bottom w:val="none" w:sz="0" w:space="0" w:color="auto"/>
                                                                                        <w:right w:val="none" w:sz="0" w:space="0" w:color="auto"/>
                                                                                      </w:divBdr>
                                                                                      <w:divsChild>
                                                                                        <w:div w:id="552430554">
                                                                                          <w:marLeft w:val="0"/>
                                                                                          <w:marRight w:val="0"/>
                                                                                          <w:marTop w:val="0"/>
                                                                                          <w:marBottom w:val="0"/>
                                                                                          <w:divBdr>
                                                                                            <w:top w:val="none" w:sz="0" w:space="0" w:color="auto"/>
                                                                                            <w:left w:val="none" w:sz="0" w:space="0" w:color="auto"/>
                                                                                            <w:bottom w:val="none" w:sz="0" w:space="0" w:color="auto"/>
                                                                                            <w:right w:val="none" w:sz="0" w:space="0" w:color="auto"/>
                                                                                          </w:divBdr>
                                                                                          <w:divsChild>
                                                                                            <w:div w:id="191708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804467">
      <w:bodyDiv w:val="1"/>
      <w:marLeft w:val="0"/>
      <w:marRight w:val="0"/>
      <w:marTop w:val="0"/>
      <w:marBottom w:val="0"/>
      <w:divBdr>
        <w:top w:val="none" w:sz="0" w:space="0" w:color="auto"/>
        <w:left w:val="none" w:sz="0" w:space="0" w:color="auto"/>
        <w:bottom w:val="none" w:sz="0" w:space="0" w:color="auto"/>
        <w:right w:val="none" w:sz="0" w:space="0" w:color="auto"/>
      </w:divBdr>
    </w:div>
    <w:div w:id="90585636">
      <w:bodyDiv w:val="1"/>
      <w:marLeft w:val="0"/>
      <w:marRight w:val="0"/>
      <w:marTop w:val="0"/>
      <w:marBottom w:val="0"/>
      <w:divBdr>
        <w:top w:val="none" w:sz="0" w:space="0" w:color="auto"/>
        <w:left w:val="none" w:sz="0" w:space="0" w:color="auto"/>
        <w:bottom w:val="none" w:sz="0" w:space="0" w:color="auto"/>
        <w:right w:val="none" w:sz="0" w:space="0" w:color="auto"/>
      </w:divBdr>
    </w:div>
    <w:div w:id="123471323">
      <w:bodyDiv w:val="1"/>
      <w:marLeft w:val="0"/>
      <w:marRight w:val="0"/>
      <w:marTop w:val="0"/>
      <w:marBottom w:val="0"/>
      <w:divBdr>
        <w:top w:val="none" w:sz="0" w:space="0" w:color="auto"/>
        <w:left w:val="none" w:sz="0" w:space="0" w:color="auto"/>
        <w:bottom w:val="none" w:sz="0" w:space="0" w:color="auto"/>
        <w:right w:val="none" w:sz="0" w:space="0" w:color="auto"/>
      </w:divBdr>
    </w:div>
    <w:div w:id="172955426">
      <w:bodyDiv w:val="1"/>
      <w:marLeft w:val="0"/>
      <w:marRight w:val="0"/>
      <w:marTop w:val="0"/>
      <w:marBottom w:val="0"/>
      <w:divBdr>
        <w:top w:val="none" w:sz="0" w:space="0" w:color="auto"/>
        <w:left w:val="none" w:sz="0" w:space="0" w:color="auto"/>
        <w:bottom w:val="none" w:sz="0" w:space="0" w:color="auto"/>
        <w:right w:val="none" w:sz="0" w:space="0" w:color="auto"/>
      </w:divBdr>
    </w:div>
    <w:div w:id="247540000">
      <w:bodyDiv w:val="1"/>
      <w:marLeft w:val="0"/>
      <w:marRight w:val="0"/>
      <w:marTop w:val="0"/>
      <w:marBottom w:val="0"/>
      <w:divBdr>
        <w:top w:val="none" w:sz="0" w:space="0" w:color="auto"/>
        <w:left w:val="none" w:sz="0" w:space="0" w:color="auto"/>
        <w:bottom w:val="none" w:sz="0" w:space="0" w:color="auto"/>
        <w:right w:val="none" w:sz="0" w:space="0" w:color="auto"/>
      </w:divBdr>
    </w:div>
    <w:div w:id="520826955">
      <w:bodyDiv w:val="1"/>
      <w:marLeft w:val="0"/>
      <w:marRight w:val="0"/>
      <w:marTop w:val="0"/>
      <w:marBottom w:val="0"/>
      <w:divBdr>
        <w:top w:val="none" w:sz="0" w:space="0" w:color="auto"/>
        <w:left w:val="none" w:sz="0" w:space="0" w:color="auto"/>
        <w:bottom w:val="none" w:sz="0" w:space="0" w:color="auto"/>
        <w:right w:val="none" w:sz="0" w:space="0" w:color="auto"/>
      </w:divBdr>
    </w:div>
    <w:div w:id="699089492">
      <w:bodyDiv w:val="1"/>
      <w:marLeft w:val="0"/>
      <w:marRight w:val="0"/>
      <w:marTop w:val="0"/>
      <w:marBottom w:val="0"/>
      <w:divBdr>
        <w:top w:val="none" w:sz="0" w:space="0" w:color="auto"/>
        <w:left w:val="none" w:sz="0" w:space="0" w:color="auto"/>
        <w:bottom w:val="none" w:sz="0" w:space="0" w:color="auto"/>
        <w:right w:val="none" w:sz="0" w:space="0" w:color="auto"/>
      </w:divBdr>
    </w:div>
    <w:div w:id="760839724">
      <w:bodyDiv w:val="1"/>
      <w:marLeft w:val="0"/>
      <w:marRight w:val="0"/>
      <w:marTop w:val="0"/>
      <w:marBottom w:val="0"/>
      <w:divBdr>
        <w:top w:val="none" w:sz="0" w:space="0" w:color="auto"/>
        <w:left w:val="none" w:sz="0" w:space="0" w:color="auto"/>
        <w:bottom w:val="none" w:sz="0" w:space="0" w:color="auto"/>
        <w:right w:val="none" w:sz="0" w:space="0" w:color="auto"/>
      </w:divBdr>
    </w:div>
    <w:div w:id="837040572">
      <w:bodyDiv w:val="1"/>
      <w:marLeft w:val="0"/>
      <w:marRight w:val="0"/>
      <w:marTop w:val="0"/>
      <w:marBottom w:val="0"/>
      <w:divBdr>
        <w:top w:val="none" w:sz="0" w:space="0" w:color="auto"/>
        <w:left w:val="none" w:sz="0" w:space="0" w:color="auto"/>
        <w:bottom w:val="none" w:sz="0" w:space="0" w:color="auto"/>
        <w:right w:val="none" w:sz="0" w:space="0" w:color="auto"/>
      </w:divBdr>
    </w:div>
    <w:div w:id="880751132">
      <w:bodyDiv w:val="1"/>
      <w:marLeft w:val="0"/>
      <w:marRight w:val="0"/>
      <w:marTop w:val="0"/>
      <w:marBottom w:val="0"/>
      <w:divBdr>
        <w:top w:val="none" w:sz="0" w:space="0" w:color="auto"/>
        <w:left w:val="none" w:sz="0" w:space="0" w:color="auto"/>
        <w:bottom w:val="none" w:sz="0" w:space="0" w:color="auto"/>
        <w:right w:val="none" w:sz="0" w:space="0" w:color="auto"/>
      </w:divBdr>
    </w:div>
    <w:div w:id="937442052">
      <w:bodyDiv w:val="1"/>
      <w:marLeft w:val="0"/>
      <w:marRight w:val="0"/>
      <w:marTop w:val="0"/>
      <w:marBottom w:val="0"/>
      <w:divBdr>
        <w:top w:val="none" w:sz="0" w:space="0" w:color="auto"/>
        <w:left w:val="none" w:sz="0" w:space="0" w:color="auto"/>
        <w:bottom w:val="none" w:sz="0" w:space="0" w:color="auto"/>
        <w:right w:val="none" w:sz="0" w:space="0" w:color="auto"/>
      </w:divBdr>
    </w:div>
    <w:div w:id="1007709979">
      <w:bodyDiv w:val="1"/>
      <w:marLeft w:val="0"/>
      <w:marRight w:val="0"/>
      <w:marTop w:val="0"/>
      <w:marBottom w:val="0"/>
      <w:divBdr>
        <w:top w:val="none" w:sz="0" w:space="0" w:color="auto"/>
        <w:left w:val="none" w:sz="0" w:space="0" w:color="auto"/>
        <w:bottom w:val="none" w:sz="0" w:space="0" w:color="auto"/>
        <w:right w:val="none" w:sz="0" w:space="0" w:color="auto"/>
      </w:divBdr>
    </w:div>
    <w:div w:id="1241869625">
      <w:bodyDiv w:val="1"/>
      <w:marLeft w:val="0"/>
      <w:marRight w:val="0"/>
      <w:marTop w:val="0"/>
      <w:marBottom w:val="0"/>
      <w:divBdr>
        <w:top w:val="none" w:sz="0" w:space="0" w:color="auto"/>
        <w:left w:val="none" w:sz="0" w:space="0" w:color="auto"/>
        <w:bottom w:val="none" w:sz="0" w:space="0" w:color="auto"/>
        <w:right w:val="none" w:sz="0" w:space="0" w:color="auto"/>
      </w:divBdr>
    </w:div>
    <w:div w:id="1255939079">
      <w:bodyDiv w:val="1"/>
      <w:marLeft w:val="0"/>
      <w:marRight w:val="0"/>
      <w:marTop w:val="0"/>
      <w:marBottom w:val="0"/>
      <w:divBdr>
        <w:top w:val="none" w:sz="0" w:space="0" w:color="auto"/>
        <w:left w:val="none" w:sz="0" w:space="0" w:color="auto"/>
        <w:bottom w:val="none" w:sz="0" w:space="0" w:color="auto"/>
        <w:right w:val="none" w:sz="0" w:space="0" w:color="auto"/>
      </w:divBdr>
    </w:div>
    <w:div w:id="1406221516">
      <w:bodyDiv w:val="1"/>
      <w:marLeft w:val="0"/>
      <w:marRight w:val="0"/>
      <w:marTop w:val="0"/>
      <w:marBottom w:val="0"/>
      <w:divBdr>
        <w:top w:val="none" w:sz="0" w:space="0" w:color="auto"/>
        <w:left w:val="none" w:sz="0" w:space="0" w:color="auto"/>
        <w:bottom w:val="none" w:sz="0" w:space="0" w:color="auto"/>
        <w:right w:val="none" w:sz="0" w:space="0" w:color="auto"/>
      </w:divBdr>
    </w:div>
    <w:div w:id="1486120345">
      <w:bodyDiv w:val="1"/>
      <w:marLeft w:val="0"/>
      <w:marRight w:val="0"/>
      <w:marTop w:val="0"/>
      <w:marBottom w:val="0"/>
      <w:divBdr>
        <w:top w:val="none" w:sz="0" w:space="0" w:color="auto"/>
        <w:left w:val="none" w:sz="0" w:space="0" w:color="auto"/>
        <w:bottom w:val="none" w:sz="0" w:space="0" w:color="auto"/>
        <w:right w:val="none" w:sz="0" w:space="0" w:color="auto"/>
      </w:divBdr>
    </w:div>
    <w:div w:id="1651400718">
      <w:bodyDiv w:val="1"/>
      <w:marLeft w:val="0"/>
      <w:marRight w:val="0"/>
      <w:marTop w:val="0"/>
      <w:marBottom w:val="0"/>
      <w:divBdr>
        <w:top w:val="none" w:sz="0" w:space="0" w:color="auto"/>
        <w:left w:val="none" w:sz="0" w:space="0" w:color="auto"/>
        <w:bottom w:val="none" w:sz="0" w:space="0" w:color="auto"/>
        <w:right w:val="none" w:sz="0" w:space="0" w:color="auto"/>
      </w:divBdr>
    </w:div>
    <w:div w:id="1717464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oso.org/" TargetMode="External"/><Relationship Id="rId13" Type="http://schemas.openxmlformats.org/officeDocument/2006/relationships/hyperlink" Target="https://www.osfi-bsif.gc.c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ibc.com/content/dam/about_cibc/investor_relations/pdfs/annual_accounts/2023ar-en.pdf" TargetMode="External"/><Relationship Id="rId12" Type="http://schemas.openxmlformats.org/officeDocument/2006/relationships/hyperlink" Target="https://www.osfi-bsif.gc.ca/"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undefined"/><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iv.gc.ca/" TargetMode="External"/><Relationship Id="rId5" Type="http://schemas.openxmlformats.org/officeDocument/2006/relationships/footnotes" Target="footnotes.xml"/><Relationship Id="rId15" Type="http://schemas.openxmlformats.org/officeDocument/2006/relationships/image" Target="media/image2.undefined"/><Relationship Id="rId10" Type="http://schemas.openxmlformats.org/officeDocument/2006/relationships/hyperlink" Target="https://csrc.nist.gov/"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so.org/standard/65694.html" TargetMode="External"/><Relationship Id="rId14" Type="http://schemas.openxmlformats.org/officeDocument/2006/relationships/image" Target="media/image1.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17</Pages>
  <Words>6001</Words>
  <Characters>34206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gafar adesina</cp:lastModifiedBy>
  <cp:revision>11</cp:revision>
  <dcterms:created xsi:type="dcterms:W3CDTF">2026-06-21T04:47:00Z</dcterms:created>
  <dcterms:modified xsi:type="dcterms:W3CDTF">2026-06-21T06:42:00Z</dcterms:modified>
</cp:coreProperties>
</file>